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4C" w:rsidRDefault="007C6569">
      <w:pPr>
        <w:pStyle w:val="Heading2"/>
        <w:keepNext w:val="0"/>
        <w:pageBreakBefore/>
        <w:numPr>
          <w:ilvl w:val="0"/>
          <w:numId w:val="0"/>
        </w:numPr>
        <w:spacing w:before="0"/>
        <w:ind w:left="851" w:hanging="851"/>
      </w:pPr>
      <w:bookmarkStart w:id="0" w:name="_Toc370135668"/>
      <w:bookmarkStart w:id="1" w:name="_Toc500826824"/>
      <w:bookmarkStart w:id="2" w:name="_Toc502916876"/>
      <w:bookmarkStart w:id="3" w:name="_GoBack"/>
      <w:bookmarkEnd w:id="3"/>
      <w:r>
        <w:t>4.7</w:t>
      </w:r>
      <w:r>
        <w:tab/>
        <w:t>Issue Form</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3"/>
        <w:gridCol w:w="3216"/>
      </w:tblGrid>
      <w:tr w:rsidR="0057414C" w:rsidTr="00E33C8C">
        <w:trPr>
          <w:cantSplit/>
        </w:trPr>
        <w:tc>
          <w:tcPr>
            <w:tcW w:w="3270" w:type="pct"/>
          </w:tcPr>
          <w:p w:rsidR="0057414C" w:rsidRDefault="007C6569">
            <w:pPr>
              <w:jc w:val="center"/>
              <w:rPr>
                <w:b/>
                <w:sz w:val="32"/>
              </w:rPr>
            </w:pPr>
            <w:r>
              <w:rPr>
                <w:b/>
                <w:sz w:val="32"/>
              </w:rPr>
              <w:t>Issue Form - BSCP40/04</w:t>
            </w:r>
          </w:p>
        </w:tc>
        <w:tc>
          <w:tcPr>
            <w:tcW w:w="1730" w:type="pct"/>
          </w:tcPr>
          <w:p w:rsidR="0057414C" w:rsidRDefault="007C6569">
            <w:pPr>
              <w:rPr>
                <w:b/>
                <w:sz w:val="28"/>
                <w:szCs w:val="28"/>
              </w:rPr>
            </w:pPr>
            <w:r>
              <w:rPr>
                <w:b/>
                <w:sz w:val="28"/>
                <w:szCs w:val="28"/>
              </w:rPr>
              <w:t>Issue Number</w:t>
            </w:r>
            <w:r w:rsidR="00A23630">
              <w:rPr>
                <w:b/>
                <w:sz w:val="28"/>
                <w:szCs w:val="28"/>
              </w:rPr>
              <w:t>: 71</w:t>
            </w:r>
          </w:p>
          <w:p w:rsidR="0057414C" w:rsidRDefault="0057414C">
            <w:pPr>
              <w:rPr>
                <w:szCs w:val="24"/>
              </w:rPr>
            </w:pPr>
          </w:p>
          <w:p w:rsidR="0057414C" w:rsidRDefault="007C6569">
            <w:pPr>
              <w:spacing w:after="120"/>
              <w:rPr>
                <w:b/>
                <w:i/>
                <w:sz w:val="32"/>
              </w:rPr>
            </w:pPr>
            <w:r>
              <w:rPr>
                <w:i/>
                <w:spacing w:val="-3"/>
                <w:sz w:val="20"/>
              </w:rPr>
              <w:t>(mandatory by BSCCo)</w:t>
            </w:r>
          </w:p>
        </w:tc>
      </w:tr>
      <w:tr w:rsidR="00B21277" w:rsidRPr="00B21277">
        <w:trPr>
          <w:cantSplit/>
        </w:trPr>
        <w:tc>
          <w:tcPr>
            <w:tcW w:w="5000" w:type="pct"/>
            <w:gridSpan w:val="2"/>
          </w:tcPr>
          <w:p w:rsidR="00F04C54" w:rsidRPr="00B21277" w:rsidRDefault="007C6569" w:rsidP="00F04C54">
            <w:pPr>
              <w:pStyle w:val="Default"/>
              <w:rPr>
                <w:b/>
                <w:color w:val="auto"/>
                <w:sz w:val="32"/>
              </w:rPr>
            </w:pPr>
            <w:r w:rsidRPr="00B21277">
              <w:rPr>
                <w:b/>
                <w:color w:val="auto"/>
              </w:rPr>
              <w:t>Issue Title</w:t>
            </w:r>
            <w:r w:rsidRPr="00B21277">
              <w:rPr>
                <w:b/>
                <w:color w:val="auto"/>
                <w:sz w:val="32"/>
              </w:rPr>
              <w:t xml:space="preserve"> </w:t>
            </w:r>
          </w:p>
          <w:p w:rsidR="0057414C" w:rsidRPr="00B21277" w:rsidRDefault="00486BFB" w:rsidP="008667A5">
            <w:pPr>
              <w:spacing w:after="240"/>
              <w:rPr>
                <w:sz w:val="20"/>
              </w:rPr>
            </w:pPr>
            <w:r>
              <w:t xml:space="preserve">Introduction of a </w:t>
            </w:r>
            <w:r w:rsidR="008667A5">
              <w:t xml:space="preserve">baselining methodology </w:t>
            </w:r>
            <w:r>
              <w:t xml:space="preserve">as an </w:t>
            </w:r>
            <w:r w:rsidR="006419FE">
              <w:t xml:space="preserve">alternative </w:t>
            </w:r>
            <w:r>
              <w:t>to Physical Notifications</w:t>
            </w:r>
          </w:p>
        </w:tc>
      </w:tr>
      <w:tr w:rsidR="00B21277" w:rsidRPr="00B21277" w:rsidTr="002431E9">
        <w:tc>
          <w:tcPr>
            <w:tcW w:w="5000" w:type="pct"/>
            <w:gridSpan w:val="2"/>
            <w:tcBorders>
              <w:bottom w:val="single" w:sz="4" w:space="0" w:color="auto"/>
            </w:tcBorders>
          </w:tcPr>
          <w:p w:rsidR="0057414C" w:rsidRPr="00B21277" w:rsidRDefault="007C6569">
            <w:pPr>
              <w:spacing w:after="240"/>
              <w:rPr>
                <w:i/>
                <w:szCs w:val="24"/>
              </w:rPr>
            </w:pPr>
            <w:r w:rsidRPr="00B21277">
              <w:rPr>
                <w:b/>
                <w:szCs w:val="24"/>
              </w:rPr>
              <w:t xml:space="preserve">Issue Description </w:t>
            </w:r>
            <w:r w:rsidRPr="00B21277">
              <w:rPr>
                <w:i/>
                <w:szCs w:val="24"/>
              </w:rPr>
              <w:t>(Mandatory by originator)</w:t>
            </w:r>
          </w:p>
          <w:p w:rsidR="00486BFB" w:rsidRPr="00486BFB" w:rsidRDefault="00486BFB" w:rsidP="00486BFB">
            <w:pPr>
              <w:spacing w:after="240"/>
              <w:rPr>
                <w:szCs w:val="24"/>
              </w:rPr>
            </w:pPr>
            <w:r w:rsidRPr="00486BFB">
              <w:rPr>
                <w:szCs w:val="24"/>
              </w:rPr>
              <w:t xml:space="preserve">Modification Proposal </w:t>
            </w:r>
            <w:hyperlink r:id="rId9" w:history="1">
              <w:r w:rsidRPr="00FC031E">
                <w:rPr>
                  <w:rStyle w:val="Hyperlink"/>
                  <w:szCs w:val="24"/>
                </w:rPr>
                <w:t>P344 ‘Project TERRE implementation into GB market arrangements’</w:t>
              </w:r>
            </w:hyperlink>
            <w:r w:rsidRPr="00486BFB">
              <w:rPr>
                <w:szCs w:val="24"/>
              </w:rPr>
              <w:t xml:space="preserve"> seeks to align the Balancing and Settlement Code (BSC) with the European Balancing Project TERRE (Trans European Replacement Reserves Exchange) requirements. A final Ofgem decision is expected by 31 July 2018.</w:t>
            </w:r>
          </w:p>
          <w:p w:rsidR="00486BFB" w:rsidRPr="00FC031E" w:rsidRDefault="00486BFB" w:rsidP="00486BFB">
            <w:pPr>
              <w:spacing w:after="240"/>
              <w:rPr>
                <w:b/>
                <w:szCs w:val="24"/>
              </w:rPr>
            </w:pPr>
            <w:r w:rsidRPr="00FC031E">
              <w:rPr>
                <w:b/>
                <w:szCs w:val="24"/>
              </w:rPr>
              <w:t xml:space="preserve">Existing BM Settlement arrangements and TERRE </w:t>
            </w:r>
          </w:p>
          <w:p w:rsidR="00486BFB" w:rsidRPr="00486BFB" w:rsidRDefault="00486BFB" w:rsidP="00486BFB">
            <w:pPr>
              <w:spacing w:after="240"/>
              <w:rPr>
                <w:szCs w:val="24"/>
              </w:rPr>
            </w:pPr>
            <w:r w:rsidRPr="00486BFB">
              <w:rPr>
                <w:szCs w:val="24"/>
              </w:rPr>
              <w:t xml:space="preserve">The P344 solution is intended to facilitate participation in the Balancing Mechanism (BM) and TERRE by a wider range of </w:t>
            </w:r>
            <w:r w:rsidR="006419FE">
              <w:rPr>
                <w:szCs w:val="24"/>
              </w:rPr>
              <w:t xml:space="preserve">industry </w:t>
            </w:r>
            <w:r w:rsidRPr="00486BFB">
              <w:rPr>
                <w:szCs w:val="24"/>
              </w:rPr>
              <w:t xml:space="preserve">market participants, including customers and independent aggregators. It is envisaged that the existing BM Settlement arrangements will remain unchanged. Under the BM, National Grid can issue MW profile instructions to a BM Unit to deviate from a MW baseline. </w:t>
            </w:r>
          </w:p>
          <w:p w:rsidR="00486BFB" w:rsidRPr="00486BFB" w:rsidRDefault="00486BFB" w:rsidP="00486BFB">
            <w:pPr>
              <w:spacing w:after="240"/>
              <w:rPr>
                <w:szCs w:val="24"/>
              </w:rPr>
            </w:pPr>
            <w:r w:rsidRPr="00486BFB">
              <w:rPr>
                <w:szCs w:val="24"/>
              </w:rPr>
              <w:t xml:space="preserve">Balancing Service providers that want to participate in the BM must indicate at what </w:t>
            </w:r>
            <w:r w:rsidR="00667996">
              <w:rPr>
                <w:szCs w:val="24"/>
              </w:rPr>
              <w:t>mega-watt (M</w:t>
            </w:r>
            <w:r w:rsidRPr="00486BFB">
              <w:rPr>
                <w:szCs w:val="24"/>
              </w:rPr>
              <w:t>W</w:t>
            </w:r>
            <w:r w:rsidR="00667996">
              <w:rPr>
                <w:szCs w:val="24"/>
              </w:rPr>
              <w:t>)</w:t>
            </w:r>
            <w:r w:rsidRPr="00486BFB">
              <w:rPr>
                <w:szCs w:val="24"/>
              </w:rPr>
              <w:t xml:space="preserve"> level they expect their BM Unit to be at for any given Settlement Period. This is known in the Grid Code as a Physical Notification (PN). At Gate Closure this MW level is finalised and sent to Settlement where it is termed the BM Unit’s Final Physical Notification (FPN) and acts as a baseline for any future deviation instructions from National Grid. </w:t>
            </w:r>
          </w:p>
          <w:p w:rsidR="00486BFB" w:rsidRPr="00486BFB" w:rsidRDefault="00486BFB" w:rsidP="00486BFB">
            <w:pPr>
              <w:spacing w:after="240"/>
              <w:rPr>
                <w:szCs w:val="24"/>
              </w:rPr>
            </w:pPr>
            <w:r w:rsidRPr="00486BFB">
              <w:rPr>
                <w:szCs w:val="24"/>
              </w:rPr>
              <w:t xml:space="preserve">For each instruction received, Settlement calculates Offer or Bid Acceptance Volumes based on the difference between the instruction and the baseline. BM participants are settled (i.e. paid or must pay) on the basis of these volumes. </w:t>
            </w:r>
          </w:p>
          <w:p w:rsidR="00486BFB" w:rsidRPr="00486BFB" w:rsidRDefault="00486BFB" w:rsidP="00486BFB">
            <w:pPr>
              <w:spacing w:after="240"/>
              <w:rPr>
                <w:szCs w:val="24"/>
              </w:rPr>
            </w:pPr>
            <w:r w:rsidRPr="00486BFB">
              <w:rPr>
                <w:szCs w:val="24"/>
              </w:rPr>
              <w:t xml:space="preserve">A Replacement Reserve (RR) Instruction will work similar to normal BM instructions; with National Grid issuing an instruction sent to the control point of an RR accepted BM Unit to deviate from their current committed level. </w:t>
            </w:r>
          </w:p>
          <w:p w:rsidR="00486BFB" w:rsidRPr="00486BFB" w:rsidRDefault="00486BFB" w:rsidP="00486BFB">
            <w:pPr>
              <w:spacing w:after="240"/>
              <w:rPr>
                <w:szCs w:val="24"/>
              </w:rPr>
            </w:pPr>
            <w:r w:rsidRPr="00486BFB">
              <w:rPr>
                <w:szCs w:val="24"/>
              </w:rPr>
              <w:t>P344 Workgroup members noted that the requirement to provide a Physical Notification (ahead of Gate Closure) may be problematic for customers and independent aggregators, where the asset they control (and whose output they can forecast accurately) may share a network connection with other Demand or Generation whose output is outside of their control. In this situation, the expertise for new market entrants lies in calculating the cumulative change for the customer’s sites but not the cumulative change relative to total Demand for those customer sites.</w:t>
            </w:r>
          </w:p>
          <w:p w:rsidR="00486BFB" w:rsidRPr="00486BFB" w:rsidRDefault="00486BFB" w:rsidP="00486BFB">
            <w:pPr>
              <w:spacing w:after="240"/>
              <w:rPr>
                <w:szCs w:val="24"/>
              </w:rPr>
            </w:pPr>
            <w:r w:rsidRPr="00486BFB">
              <w:rPr>
                <w:szCs w:val="24"/>
              </w:rPr>
              <w:t>Inaccurate PN’s may lead to customers not being paid fully for delivery even if they had responded as requested, which will deter them from offering their services or pricing in</w:t>
            </w:r>
            <w:r w:rsidR="00FC031E">
              <w:rPr>
                <w:szCs w:val="24"/>
              </w:rPr>
              <w:t xml:space="preserve"> this risk thus increasing cost.</w:t>
            </w:r>
            <w:r w:rsidR="00FB293A">
              <w:rPr>
                <w:szCs w:val="24"/>
              </w:rPr>
              <w:t xml:space="preserve"> </w:t>
            </w:r>
            <w:r w:rsidRPr="00486BFB">
              <w:rPr>
                <w:szCs w:val="24"/>
              </w:rPr>
              <w:t xml:space="preserve">Where a site has demand which fluctuates and is not static or predictable this further compounds the problem. </w:t>
            </w:r>
          </w:p>
          <w:p w:rsidR="00486BFB" w:rsidRPr="00FC031E" w:rsidRDefault="00486BFB" w:rsidP="00486BFB">
            <w:pPr>
              <w:spacing w:after="240"/>
              <w:rPr>
                <w:b/>
                <w:szCs w:val="24"/>
              </w:rPr>
            </w:pPr>
            <w:r w:rsidRPr="00FC031E">
              <w:rPr>
                <w:b/>
                <w:szCs w:val="24"/>
              </w:rPr>
              <w:lastRenderedPageBreak/>
              <w:t xml:space="preserve">Justification for Examining Issue </w:t>
            </w:r>
            <w:r w:rsidRPr="00FC031E">
              <w:rPr>
                <w:szCs w:val="24"/>
              </w:rPr>
              <w:t>(Mandatory by originator)</w:t>
            </w:r>
          </w:p>
          <w:p w:rsidR="003F5412" w:rsidRPr="007F50CB" w:rsidRDefault="003F5412" w:rsidP="003F5412">
            <w:pPr>
              <w:pStyle w:val="Default"/>
              <w:rPr>
                <w:color w:val="auto"/>
              </w:rPr>
            </w:pPr>
            <w:r w:rsidRPr="007F50CB">
              <w:rPr>
                <w:color w:val="auto"/>
              </w:rPr>
              <w:t xml:space="preserve">The EB GL requires that </w:t>
            </w:r>
            <w:r>
              <w:rPr>
                <w:color w:val="auto"/>
              </w:rPr>
              <w:t>Transmission System Operators (</w:t>
            </w:r>
            <w:r w:rsidRPr="007F50CB">
              <w:rPr>
                <w:color w:val="auto"/>
              </w:rPr>
              <w:t>TSOs</w:t>
            </w:r>
            <w:r>
              <w:rPr>
                <w:color w:val="auto"/>
              </w:rPr>
              <w:t>)</w:t>
            </w:r>
            <w:r w:rsidRPr="007F50CB">
              <w:rPr>
                <w:color w:val="auto"/>
              </w:rPr>
              <w:t xml:space="preserve"> facilitate demand response participation in TERRE, including independent aggregation facilities and energy storage. Ofgem defi</w:t>
            </w:r>
            <w:r>
              <w:rPr>
                <w:color w:val="auto"/>
              </w:rPr>
              <w:t>nes independent aggregators as P</w:t>
            </w:r>
            <w:r w:rsidRPr="007F50CB">
              <w:rPr>
                <w:color w:val="auto"/>
              </w:rPr>
              <w:t>arties who bundle changes in consumers</w:t>
            </w:r>
            <w:r>
              <w:rPr>
                <w:color w:val="auto"/>
              </w:rPr>
              <w:t>’</w:t>
            </w:r>
            <w:r w:rsidRPr="007F50CB">
              <w:rPr>
                <w:color w:val="auto"/>
              </w:rPr>
              <w:t xml:space="preserve"> loads or distributed generation output for sale in organised markets and who do not simultaneously supply the customer with energy.</w:t>
            </w:r>
          </w:p>
          <w:p w:rsidR="003F5412" w:rsidRPr="007F50CB" w:rsidRDefault="003F5412" w:rsidP="003F5412">
            <w:pPr>
              <w:pStyle w:val="Default"/>
              <w:rPr>
                <w:color w:val="auto"/>
              </w:rPr>
            </w:pPr>
          </w:p>
          <w:p w:rsidR="003F5412" w:rsidRPr="007F50CB" w:rsidRDefault="003F5412" w:rsidP="003F5412">
            <w:pPr>
              <w:pStyle w:val="Default"/>
              <w:rPr>
                <w:color w:val="auto"/>
              </w:rPr>
            </w:pPr>
            <w:r w:rsidRPr="007F50CB">
              <w:rPr>
                <w:color w:val="auto"/>
              </w:rPr>
              <w:t xml:space="preserve">P344 as it currently stands facilitates the participation of Independent Aggregators in </w:t>
            </w:r>
            <w:r>
              <w:rPr>
                <w:color w:val="auto"/>
              </w:rPr>
              <w:t>RR</w:t>
            </w:r>
            <w:r w:rsidRPr="007F50CB">
              <w:rPr>
                <w:color w:val="auto"/>
              </w:rPr>
              <w:t xml:space="preserve"> by creating Virtual Lead Parties.</w:t>
            </w:r>
          </w:p>
          <w:p w:rsidR="003F5412" w:rsidRPr="007F50CB" w:rsidRDefault="003F5412" w:rsidP="003F5412">
            <w:pPr>
              <w:pStyle w:val="Default"/>
              <w:rPr>
                <w:color w:val="auto"/>
              </w:rPr>
            </w:pPr>
          </w:p>
          <w:p w:rsidR="003F5412" w:rsidRPr="007F50CB" w:rsidRDefault="003F5412" w:rsidP="003F5412">
            <w:pPr>
              <w:pStyle w:val="Default"/>
              <w:rPr>
                <w:color w:val="auto"/>
              </w:rPr>
            </w:pPr>
            <w:r w:rsidRPr="007F50CB">
              <w:rPr>
                <w:color w:val="auto"/>
              </w:rPr>
              <w:t>However</w:t>
            </w:r>
            <w:r>
              <w:rPr>
                <w:color w:val="auto"/>
              </w:rPr>
              <w:t>,</w:t>
            </w:r>
            <w:r w:rsidRPr="007F50CB">
              <w:rPr>
                <w:color w:val="auto"/>
              </w:rPr>
              <w:t xml:space="preserve"> </w:t>
            </w:r>
            <w:r>
              <w:rPr>
                <w:color w:val="auto"/>
              </w:rPr>
              <w:t>there is a potential that the aforementioned issues could</w:t>
            </w:r>
            <w:r w:rsidRPr="007F50CB">
              <w:rPr>
                <w:color w:val="auto"/>
              </w:rPr>
              <w:t xml:space="preserve"> create a barrier to entry to certain customer sites </w:t>
            </w:r>
            <w:r>
              <w:rPr>
                <w:color w:val="auto"/>
              </w:rPr>
              <w:t>and hence, the</w:t>
            </w:r>
            <w:r w:rsidRPr="007F50CB">
              <w:rPr>
                <w:color w:val="auto"/>
              </w:rPr>
              <w:t xml:space="preserve"> participation of Demand Response in </w:t>
            </w:r>
            <w:r>
              <w:rPr>
                <w:color w:val="auto"/>
              </w:rPr>
              <w:t>RR</w:t>
            </w:r>
            <w:r w:rsidRPr="007F50CB">
              <w:rPr>
                <w:color w:val="auto"/>
              </w:rPr>
              <w:t xml:space="preserve"> </w:t>
            </w:r>
            <w:r>
              <w:rPr>
                <w:color w:val="auto"/>
              </w:rPr>
              <w:t>may</w:t>
            </w:r>
            <w:r w:rsidRPr="007F50CB">
              <w:rPr>
                <w:color w:val="auto"/>
              </w:rPr>
              <w:t xml:space="preserve"> not </w:t>
            </w:r>
            <w:r>
              <w:rPr>
                <w:color w:val="auto"/>
              </w:rPr>
              <w:t xml:space="preserve">be </w:t>
            </w:r>
            <w:r w:rsidRPr="007F50CB">
              <w:rPr>
                <w:color w:val="auto"/>
              </w:rPr>
              <w:t xml:space="preserve">optimised. </w:t>
            </w:r>
          </w:p>
          <w:p w:rsidR="003F5412" w:rsidRDefault="003F5412" w:rsidP="003F5412">
            <w:pPr>
              <w:pStyle w:val="Default"/>
              <w:rPr>
                <w:color w:val="auto"/>
              </w:rPr>
            </w:pPr>
          </w:p>
          <w:p w:rsidR="003F5412" w:rsidRDefault="003F5412" w:rsidP="003F5412">
            <w:pPr>
              <w:pStyle w:val="Default"/>
              <w:rPr>
                <w:color w:val="auto"/>
              </w:rPr>
            </w:pPr>
            <w:r w:rsidRPr="007F50CB">
              <w:rPr>
                <w:color w:val="auto"/>
              </w:rPr>
              <w:t xml:space="preserve">P344 must be implemented </w:t>
            </w:r>
            <w:r>
              <w:rPr>
                <w:color w:val="auto"/>
              </w:rPr>
              <w:t>in a manner to</w:t>
            </w:r>
            <w:r w:rsidRPr="007F50CB">
              <w:rPr>
                <w:color w:val="auto"/>
              </w:rPr>
              <w:t xml:space="preserve"> allow the </w:t>
            </w:r>
            <w:r>
              <w:rPr>
                <w:color w:val="auto"/>
              </w:rPr>
              <w:t>i</w:t>
            </w:r>
            <w:r w:rsidRPr="007F50CB">
              <w:rPr>
                <w:color w:val="auto"/>
              </w:rPr>
              <w:t xml:space="preserve">mplementation of Project </w:t>
            </w:r>
            <w:r>
              <w:rPr>
                <w:color w:val="auto"/>
              </w:rPr>
              <w:t>TERRE</w:t>
            </w:r>
            <w:r w:rsidRPr="007F50CB">
              <w:rPr>
                <w:color w:val="auto"/>
              </w:rPr>
              <w:t xml:space="preserve"> </w:t>
            </w:r>
            <w:r>
              <w:rPr>
                <w:color w:val="auto"/>
              </w:rPr>
              <w:t>t</w:t>
            </w:r>
            <w:r w:rsidRPr="007F50CB">
              <w:rPr>
                <w:color w:val="auto"/>
              </w:rPr>
              <w:t xml:space="preserve">o meet the </w:t>
            </w:r>
            <w:r>
              <w:rPr>
                <w:color w:val="auto"/>
              </w:rPr>
              <w:t xml:space="preserve">go-live </w:t>
            </w:r>
            <w:r w:rsidRPr="007F50CB">
              <w:rPr>
                <w:color w:val="auto"/>
              </w:rPr>
              <w:t xml:space="preserve">deadline of </w:t>
            </w:r>
            <w:r>
              <w:rPr>
                <w:color w:val="auto"/>
              </w:rPr>
              <w:t xml:space="preserve">December 2019 and Modification legal text Implementation Date of February </w:t>
            </w:r>
            <w:r w:rsidRPr="007F50CB">
              <w:rPr>
                <w:color w:val="auto"/>
              </w:rPr>
              <w:t>2019</w:t>
            </w:r>
            <w:r>
              <w:rPr>
                <w:color w:val="auto"/>
              </w:rPr>
              <w:t>.</w:t>
            </w:r>
            <w:r w:rsidRPr="007F50CB">
              <w:rPr>
                <w:color w:val="auto"/>
              </w:rPr>
              <w:t xml:space="preserve"> </w:t>
            </w:r>
            <w:r>
              <w:rPr>
                <w:color w:val="auto"/>
              </w:rPr>
              <w:t>T</w:t>
            </w:r>
            <w:r w:rsidRPr="007F50CB">
              <w:rPr>
                <w:color w:val="auto"/>
              </w:rPr>
              <w:t>herefore</w:t>
            </w:r>
            <w:r>
              <w:rPr>
                <w:color w:val="auto"/>
              </w:rPr>
              <w:t xml:space="preserve">, the </w:t>
            </w:r>
            <w:r w:rsidRPr="007F50CB">
              <w:rPr>
                <w:color w:val="auto"/>
              </w:rPr>
              <w:t>‘Behind the Meter’ issue</w:t>
            </w:r>
            <w:r>
              <w:rPr>
                <w:color w:val="auto"/>
              </w:rPr>
              <w:t xml:space="preserve"> is being discussed separately to P344</w:t>
            </w:r>
            <w:r w:rsidRPr="007F50CB">
              <w:rPr>
                <w:color w:val="auto"/>
              </w:rPr>
              <w:t xml:space="preserve">. The issues noted require careful consideration </w:t>
            </w:r>
            <w:r>
              <w:rPr>
                <w:color w:val="auto"/>
              </w:rPr>
              <w:t>to</w:t>
            </w:r>
            <w:r w:rsidRPr="007F50CB">
              <w:rPr>
                <w:color w:val="auto"/>
              </w:rPr>
              <w:t xml:space="preserve"> maintain a level playing field </w:t>
            </w:r>
            <w:r>
              <w:rPr>
                <w:color w:val="auto"/>
              </w:rPr>
              <w:t xml:space="preserve">and facilitate market </w:t>
            </w:r>
            <w:r w:rsidRPr="007F50CB">
              <w:rPr>
                <w:color w:val="auto"/>
              </w:rPr>
              <w:t>competition.</w:t>
            </w:r>
          </w:p>
          <w:p w:rsidR="003F5412" w:rsidRPr="007F50CB" w:rsidRDefault="003F5412" w:rsidP="003F5412">
            <w:pPr>
              <w:pStyle w:val="Default"/>
              <w:rPr>
                <w:color w:val="auto"/>
              </w:rPr>
            </w:pPr>
          </w:p>
          <w:p w:rsidR="00486BFB" w:rsidRPr="00486BFB" w:rsidRDefault="003F5412" w:rsidP="00486BFB">
            <w:pPr>
              <w:spacing w:after="240"/>
              <w:rPr>
                <w:szCs w:val="24"/>
              </w:rPr>
            </w:pPr>
            <w:r>
              <w:rPr>
                <w:szCs w:val="24"/>
              </w:rPr>
              <w:t>This</w:t>
            </w:r>
            <w:r w:rsidR="00486BFB" w:rsidRPr="00486BFB">
              <w:rPr>
                <w:szCs w:val="24"/>
              </w:rPr>
              <w:t xml:space="preserve"> </w:t>
            </w:r>
            <w:r>
              <w:rPr>
                <w:szCs w:val="24"/>
              </w:rPr>
              <w:t>I</w:t>
            </w:r>
            <w:r w:rsidR="00486BFB" w:rsidRPr="00486BFB">
              <w:rPr>
                <w:szCs w:val="24"/>
              </w:rPr>
              <w:t xml:space="preserve">ssue will work alongside the ‘Settlement of Secondary BM Units using </w:t>
            </w:r>
            <w:r>
              <w:rPr>
                <w:szCs w:val="24"/>
              </w:rPr>
              <w:t>m</w:t>
            </w:r>
            <w:r w:rsidR="00486BFB" w:rsidRPr="00486BFB">
              <w:rPr>
                <w:szCs w:val="24"/>
              </w:rPr>
              <w:t>etering at the asset’ Issue group.</w:t>
            </w:r>
          </w:p>
          <w:p w:rsidR="00486BFB" w:rsidRPr="00486BFB" w:rsidRDefault="00486BFB" w:rsidP="00486BFB">
            <w:pPr>
              <w:spacing w:after="240"/>
              <w:rPr>
                <w:szCs w:val="24"/>
              </w:rPr>
            </w:pPr>
            <w:r w:rsidRPr="00486BFB">
              <w:rPr>
                <w:szCs w:val="24"/>
              </w:rPr>
              <w:t>Resolving these issues would better facilitate the following Applicable BSC Objectives:</w:t>
            </w:r>
          </w:p>
          <w:p w:rsidR="00486BFB" w:rsidRPr="00486BFB" w:rsidRDefault="00486BFB" w:rsidP="00413784">
            <w:pPr>
              <w:rPr>
                <w:b/>
                <w:szCs w:val="24"/>
              </w:rPr>
            </w:pPr>
            <w:r w:rsidRPr="00486BFB">
              <w:rPr>
                <w:b/>
                <w:szCs w:val="24"/>
              </w:rPr>
              <w:t xml:space="preserve">(b) The efficient, economic and co-ordinated operation of the national electricity transmission system; as by improving objective </w:t>
            </w:r>
          </w:p>
          <w:p w:rsidR="003F5412" w:rsidRPr="00286356" w:rsidRDefault="003F5412" w:rsidP="003F5412">
            <w:pPr>
              <w:pStyle w:val="Default"/>
              <w:rPr>
                <w:color w:val="auto"/>
              </w:rPr>
            </w:pPr>
            <w:r>
              <w:rPr>
                <w:color w:val="auto"/>
              </w:rPr>
              <w:t>R</w:t>
            </w:r>
            <w:r w:rsidRPr="00286356">
              <w:rPr>
                <w:color w:val="auto"/>
              </w:rPr>
              <w:t xml:space="preserve">emoving a barrier to entry for Independent Aggregators to the provision of </w:t>
            </w:r>
            <w:r>
              <w:rPr>
                <w:color w:val="auto"/>
              </w:rPr>
              <w:t>RR will</w:t>
            </w:r>
            <w:r w:rsidRPr="00286356">
              <w:rPr>
                <w:color w:val="auto"/>
              </w:rPr>
              <w:t xml:space="preserve"> increases the options available to National Grid when balancing the System, thus leading to more efficient and economic balancing actions being </w:t>
            </w:r>
            <w:r>
              <w:rPr>
                <w:color w:val="auto"/>
              </w:rPr>
              <w:t>procured</w:t>
            </w:r>
            <w:r w:rsidRPr="00286356">
              <w:rPr>
                <w:color w:val="auto"/>
              </w:rPr>
              <w:t xml:space="preserve">. </w:t>
            </w:r>
          </w:p>
          <w:p w:rsidR="003F5412" w:rsidRDefault="003F5412" w:rsidP="00413784">
            <w:pPr>
              <w:rPr>
                <w:b/>
                <w:szCs w:val="24"/>
              </w:rPr>
            </w:pPr>
            <w:r w:rsidRPr="00486BFB" w:rsidDel="003F5412">
              <w:rPr>
                <w:szCs w:val="24"/>
              </w:rPr>
              <w:t xml:space="preserve"> </w:t>
            </w:r>
          </w:p>
          <w:p w:rsidR="00486BFB" w:rsidRDefault="00486BFB" w:rsidP="00413784">
            <w:pPr>
              <w:rPr>
                <w:b/>
                <w:szCs w:val="24"/>
              </w:rPr>
            </w:pPr>
            <w:r w:rsidRPr="00486BFB">
              <w:rPr>
                <w:b/>
                <w:szCs w:val="24"/>
              </w:rPr>
              <w:t>(c) Promoting effective competition in the generation and supply of electricity, and (so far as consistent therewith) promoting such competition in the sale and purchase of electricity</w:t>
            </w:r>
          </w:p>
          <w:p w:rsidR="003F5412" w:rsidRPr="00286356" w:rsidRDefault="003F5412" w:rsidP="003F5412">
            <w:pPr>
              <w:pStyle w:val="Default"/>
              <w:rPr>
                <w:color w:val="auto"/>
              </w:rPr>
            </w:pPr>
            <w:r w:rsidRPr="00286356">
              <w:rPr>
                <w:color w:val="auto"/>
              </w:rPr>
              <w:t xml:space="preserve">Encouraging increased participation </w:t>
            </w:r>
            <w:r>
              <w:rPr>
                <w:color w:val="auto"/>
              </w:rPr>
              <w:t xml:space="preserve">within the market </w:t>
            </w:r>
            <w:r w:rsidRPr="00286356">
              <w:rPr>
                <w:color w:val="auto"/>
              </w:rPr>
              <w:t>enhances</w:t>
            </w:r>
            <w:r>
              <w:rPr>
                <w:color w:val="auto"/>
              </w:rPr>
              <w:t xml:space="preserve"> Applicable BSC</w:t>
            </w:r>
            <w:r w:rsidRPr="00286356">
              <w:rPr>
                <w:color w:val="auto"/>
              </w:rPr>
              <w:t xml:space="preserve"> </w:t>
            </w:r>
            <w:r>
              <w:rPr>
                <w:color w:val="auto"/>
              </w:rPr>
              <w:t>O</w:t>
            </w:r>
            <w:r w:rsidRPr="00286356">
              <w:rPr>
                <w:color w:val="auto"/>
              </w:rPr>
              <w:t>bjective (c) but only if this is achieved not at the expense of other providers</w:t>
            </w:r>
            <w:r>
              <w:rPr>
                <w:color w:val="auto"/>
              </w:rPr>
              <w:t>. Therefore,</w:t>
            </w:r>
            <w:r w:rsidRPr="00286356">
              <w:rPr>
                <w:color w:val="auto"/>
              </w:rPr>
              <w:t xml:space="preserve"> careful consideration </w:t>
            </w:r>
            <w:r>
              <w:rPr>
                <w:color w:val="auto"/>
              </w:rPr>
              <w:t>of</w:t>
            </w:r>
            <w:r w:rsidRPr="00286356">
              <w:rPr>
                <w:color w:val="auto"/>
              </w:rPr>
              <w:t xml:space="preserve"> the potential solutions</w:t>
            </w:r>
            <w:r>
              <w:rPr>
                <w:color w:val="auto"/>
              </w:rPr>
              <w:t xml:space="preserve"> is required</w:t>
            </w:r>
            <w:r w:rsidRPr="00286356">
              <w:rPr>
                <w:color w:val="auto"/>
              </w:rPr>
              <w:t>.</w:t>
            </w:r>
          </w:p>
          <w:p w:rsidR="003F5412" w:rsidRDefault="003F5412" w:rsidP="00413784">
            <w:pPr>
              <w:rPr>
                <w:szCs w:val="24"/>
              </w:rPr>
            </w:pPr>
          </w:p>
          <w:p w:rsidR="00E33C8C" w:rsidRPr="006F1ACC" w:rsidRDefault="00E33C8C" w:rsidP="003F5412">
            <w:pPr>
              <w:pStyle w:val="Default"/>
              <w:rPr>
                <w:color w:val="auto"/>
              </w:rPr>
            </w:pPr>
            <w:r w:rsidRPr="00BF607D">
              <w:rPr>
                <w:b/>
                <w:color w:val="auto"/>
              </w:rPr>
              <w:t xml:space="preserve">(e) </w:t>
            </w:r>
            <w:r>
              <w:rPr>
                <w:b/>
                <w:color w:val="auto"/>
              </w:rPr>
              <w:t>C</w:t>
            </w:r>
            <w:r w:rsidRPr="00BF607D">
              <w:rPr>
                <w:b/>
                <w:color w:val="auto"/>
              </w:rPr>
              <w:t>ompliance with the Electricity Regulation and any relevant legally binding decision of the European Commission and/or the Agency</w:t>
            </w:r>
            <w:r>
              <w:rPr>
                <w:b/>
                <w:color w:val="auto"/>
              </w:rPr>
              <w:t xml:space="preserve"> [for the Co-operation of Energy Regulators]</w:t>
            </w:r>
            <w:r w:rsidRPr="006F1ACC">
              <w:rPr>
                <w:color w:val="auto"/>
              </w:rPr>
              <w:t xml:space="preserve"> </w:t>
            </w:r>
          </w:p>
          <w:p w:rsidR="00E33C8C" w:rsidRDefault="00E33C8C" w:rsidP="00413784">
            <w:r w:rsidRPr="00B21277">
              <w:t xml:space="preserve">By </w:t>
            </w:r>
            <w:r w:rsidR="00D562A5">
              <w:t xml:space="preserve">better </w:t>
            </w:r>
            <w:r w:rsidRPr="00B21277">
              <w:t>facilitating participation in TERRE of Independent Aggregators</w:t>
            </w:r>
            <w:r>
              <w:t>, Applicable BSC Objective (e) is better facilitated.</w:t>
            </w:r>
          </w:p>
          <w:p w:rsidR="003F5412" w:rsidRPr="00B21277" w:rsidRDefault="003F5412" w:rsidP="00413784">
            <w:pPr>
              <w:rPr>
                <w:szCs w:val="24"/>
              </w:rPr>
            </w:pPr>
          </w:p>
        </w:tc>
      </w:tr>
      <w:tr w:rsidR="00B21277" w:rsidRPr="00B21277" w:rsidTr="00316F01">
        <w:tc>
          <w:tcPr>
            <w:tcW w:w="5000" w:type="pct"/>
            <w:gridSpan w:val="2"/>
          </w:tcPr>
          <w:p w:rsidR="007D79CB" w:rsidRPr="00476B5F" w:rsidRDefault="007D79CB" w:rsidP="003660D5">
            <w:pPr>
              <w:spacing w:after="240"/>
              <w:rPr>
                <w:b/>
                <w:szCs w:val="24"/>
                <w:u w:val="single"/>
              </w:rPr>
            </w:pPr>
            <w:r w:rsidRPr="00476B5F">
              <w:rPr>
                <w:b/>
                <w:szCs w:val="24"/>
                <w:u w:val="single"/>
              </w:rPr>
              <w:lastRenderedPageBreak/>
              <w:t>Potential Solution</w:t>
            </w:r>
          </w:p>
          <w:p w:rsidR="00F91B45" w:rsidRDefault="00F91B45" w:rsidP="00F91B45">
            <w:pPr>
              <w:spacing w:after="240"/>
              <w:rPr>
                <w:szCs w:val="24"/>
              </w:rPr>
            </w:pPr>
            <w:r>
              <w:rPr>
                <w:szCs w:val="24"/>
              </w:rPr>
              <w:t xml:space="preserve">Where the Lead Party of a BM Unit has elected to use the solution, they would still submit a Physical Notification to the Transmission Company (in accordance with the Grid Code) for </w:t>
            </w:r>
            <w:r w:rsidR="00D562A5">
              <w:rPr>
                <w:szCs w:val="24"/>
              </w:rPr>
              <w:t xml:space="preserve">dispatch </w:t>
            </w:r>
            <w:r>
              <w:rPr>
                <w:szCs w:val="24"/>
              </w:rPr>
              <w:t xml:space="preserve">purposes; but this Physical Notification would no longer be used in </w:t>
            </w:r>
            <w:r w:rsidR="00D562A5">
              <w:rPr>
                <w:szCs w:val="24"/>
              </w:rPr>
              <w:t>S</w:t>
            </w:r>
            <w:r>
              <w:rPr>
                <w:szCs w:val="24"/>
              </w:rPr>
              <w:t xml:space="preserve">ettlement to determine the Non-Delivery Volume. BSC Systems would instead calculate a </w:t>
            </w:r>
            <w:r w:rsidR="001E3D0F">
              <w:rPr>
                <w:szCs w:val="24"/>
              </w:rPr>
              <w:t>b</w:t>
            </w:r>
            <w:r>
              <w:rPr>
                <w:szCs w:val="24"/>
              </w:rPr>
              <w:t xml:space="preserve">aseline (in </w:t>
            </w:r>
            <w:r>
              <w:rPr>
                <w:szCs w:val="24"/>
              </w:rPr>
              <w:lastRenderedPageBreak/>
              <w:t xml:space="preserve">accordance with a </w:t>
            </w:r>
            <w:r w:rsidR="001E3D0F">
              <w:rPr>
                <w:szCs w:val="24"/>
              </w:rPr>
              <w:t>b</w:t>
            </w:r>
            <w:r>
              <w:rPr>
                <w:szCs w:val="24"/>
              </w:rPr>
              <w:t xml:space="preserve">aseline </w:t>
            </w:r>
            <w:r w:rsidR="001E3D0F">
              <w:rPr>
                <w:szCs w:val="24"/>
              </w:rPr>
              <w:t>m</w:t>
            </w:r>
            <w:r>
              <w:rPr>
                <w:szCs w:val="24"/>
              </w:rPr>
              <w:t>ethodology), which would be used to determine whether the BM Unit had delivered the required acceptance.</w:t>
            </w:r>
          </w:p>
          <w:p w:rsidR="00CB33F3" w:rsidRPr="00476B5F" w:rsidRDefault="00CB33F3" w:rsidP="003660D5">
            <w:pPr>
              <w:spacing w:after="240"/>
              <w:rPr>
                <w:b/>
                <w:szCs w:val="24"/>
                <w:u w:val="single"/>
              </w:rPr>
            </w:pPr>
            <w:r w:rsidRPr="00476B5F">
              <w:rPr>
                <w:b/>
                <w:szCs w:val="24"/>
                <w:u w:val="single"/>
              </w:rPr>
              <w:t>Dispatch</w:t>
            </w:r>
          </w:p>
          <w:p w:rsidR="007B32CF" w:rsidRDefault="007B32CF" w:rsidP="003660D5">
            <w:pPr>
              <w:spacing w:after="240"/>
              <w:rPr>
                <w:szCs w:val="24"/>
              </w:rPr>
            </w:pPr>
            <w:r>
              <w:rPr>
                <w:szCs w:val="24"/>
              </w:rPr>
              <w:t>T</w:t>
            </w:r>
            <w:r w:rsidR="00F91B45">
              <w:rPr>
                <w:szCs w:val="24"/>
              </w:rPr>
              <w:t>he Transmission Company</w:t>
            </w:r>
            <w:r>
              <w:rPr>
                <w:szCs w:val="24"/>
              </w:rPr>
              <w:t xml:space="preserve"> would (as currently) d</w:t>
            </w:r>
            <w:r w:rsidR="009C37D4">
              <w:rPr>
                <w:szCs w:val="24"/>
              </w:rPr>
              <w:t>i</w:t>
            </w:r>
            <w:r>
              <w:rPr>
                <w:szCs w:val="24"/>
              </w:rPr>
              <w:t>spatch a BM Unit by issuing a Bid Offer Acceptance (</w:t>
            </w:r>
            <w:r w:rsidR="002B5099">
              <w:rPr>
                <w:szCs w:val="24"/>
              </w:rPr>
              <w:t xml:space="preserve">BOA) </w:t>
            </w:r>
            <w:r>
              <w:rPr>
                <w:szCs w:val="24"/>
              </w:rPr>
              <w:t xml:space="preserve">or </w:t>
            </w:r>
            <w:r w:rsidR="00C404F3">
              <w:rPr>
                <w:szCs w:val="24"/>
              </w:rPr>
              <w:t>RR</w:t>
            </w:r>
            <w:r>
              <w:rPr>
                <w:szCs w:val="24"/>
              </w:rPr>
              <w:t xml:space="preserve"> Instruction</w:t>
            </w:r>
            <w:r w:rsidR="002B5099">
              <w:rPr>
                <w:szCs w:val="24"/>
              </w:rPr>
              <w:t xml:space="preserve"> (RRI)</w:t>
            </w:r>
            <w:r>
              <w:rPr>
                <w:szCs w:val="24"/>
              </w:rPr>
              <w:t xml:space="preserve"> constructed with reference to </w:t>
            </w:r>
            <w:r w:rsidR="00DA7FC4">
              <w:rPr>
                <w:szCs w:val="24"/>
              </w:rPr>
              <w:t>the</w:t>
            </w:r>
            <w:r>
              <w:rPr>
                <w:szCs w:val="24"/>
              </w:rPr>
              <w:t xml:space="preserve"> Physical Notification submitted by the Lead Party. The nature of this </w:t>
            </w:r>
            <w:r w:rsidR="00C404F3">
              <w:rPr>
                <w:szCs w:val="24"/>
              </w:rPr>
              <w:t xml:space="preserve">PN </w:t>
            </w:r>
            <w:r>
              <w:rPr>
                <w:szCs w:val="24"/>
              </w:rPr>
              <w:t xml:space="preserve">is a matter for the Grid Code rather than the BSC, but because this solution decouples the </w:t>
            </w:r>
            <w:r w:rsidR="00C404F3">
              <w:rPr>
                <w:szCs w:val="24"/>
              </w:rPr>
              <w:t>PN</w:t>
            </w:r>
            <w:r>
              <w:rPr>
                <w:szCs w:val="24"/>
              </w:rPr>
              <w:t xml:space="preserve"> from the Non-Delivery calculation</w:t>
            </w:r>
            <w:r w:rsidR="00C404F3">
              <w:rPr>
                <w:szCs w:val="24"/>
              </w:rPr>
              <w:t>,</w:t>
            </w:r>
            <w:r>
              <w:rPr>
                <w:szCs w:val="24"/>
              </w:rPr>
              <w:t xml:space="preserve"> it may be appropriate for Lead Parties to submit a different type of </w:t>
            </w:r>
            <w:r w:rsidR="00C404F3">
              <w:rPr>
                <w:szCs w:val="24"/>
              </w:rPr>
              <w:t>PN</w:t>
            </w:r>
            <w:r>
              <w:rPr>
                <w:szCs w:val="24"/>
              </w:rPr>
              <w:t xml:space="preserve"> </w:t>
            </w:r>
            <w:r w:rsidR="00C404F3">
              <w:rPr>
                <w:szCs w:val="24"/>
              </w:rPr>
              <w:t xml:space="preserve">compared </w:t>
            </w:r>
            <w:r>
              <w:rPr>
                <w:szCs w:val="24"/>
              </w:rPr>
              <w:t>to current</w:t>
            </w:r>
            <w:r w:rsidR="00C404F3">
              <w:rPr>
                <w:szCs w:val="24"/>
              </w:rPr>
              <w:t xml:space="preserve"> arrangements</w:t>
            </w:r>
            <w:r>
              <w:rPr>
                <w:szCs w:val="24"/>
              </w:rPr>
              <w:t>:</w:t>
            </w:r>
          </w:p>
          <w:p w:rsidR="00DA7FC4" w:rsidRDefault="007B32CF" w:rsidP="00DA7FC4">
            <w:pPr>
              <w:pStyle w:val="ListParagraph"/>
              <w:numPr>
                <w:ilvl w:val="0"/>
                <w:numId w:val="29"/>
              </w:numPr>
              <w:spacing w:after="240"/>
              <w:rPr>
                <w:szCs w:val="24"/>
              </w:rPr>
            </w:pPr>
            <w:r w:rsidRPr="00DA7FC4">
              <w:rPr>
                <w:szCs w:val="24"/>
              </w:rPr>
              <w:t xml:space="preserve">They could submit a </w:t>
            </w:r>
            <w:r w:rsidR="00C404F3">
              <w:rPr>
                <w:szCs w:val="24"/>
              </w:rPr>
              <w:t>PN</w:t>
            </w:r>
            <w:r w:rsidRPr="00DA7FC4">
              <w:rPr>
                <w:szCs w:val="24"/>
              </w:rPr>
              <w:t xml:space="preserve"> that reflects the expected output </w:t>
            </w:r>
            <w:r w:rsidR="00DA7FC4" w:rsidRPr="00DA7FC4">
              <w:rPr>
                <w:szCs w:val="24"/>
              </w:rPr>
              <w:t xml:space="preserve">only of </w:t>
            </w:r>
            <w:r w:rsidRPr="00DA7FC4">
              <w:rPr>
                <w:szCs w:val="24"/>
              </w:rPr>
              <w:t xml:space="preserve">the </w:t>
            </w:r>
            <w:r w:rsidR="00DA7FC4" w:rsidRPr="008C48DD">
              <w:rPr>
                <w:szCs w:val="24"/>
              </w:rPr>
              <w:t>actual assets (demand or generation) delivering the response, not the site as a whole.</w:t>
            </w:r>
          </w:p>
          <w:p w:rsidR="008C48DD" w:rsidRPr="008C48DD" w:rsidRDefault="008C48DD" w:rsidP="00DA7FC4">
            <w:pPr>
              <w:pStyle w:val="ListParagraph"/>
              <w:numPr>
                <w:ilvl w:val="0"/>
                <w:numId w:val="29"/>
              </w:numPr>
              <w:spacing w:after="240"/>
              <w:rPr>
                <w:szCs w:val="24"/>
              </w:rPr>
            </w:pPr>
            <w:r>
              <w:rPr>
                <w:szCs w:val="24"/>
              </w:rPr>
              <w:t xml:space="preserve">Alternatively, it might be appropriate for them to submit a zero </w:t>
            </w:r>
            <w:r w:rsidR="00C404F3">
              <w:rPr>
                <w:szCs w:val="24"/>
              </w:rPr>
              <w:t>PN</w:t>
            </w:r>
            <w:r w:rsidR="002B5099">
              <w:rPr>
                <w:szCs w:val="24"/>
              </w:rPr>
              <w:t>, in which case the BOA or RRI issued by the Transmission Company would become a ‘delta’ instruction (rather than an instruction to an absolute MW level)</w:t>
            </w:r>
          </w:p>
          <w:p w:rsidR="00CB33F3" w:rsidRPr="00476B5F" w:rsidRDefault="002B5099" w:rsidP="003660D5">
            <w:pPr>
              <w:spacing w:after="240"/>
              <w:rPr>
                <w:szCs w:val="24"/>
              </w:rPr>
            </w:pPr>
            <w:r>
              <w:rPr>
                <w:szCs w:val="24"/>
              </w:rPr>
              <w:t xml:space="preserve">Regardless of how the </w:t>
            </w:r>
            <w:r w:rsidR="00C404F3">
              <w:rPr>
                <w:szCs w:val="24"/>
              </w:rPr>
              <w:t>PN</w:t>
            </w:r>
            <w:r>
              <w:rPr>
                <w:szCs w:val="24"/>
              </w:rPr>
              <w:t xml:space="preserve"> is constructed, National Grid would send the Final Physical Notification</w:t>
            </w:r>
            <w:r w:rsidR="00C404F3">
              <w:rPr>
                <w:szCs w:val="24"/>
              </w:rPr>
              <w:t xml:space="preserve"> (FPN)</w:t>
            </w:r>
            <w:r>
              <w:rPr>
                <w:szCs w:val="24"/>
              </w:rPr>
              <w:t xml:space="preserve"> to B</w:t>
            </w:r>
            <w:r w:rsidR="009C37D4">
              <w:rPr>
                <w:szCs w:val="24"/>
              </w:rPr>
              <w:t xml:space="preserve">alancing </w:t>
            </w:r>
            <w:r>
              <w:rPr>
                <w:szCs w:val="24"/>
              </w:rPr>
              <w:t>M</w:t>
            </w:r>
            <w:r w:rsidR="009C37D4">
              <w:rPr>
                <w:szCs w:val="24"/>
              </w:rPr>
              <w:t xml:space="preserve">echanism </w:t>
            </w:r>
            <w:r>
              <w:rPr>
                <w:szCs w:val="24"/>
              </w:rPr>
              <w:t>R</w:t>
            </w:r>
            <w:r w:rsidR="009C37D4">
              <w:rPr>
                <w:szCs w:val="24"/>
              </w:rPr>
              <w:t xml:space="preserve">eporting </w:t>
            </w:r>
            <w:r>
              <w:rPr>
                <w:szCs w:val="24"/>
              </w:rPr>
              <w:t>A</w:t>
            </w:r>
            <w:r w:rsidR="009C37D4">
              <w:rPr>
                <w:szCs w:val="24"/>
              </w:rPr>
              <w:t>gent (BMRA)</w:t>
            </w:r>
            <w:r>
              <w:rPr>
                <w:szCs w:val="24"/>
              </w:rPr>
              <w:t xml:space="preserve"> and S</w:t>
            </w:r>
            <w:r w:rsidR="009C37D4">
              <w:rPr>
                <w:szCs w:val="24"/>
              </w:rPr>
              <w:t xml:space="preserve">ettlement </w:t>
            </w:r>
            <w:r>
              <w:rPr>
                <w:szCs w:val="24"/>
              </w:rPr>
              <w:t>A</w:t>
            </w:r>
            <w:r w:rsidR="009C37D4">
              <w:rPr>
                <w:szCs w:val="24"/>
              </w:rPr>
              <w:t>dministration Agent (SA</w:t>
            </w:r>
            <w:r>
              <w:rPr>
                <w:szCs w:val="24"/>
              </w:rPr>
              <w:t>A</w:t>
            </w:r>
            <w:r w:rsidR="009C37D4">
              <w:rPr>
                <w:szCs w:val="24"/>
              </w:rPr>
              <w:t>)</w:t>
            </w:r>
            <w:r>
              <w:rPr>
                <w:szCs w:val="24"/>
              </w:rPr>
              <w:t xml:space="preserve"> as currently (for use in calculating the Bid Offer Volume).</w:t>
            </w:r>
            <w:r w:rsidR="00CB33F3" w:rsidRPr="00476B5F">
              <w:rPr>
                <w:szCs w:val="24"/>
              </w:rPr>
              <w:t xml:space="preserve"> </w:t>
            </w:r>
          </w:p>
          <w:p w:rsidR="00CB33F3" w:rsidRPr="00476B5F" w:rsidRDefault="00CB33F3" w:rsidP="00CB33F3">
            <w:pPr>
              <w:spacing w:after="240"/>
              <w:rPr>
                <w:szCs w:val="24"/>
              </w:rPr>
            </w:pPr>
            <w:r w:rsidRPr="00476B5F">
              <w:rPr>
                <w:szCs w:val="24"/>
              </w:rPr>
              <w:t>As National Grid already receive</w:t>
            </w:r>
            <w:r w:rsidR="00F743A7" w:rsidRPr="00476B5F">
              <w:rPr>
                <w:szCs w:val="24"/>
              </w:rPr>
              <w:t>s</w:t>
            </w:r>
            <w:r w:rsidRPr="00476B5F">
              <w:rPr>
                <w:szCs w:val="24"/>
              </w:rPr>
              <w:t xml:space="preserve"> accurate FPN’s for the System through the Primary BM Units providing a delta instruction for a </w:t>
            </w:r>
            <w:r w:rsidR="00C404F3">
              <w:rPr>
                <w:szCs w:val="24"/>
              </w:rPr>
              <w:t>S</w:t>
            </w:r>
            <w:r w:rsidR="00C404F3" w:rsidRPr="00476B5F">
              <w:rPr>
                <w:szCs w:val="24"/>
              </w:rPr>
              <w:t xml:space="preserve">econdary </w:t>
            </w:r>
            <w:r w:rsidRPr="00476B5F">
              <w:rPr>
                <w:szCs w:val="24"/>
              </w:rPr>
              <w:t xml:space="preserve">BM Unit should not negatively impact forecasting of </w:t>
            </w:r>
            <w:r w:rsidR="001E3D0F">
              <w:rPr>
                <w:szCs w:val="24"/>
              </w:rPr>
              <w:t>D</w:t>
            </w:r>
            <w:r w:rsidRPr="00476B5F">
              <w:rPr>
                <w:szCs w:val="24"/>
              </w:rPr>
              <w:t xml:space="preserve">emand and </w:t>
            </w:r>
            <w:r w:rsidR="001E3D0F">
              <w:rPr>
                <w:szCs w:val="24"/>
              </w:rPr>
              <w:t>B</w:t>
            </w:r>
            <w:r w:rsidRPr="00476B5F">
              <w:rPr>
                <w:szCs w:val="24"/>
              </w:rPr>
              <w:t>alancing of the System.</w:t>
            </w:r>
          </w:p>
          <w:p w:rsidR="00CB33F3" w:rsidRPr="00476B5F" w:rsidRDefault="00CB33F3" w:rsidP="003660D5">
            <w:pPr>
              <w:spacing w:after="240"/>
              <w:rPr>
                <w:b/>
                <w:szCs w:val="24"/>
                <w:u w:val="single"/>
              </w:rPr>
            </w:pPr>
            <w:r w:rsidRPr="00476B5F">
              <w:rPr>
                <w:b/>
                <w:szCs w:val="24"/>
                <w:u w:val="single"/>
              </w:rPr>
              <w:t>Settlement</w:t>
            </w:r>
          </w:p>
          <w:p w:rsidR="00256CAE" w:rsidRPr="00476B5F" w:rsidRDefault="004E072B" w:rsidP="00123497">
            <w:pPr>
              <w:spacing w:after="240"/>
              <w:rPr>
                <w:szCs w:val="24"/>
              </w:rPr>
            </w:pPr>
            <w:r>
              <w:rPr>
                <w:szCs w:val="24"/>
              </w:rPr>
              <w:t xml:space="preserve">For </w:t>
            </w:r>
            <w:r w:rsidR="00C404F3">
              <w:rPr>
                <w:szCs w:val="24"/>
              </w:rPr>
              <w:t xml:space="preserve">Settlement </w:t>
            </w:r>
            <w:r>
              <w:rPr>
                <w:szCs w:val="24"/>
              </w:rPr>
              <w:t xml:space="preserve">purposes, for those BM Units for which the Lead Party has elected to use the solution, BSC </w:t>
            </w:r>
            <w:r w:rsidR="00C404F3">
              <w:rPr>
                <w:szCs w:val="24"/>
              </w:rPr>
              <w:t xml:space="preserve">Central </w:t>
            </w:r>
            <w:r>
              <w:rPr>
                <w:szCs w:val="24"/>
              </w:rPr>
              <w:t xml:space="preserve">Systems </w:t>
            </w:r>
            <w:r w:rsidR="00C404F3">
              <w:rPr>
                <w:szCs w:val="24"/>
              </w:rPr>
              <w:t xml:space="preserve">could </w:t>
            </w:r>
            <w:r>
              <w:rPr>
                <w:szCs w:val="24"/>
              </w:rPr>
              <w:t xml:space="preserve">construct a Baseline Volume (from historic metered data) for </w:t>
            </w:r>
            <w:r w:rsidR="00123497">
              <w:rPr>
                <w:szCs w:val="24"/>
              </w:rPr>
              <w:t xml:space="preserve">each Settlement Period. This </w:t>
            </w:r>
            <w:r w:rsidR="001E3D0F">
              <w:rPr>
                <w:szCs w:val="24"/>
              </w:rPr>
              <w:t>b</w:t>
            </w:r>
            <w:r w:rsidR="00123497">
              <w:rPr>
                <w:szCs w:val="24"/>
              </w:rPr>
              <w:t xml:space="preserve">aseline </w:t>
            </w:r>
            <w:r w:rsidR="001E3D0F">
              <w:rPr>
                <w:szCs w:val="24"/>
              </w:rPr>
              <w:t>v</w:t>
            </w:r>
            <w:r w:rsidR="00123497">
              <w:rPr>
                <w:szCs w:val="24"/>
              </w:rPr>
              <w:t xml:space="preserve">olume </w:t>
            </w:r>
            <w:r w:rsidR="00C404F3">
              <w:rPr>
                <w:szCs w:val="24"/>
              </w:rPr>
              <w:t xml:space="preserve">could </w:t>
            </w:r>
            <w:r w:rsidR="00123497">
              <w:rPr>
                <w:szCs w:val="24"/>
              </w:rPr>
              <w:t xml:space="preserve">be used (instead of the Final Physical Notification) to calculate the </w:t>
            </w:r>
            <w:r w:rsidR="00123497" w:rsidRPr="00123497">
              <w:rPr>
                <w:szCs w:val="24"/>
              </w:rPr>
              <w:t>Period Expected Metered</w:t>
            </w:r>
            <w:r w:rsidR="00123497">
              <w:rPr>
                <w:szCs w:val="24"/>
              </w:rPr>
              <w:t xml:space="preserve"> </w:t>
            </w:r>
            <w:r w:rsidR="00123497" w:rsidRPr="00123497">
              <w:rPr>
                <w:szCs w:val="24"/>
              </w:rPr>
              <w:t>Volume</w:t>
            </w:r>
            <w:r w:rsidR="00123497">
              <w:rPr>
                <w:szCs w:val="24"/>
              </w:rPr>
              <w:t xml:space="preserve"> (QME</w:t>
            </w:r>
            <w:r w:rsidR="00123497" w:rsidRPr="00316F01">
              <w:rPr>
                <w:szCs w:val="24"/>
                <w:vertAlign w:val="subscript"/>
              </w:rPr>
              <w:t>ij</w:t>
            </w:r>
            <w:r w:rsidR="00123497">
              <w:rPr>
                <w:szCs w:val="24"/>
              </w:rPr>
              <w:t>), and hence the Non-Delivery Volumes</w:t>
            </w:r>
            <w:r w:rsidR="009A3DAD" w:rsidRPr="00476B5F">
              <w:rPr>
                <w:szCs w:val="24"/>
              </w:rPr>
              <w:t>.</w:t>
            </w:r>
            <w:r w:rsidR="009A2BF6" w:rsidRPr="00476B5F">
              <w:rPr>
                <w:szCs w:val="24"/>
              </w:rPr>
              <w:t xml:space="preserve"> </w:t>
            </w:r>
          </w:p>
          <w:p w:rsidR="007F1EAF" w:rsidRPr="00476B5F" w:rsidRDefault="007F1EAF" w:rsidP="003660D5">
            <w:pPr>
              <w:spacing w:after="240"/>
              <w:rPr>
                <w:szCs w:val="24"/>
              </w:rPr>
            </w:pPr>
            <w:r w:rsidRPr="00476B5F">
              <w:rPr>
                <w:szCs w:val="24"/>
              </w:rPr>
              <w:t xml:space="preserve">Calculating </w:t>
            </w:r>
            <w:r w:rsidR="001E3D0F">
              <w:rPr>
                <w:szCs w:val="24"/>
              </w:rPr>
              <w:t>b</w:t>
            </w:r>
            <w:r w:rsidRPr="00476B5F">
              <w:rPr>
                <w:szCs w:val="24"/>
              </w:rPr>
              <w:t xml:space="preserve">aselines </w:t>
            </w:r>
            <w:r w:rsidR="009A3DAD" w:rsidRPr="00476B5F">
              <w:rPr>
                <w:szCs w:val="24"/>
              </w:rPr>
              <w:t>for Settlement after the event sh</w:t>
            </w:r>
            <w:r w:rsidRPr="00476B5F">
              <w:rPr>
                <w:szCs w:val="24"/>
              </w:rPr>
              <w:t>ould</w:t>
            </w:r>
            <w:r w:rsidR="008E0467" w:rsidRPr="00476B5F">
              <w:rPr>
                <w:szCs w:val="24"/>
              </w:rPr>
              <w:t xml:space="preserve"> further</w:t>
            </w:r>
            <w:r w:rsidRPr="00476B5F">
              <w:rPr>
                <w:szCs w:val="24"/>
              </w:rPr>
              <w:t xml:space="preserve"> increase the accuracy of the baseline values </w:t>
            </w:r>
            <w:r w:rsidR="008E0467" w:rsidRPr="00476B5F">
              <w:rPr>
                <w:szCs w:val="24"/>
              </w:rPr>
              <w:t xml:space="preserve">when compared to the values used for dispatch, </w:t>
            </w:r>
            <w:r w:rsidRPr="00476B5F">
              <w:rPr>
                <w:szCs w:val="24"/>
              </w:rPr>
              <w:t>as a different metering data set could be used</w:t>
            </w:r>
            <w:r w:rsidR="009A3DAD" w:rsidRPr="00476B5F">
              <w:rPr>
                <w:szCs w:val="24"/>
              </w:rPr>
              <w:t xml:space="preserve"> i.e.</w:t>
            </w:r>
            <w:r w:rsidR="00B11D66" w:rsidRPr="00476B5F">
              <w:rPr>
                <w:szCs w:val="24"/>
              </w:rPr>
              <w:t xml:space="preserve"> wait until S</w:t>
            </w:r>
            <w:r w:rsidR="009C37D4">
              <w:rPr>
                <w:szCs w:val="24"/>
              </w:rPr>
              <w:t xml:space="preserve">ettlement </w:t>
            </w:r>
            <w:r w:rsidR="00B11D66" w:rsidRPr="00476B5F">
              <w:rPr>
                <w:szCs w:val="24"/>
              </w:rPr>
              <w:t>F</w:t>
            </w:r>
            <w:r w:rsidR="009C37D4">
              <w:rPr>
                <w:szCs w:val="24"/>
              </w:rPr>
              <w:t>inal (SF)</w:t>
            </w:r>
            <w:r w:rsidR="00B11D66" w:rsidRPr="00476B5F">
              <w:rPr>
                <w:szCs w:val="24"/>
              </w:rPr>
              <w:t xml:space="preserve"> data is available</w:t>
            </w:r>
            <w:r w:rsidR="009A3DAD" w:rsidRPr="00476B5F">
              <w:rPr>
                <w:szCs w:val="24"/>
              </w:rPr>
              <w:t xml:space="preserve"> before Settlement</w:t>
            </w:r>
            <w:r w:rsidR="00B11D66" w:rsidRPr="00476B5F">
              <w:rPr>
                <w:szCs w:val="24"/>
              </w:rPr>
              <w:t>.</w:t>
            </w:r>
          </w:p>
          <w:p w:rsidR="008E0467" w:rsidRPr="00476B5F" w:rsidRDefault="00256CAE" w:rsidP="003660D5">
            <w:pPr>
              <w:spacing w:after="240"/>
              <w:rPr>
                <w:szCs w:val="24"/>
              </w:rPr>
            </w:pPr>
            <w:r w:rsidRPr="00476B5F">
              <w:rPr>
                <w:szCs w:val="24"/>
              </w:rPr>
              <w:t>This</w:t>
            </w:r>
            <w:r w:rsidR="009A3DAD" w:rsidRPr="00476B5F">
              <w:rPr>
                <w:szCs w:val="24"/>
              </w:rPr>
              <w:t xml:space="preserve"> solution</w:t>
            </w:r>
            <w:r w:rsidRPr="00476B5F">
              <w:rPr>
                <w:szCs w:val="24"/>
              </w:rPr>
              <w:t xml:space="preserve"> </w:t>
            </w:r>
            <w:r w:rsidR="007F730E" w:rsidRPr="00476B5F">
              <w:rPr>
                <w:szCs w:val="24"/>
              </w:rPr>
              <w:t>recognises</w:t>
            </w:r>
            <w:r w:rsidR="007D79CB" w:rsidRPr="00476B5F">
              <w:rPr>
                <w:szCs w:val="24"/>
              </w:rPr>
              <w:t xml:space="preserve"> that the</w:t>
            </w:r>
            <w:r w:rsidRPr="00476B5F">
              <w:rPr>
                <w:szCs w:val="24"/>
              </w:rPr>
              <w:t xml:space="preserve"> </w:t>
            </w:r>
            <w:r w:rsidR="00B11D66" w:rsidRPr="00476B5F">
              <w:rPr>
                <w:szCs w:val="24"/>
              </w:rPr>
              <w:t>F</w:t>
            </w:r>
            <w:r w:rsidRPr="00476B5F">
              <w:rPr>
                <w:szCs w:val="24"/>
              </w:rPr>
              <w:t xml:space="preserve">PN for dispatch will be different from the </w:t>
            </w:r>
            <w:r w:rsidR="00B11D66" w:rsidRPr="00476B5F">
              <w:rPr>
                <w:szCs w:val="24"/>
              </w:rPr>
              <w:t>F</w:t>
            </w:r>
            <w:r w:rsidRPr="00476B5F">
              <w:rPr>
                <w:szCs w:val="24"/>
              </w:rPr>
              <w:t xml:space="preserve">PN used for </w:t>
            </w:r>
            <w:r w:rsidR="00C404F3">
              <w:rPr>
                <w:szCs w:val="24"/>
              </w:rPr>
              <w:t>S</w:t>
            </w:r>
            <w:r w:rsidRPr="00476B5F">
              <w:rPr>
                <w:szCs w:val="24"/>
              </w:rPr>
              <w:t>ettlement purposes and will</w:t>
            </w:r>
            <w:r w:rsidR="009A3DAD" w:rsidRPr="00476B5F">
              <w:rPr>
                <w:szCs w:val="24"/>
              </w:rPr>
              <w:t xml:space="preserve"> therefore</w:t>
            </w:r>
            <w:r w:rsidRPr="00476B5F">
              <w:rPr>
                <w:szCs w:val="24"/>
              </w:rPr>
              <w:t xml:space="preserve"> require changes to </w:t>
            </w:r>
            <w:r w:rsidR="009C37D4">
              <w:rPr>
                <w:szCs w:val="24"/>
              </w:rPr>
              <w:t>i</w:t>
            </w:r>
            <w:r w:rsidR="00604183" w:rsidRPr="00476B5F">
              <w:rPr>
                <w:szCs w:val="24"/>
              </w:rPr>
              <w:t xml:space="preserve">ndustry </w:t>
            </w:r>
            <w:r w:rsidR="009C37D4">
              <w:rPr>
                <w:szCs w:val="24"/>
              </w:rPr>
              <w:t>s</w:t>
            </w:r>
            <w:r w:rsidRPr="00476B5F">
              <w:rPr>
                <w:szCs w:val="24"/>
              </w:rPr>
              <w:t>ystems</w:t>
            </w:r>
            <w:r w:rsidR="007D79CB" w:rsidRPr="00476B5F">
              <w:rPr>
                <w:szCs w:val="24"/>
              </w:rPr>
              <w:t>.</w:t>
            </w:r>
            <w:r w:rsidRPr="00476B5F">
              <w:rPr>
                <w:szCs w:val="24"/>
              </w:rPr>
              <w:t xml:space="preserve"> </w:t>
            </w:r>
          </w:p>
          <w:p w:rsidR="008E0467" w:rsidRPr="00476B5F" w:rsidRDefault="007156F4" w:rsidP="003660D5">
            <w:pPr>
              <w:spacing w:after="240"/>
              <w:rPr>
                <w:szCs w:val="24"/>
              </w:rPr>
            </w:pPr>
            <w:r w:rsidRPr="00476B5F">
              <w:rPr>
                <w:szCs w:val="24"/>
              </w:rPr>
              <w:t xml:space="preserve">The </w:t>
            </w:r>
            <w:r w:rsidR="001E3D0F">
              <w:rPr>
                <w:szCs w:val="24"/>
              </w:rPr>
              <w:t>I</w:t>
            </w:r>
            <w:r w:rsidRPr="00476B5F">
              <w:rPr>
                <w:szCs w:val="24"/>
              </w:rPr>
              <w:t>ssue group will need to consider whether or not various Industry Parties</w:t>
            </w:r>
            <w:r w:rsidR="00D8651E" w:rsidRPr="00476B5F">
              <w:rPr>
                <w:szCs w:val="24"/>
              </w:rPr>
              <w:t>,</w:t>
            </w:r>
            <w:r w:rsidRPr="00476B5F">
              <w:rPr>
                <w:szCs w:val="24"/>
              </w:rPr>
              <w:t xml:space="preserve"> require accurate PN’s </w:t>
            </w:r>
            <w:r w:rsidR="007D79CB" w:rsidRPr="00476B5F">
              <w:rPr>
                <w:szCs w:val="24"/>
              </w:rPr>
              <w:t xml:space="preserve">relating to Secondary BM Units </w:t>
            </w:r>
            <w:r w:rsidRPr="00476B5F">
              <w:rPr>
                <w:szCs w:val="24"/>
              </w:rPr>
              <w:t>for dispatch</w:t>
            </w:r>
            <w:r w:rsidR="0009497A" w:rsidRPr="00476B5F">
              <w:rPr>
                <w:szCs w:val="24"/>
              </w:rPr>
              <w:t xml:space="preserve"> purposes</w:t>
            </w:r>
            <w:r w:rsidR="007D79CB" w:rsidRPr="00476B5F">
              <w:rPr>
                <w:szCs w:val="24"/>
              </w:rPr>
              <w:t>.</w:t>
            </w:r>
            <w:r w:rsidR="0008754F" w:rsidRPr="00476B5F">
              <w:rPr>
                <w:szCs w:val="24"/>
              </w:rPr>
              <w:t xml:space="preserve"> A</w:t>
            </w:r>
            <w:r w:rsidR="0009497A" w:rsidRPr="00476B5F">
              <w:rPr>
                <w:szCs w:val="24"/>
              </w:rPr>
              <w:t xml:space="preserve">rguably the </w:t>
            </w:r>
            <w:r w:rsidR="00123497">
              <w:rPr>
                <w:szCs w:val="24"/>
              </w:rPr>
              <w:t>Transmission Company</w:t>
            </w:r>
            <w:r w:rsidR="0009497A" w:rsidRPr="00476B5F">
              <w:rPr>
                <w:szCs w:val="24"/>
              </w:rPr>
              <w:t xml:space="preserve"> is more concerned about the </w:t>
            </w:r>
            <w:r w:rsidR="001E3D0F">
              <w:rPr>
                <w:szCs w:val="24"/>
              </w:rPr>
              <w:t>d</w:t>
            </w:r>
            <w:r w:rsidR="0009497A" w:rsidRPr="00476B5F">
              <w:rPr>
                <w:szCs w:val="24"/>
              </w:rPr>
              <w:t xml:space="preserve">elta and whether the </w:t>
            </w:r>
            <w:r w:rsidR="001E3D0F">
              <w:rPr>
                <w:szCs w:val="24"/>
              </w:rPr>
              <w:t>d</w:t>
            </w:r>
            <w:r w:rsidR="0009497A" w:rsidRPr="00476B5F">
              <w:rPr>
                <w:szCs w:val="24"/>
              </w:rPr>
              <w:t xml:space="preserve">elta has been delivered or not, but the current system for dispatch and </w:t>
            </w:r>
            <w:r w:rsidR="001E3D0F">
              <w:rPr>
                <w:szCs w:val="24"/>
              </w:rPr>
              <w:t>S</w:t>
            </w:r>
            <w:r w:rsidR="0009497A" w:rsidRPr="00476B5F">
              <w:rPr>
                <w:szCs w:val="24"/>
              </w:rPr>
              <w:t>ettlement requires an accurate starting position</w:t>
            </w:r>
            <w:r w:rsidR="00D8651E" w:rsidRPr="00476B5F">
              <w:rPr>
                <w:szCs w:val="24"/>
              </w:rPr>
              <w:t xml:space="preserve">. </w:t>
            </w:r>
          </w:p>
          <w:p w:rsidR="00B04E28" w:rsidRDefault="00E13282" w:rsidP="003660D5">
            <w:pPr>
              <w:spacing w:after="240"/>
            </w:pPr>
            <w:r>
              <w:rPr>
                <w:szCs w:val="24"/>
              </w:rPr>
              <w:t xml:space="preserve">If a PN value of zero </w:t>
            </w:r>
            <w:r w:rsidR="008E0467" w:rsidRPr="00476B5F">
              <w:rPr>
                <w:szCs w:val="24"/>
              </w:rPr>
              <w:t>is used</w:t>
            </w:r>
            <w:r w:rsidR="00316F01">
              <w:rPr>
                <w:szCs w:val="24"/>
              </w:rPr>
              <w:t>,</w:t>
            </w:r>
            <w:r w:rsidR="008E0467" w:rsidRPr="00476B5F">
              <w:rPr>
                <w:szCs w:val="24"/>
              </w:rPr>
              <w:t xml:space="preserve"> the solution will be</w:t>
            </w:r>
            <w:r w:rsidR="008F1B23" w:rsidRPr="00476B5F">
              <w:rPr>
                <w:szCs w:val="24"/>
              </w:rPr>
              <w:t xml:space="preserve"> restricted to</w:t>
            </w:r>
            <w:r w:rsidR="009A2BF6" w:rsidRPr="00476B5F">
              <w:rPr>
                <w:szCs w:val="24"/>
              </w:rPr>
              <w:t xml:space="preserve"> </w:t>
            </w:r>
            <w:r w:rsidR="00316F01">
              <w:rPr>
                <w:szCs w:val="24"/>
              </w:rPr>
              <w:t xml:space="preserve">those </w:t>
            </w:r>
            <w:r w:rsidR="009A2BF6" w:rsidRPr="00476B5F">
              <w:rPr>
                <w:szCs w:val="24"/>
              </w:rPr>
              <w:t>BM Unit</w:t>
            </w:r>
            <w:r w:rsidR="008F1B23" w:rsidRPr="00476B5F">
              <w:rPr>
                <w:szCs w:val="24"/>
              </w:rPr>
              <w:t>s</w:t>
            </w:r>
            <w:r>
              <w:rPr>
                <w:szCs w:val="24"/>
              </w:rPr>
              <w:t xml:space="preserve"> which do not need to submit PN’s currently under the Grid Code.</w:t>
            </w:r>
            <w:r w:rsidR="00B04E28">
              <w:rPr>
                <w:szCs w:val="24"/>
              </w:rPr>
              <w:t xml:space="preserve"> </w:t>
            </w:r>
            <w:r>
              <w:rPr>
                <w:szCs w:val="24"/>
              </w:rPr>
              <w:t>T</w:t>
            </w:r>
            <w:r w:rsidR="00B04E28">
              <w:rPr>
                <w:szCs w:val="24"/>
              </w:rPr>
              <w:t>he Transmission Company require</w:t>
            </w:r>
            <w:r w:rsidR="00C22766">
              <w:rPr>
                <w:szCs w:val="24"/>
              </w:rPr>
              <w:t>s</w:t>
            </w:r>
            <w:r w:rsidR="007C084E" w:rsidRPr="00476B5F">
              <w:rPr>
                <w:szCs w:val="24"/>
              </w:rPr>
              <w:t xml:space="preserve"> </w:t>
            </w:r>
            <w:r w:rsidR="00B04E28">
              <w:t xml:space="preserve">BM Units </w:t>
            </w:r>
            <w:r>
              <w:t xml:space="preserve">to </w:t>
            </w:r>
            <w:r w:rsidR="00B04E28">
              <w:t xml:space="preserve">submit </w:t>
            </w:r>
            <w:r w:rsidR="009642E2">
              <w:t>PNs</w:t>
            </w:r>
            <w:r w:rsidR="00B04E28">
              <w:t xml:space="preserve"> if their Generation or Demand Capacity is at or above 50MW in England and Wales, 30MW in South Scotland or 10MW in North Scotland. </w:t>
            </w:r>
          </w:p>
          <w:p w:rsidR="00691A27" w:rsidRPr="00476B5F" w:rsidRDefault="00944D9A" w:rsidP="003660D5">
            <w:pPr>
              <w:spacing w:after="240"/>
              <w:rPr>
                <w:szCs w:val="24"/>
              </w:rPr>
            </w:pPr>
            <w:r>
              <w:rPr>
                <w:szCs w:val="24"/>
              </w:rPr>
              <w:t>A</w:t>
            </w:r>
            <w:r w:rsidR="009642E2">
              <w:rPr>
                <w:szCs w:val="24"/>
              </w:rPr>
              <w:t xml:space="preserve"> Lead Party could</w:t>
            </w:r>
            <w:r>
              <w:rPr>
                <w:szCs w:val="24"/>
              </w:rPr>
              <w:t xml:space="preserve"> however </w:t>
            </w:r>
            <w:r w:rsidR="00C404F3">
              <w:rPr>
                <w:szCs w:val="24"/>
              </w:rPr>
              <w:t xml:space="preserve">register </w:t>
            </w:r>
            <w:r>
              <w:rPr>
                <w:szCs w:val="24"/>
              </w:rPr>
              <w:t>a</w:t>
            </w:r>
            <w:r w:rsidR="00B04E28">
              <w:rPr>
                <w:szCs w:val="24"/>
              </w:rPr>
              <w:t xml:space="preserve"> Sec</w:t>
            </w:r>
            <w:r w:rsidR="009642E2">
              <w:rPr>
                <w:szCs w:val="24"/>
              </w:rPr>
              <w:t>ondary BM Unit and then submit a PN value of 0</w:t>
            </w:r>
            <w:r w:rsidR="00E13282">
              <w:rPr>
                <w:szCs w:val="24"/>
              </w:rPr>
              <w:t xml:space="preserve"> </w:t>
            </w:r>
            <w:r w:rsidR="00E13282">
              <w:rPr>
                <w:szCs w:val="24"/>
              </w:rPr>
              <w:lastRenderedPageBreak/>
              <w:t>for that Secondary BM Unit</w:t>
            </w:r>
            <w:r>
              <w:rPr>
                <w:szCs w:val="24"/>
              </w:rPr>
              <w:t>.</w:t>
            </w:r>
          </w:p>
          <w:p w:rsidR="00181D20" w:rsidRDefault="00C404F3" w:rsidP="008E0467">
            <w:pPr>
              <w:spacing w:after="240"/>
              <w:rPr>
                <w:szCs w:val="24"/>
              </w:rPr>
            </w:pPr>
            <w:r>
              <w:rPr>
                <w:szCs w:val="24"/>
              </w:rPr>
              <w:t>is the Issue Group should also consider</w:t>
            </w:r>
            <w:r w:rsidR="00F743A7" w:rsidRPr="00476B5F">
              <w:rPr>
                <w:szCs w:val="24"/>
              </w:rPr>
              <w:t xml:space="preserve"> </w:t>
            </w:r>
            <w:r w:rsidR="00603A1F" w:rsidRPr="00476B5F">
              <w:rPr>
                <w:szCs w:val="24"/>
              </w:rPr>
              <w:t xml:space="preserve">whether this solution could be extended to other </w:t>
            </w:r>
            <w:r w:rsidR="00177DC4">
              <w:rPr>
                <w:szCs w:val="24"/>
              </w:rPr>
              <w:t>Balancing</w:t>
            </w:r>
            <w:r w:rsidR="00603A1F" w:rsidRPr="00476B5F">
              <w:rPr>
                <w:szCs w:val="24"/>
              </w:rPr>
              <w:t xml:space="preserve"> Services</w:t>
            </w:r>
            <w:r w:rsidR="00177DC4">
              <w:rPr>
                <w:szCs w:val="24"/>
              </w:rPr>
              <w:t>,</w:t>
            </w:r>
            <w:r w:rsidR="00603A1F" w:rsidRPr="00476B5F">
              <w:rPr>
                <w:szCs w:val="24"/>
              </w:rPr>
              <w:t xml:space="preserve"> other than </w:t>
            </w:r>
            <w:r>
              <w:rPr>
                <w:szCs w:val="24"/>
              </w:rPr>
              <w:t>RR</w:t>
            </w:r>
            <w:r w:rsidR="00177DC4">
              <w:rPr>
                <w:szCs w:val="24"/>
              </w:rPr>
              <w:t>,</w:t>
            </w:r>
            <w:r w:rsidR="00AA2AA2">
              <w:rPr>
                <w:szCs w:val="24"/>
              </w:rPr>
              <w:t xml:space="preserve"> such as</w:t>
            </w:r>
            <w:r w:rsidR="00177DC4">
              <w:rPr>
                <w:szCs w:val="24"/>
              </w:rPr>
              <w:t xml:space="preserve"> for example</w:t>
            </w:r>
            <w:r w:rsidR="00AA2AA2">
              <w:rPr>
                <w:szCs w:val="24"/>
              </w:rPr>
              <w:t xml:space="preserve"> BM </w:t>
            </w:r>
            <w:r w:rsidR="006376D1">
              <w:rPr>
                <w:szCs w:val="24"/>
              </w:rPr>
              <w:t>Short Term Operating Reserve (</w:t>
            </w:r>
            <w:r w:rsidR="00AA2AA2">
              <w:rPr>
                <w:szCs w:val="24"/>
              </w:rPr>
              <w:t>STOR</w:t>
            </w:r>
            <w:r w:rsidR="006376D1">
              <w:rPr>
                <w:szCs w:val="24"/>
              </w:rPr>
              <w:t>)</w:t>
            </w:r>
            <w:r w:rsidR="00AA2AA2">
              <w:rPr>
                <w:szCs w:val="24"/>
              </w:rPr>
              <w:t>, and Non BM STOR via the Virtual Lead Party and Secondary BM Unit route</w:t>
            </w:r>
            <w:r w:rsidR="00B04E28">
              <w:rPr>
                <w:szCs w:val="24"/>
              </w:rPr>
              <w:t>, and; c</w:t>
            </w:r>
            <w:r w:rsidR="00603A1F" w:rsidRPr="00476B5F">
              <w:rPr>
                <w:szCs w:val="24"/>
              </w:rPr>
              <w:t>ould Baselining be used by Industry participants to set their PN’s for Primary BM Units</w:t>
            </w:r>
            <w:r w:rsidR="00B04E28">
              <w:rPr>
                <w:szCs w:val="24"/>
              </w:rPr>
              <w:t xml:space="preserve"> which require PN’s</w:t>
            </w:r>
            <w:r w:rsidR="00EC679F">
              <w:rPr>
                <w:szCs w:val="24"/>
              </w:rPr>
              <w:t>, irrespective of whether they intend to submit a BOA.</w:t>
            </w:r>
          </w:p>
          <w:p w:rsidR="00181D20" w:rsidRPr="008E0467" w:rsidRDefault="00181D20" w:rsidP="00181D20">
            <w:pPr>
              <w:spacing w:after="240"/>
              <w:rPr>
                <w:b/>
                <w:szCs w:val="24"/>
                <w:u w:val="single"/>
              </w:rPr>
            </w:pPr>
            <w:r w:rsidRPr="008E0467">
              <w:rPr>
                <w:b/>
                <w:szCs w:val="24"/>
                <w:u w:val="single"/>
              </w:rPr>
              <w:t>Baselining Methodologies</w:t>
            </w:r>
          </w:p>
          <w:p w:rsidR="00181D20" w:rsidRDefault="00181D20" w:rsidP="00181D20">
            <w:pPr>
              <w:spacing w:after="240"/>
              <w:rPr>
                <w:szCs w:val="24"/>
              </w:rPr>
            </w:pPr>
            <w:r w:rsidRPr="008E0467">
              <w:rPr>
                <w:szCs w:val="24"/>
              </w:rPr>
              <w:t xml:space="preserve">There are numerous potential </w:t>
            </w:r>
            <w:r>
              <w:rPr>
                <w:szCs w:val="24"/>
              </w:rPr>
              <w:t xml:space="preserve">baselining </w:t>
            </w:r>
            <w:r w:rsidRPr="008E0467">
              <w:rPr>
                <w:szCs w:val="24"/>
              </w:rPr>
              <w:t>methodologies</w:t>
            </w:r>
            <w:r w:rsidR="00B76EF4">
              <w:rPr>
                <w:szCs w:val="24"/>
              </w:rPr>
              <w:t xml:space="preserve"> for the Issue group to consider, each with their own merits. </w:t>
            </w:r>
          </w:p>
          <w:p w:rsidR="00181D20" w:rsidRDefault="00181D20" w:rsidP="00181D20">
            <w:pPr>
              <w:pStyle w:val="Default"/>
            </w:pPr>
            <w:r w:rsidRPr="00D27AC0">
              <w:t>We initially recommend</w:t>
            </w:r>
            <w:r>
              <w:t xml:space="preserve"> as a starting point</w:t>
            </w:r>
            <w:r w:rsidRPr="00D27AC0">
              <w:t xml:space="preserve"> a </w:t>
            </w:r>
            <w:r>
              <w:t>b</w:t>
            </w:r>
            <w:r w:rsidRPr="00D27AC0">
              <w:t>aseline methodology which uses the previous 10 day</w:t>
            </w:r>
            <w:r w:rsidR="006376D1">
              <w:t>’</w:t>
            </w:r>
            <w:r w:rsidRPr="00D27AC0">
              <w:t xml:space="preserve">s </w:t>
            </w:r>
            <w:r w:rsidR="006376D1">
              <w:t>S</w:t>
            </w:r>
            <w:r w:rsidRPr="00D27AC0">
              <w:t xml:space="preserve">ettlement </w:t>
            </w:r>
            <w:r w:rsidR="006376D1">
              <w:t>P</w:t>
            </w:r>
            <w:r w:rsidRPr="00D27AC0">
              <w:t>eriods</w:t>
            </w:r>
            <w:r>
              <w:t>. Following reviews of baselines used in various American markets which have mature Demand Response services this was seen as the most successful</w:t>
            </w:r>
            <w:r w:rsidRPr="00D27AC0">
              <w:t xml:space="preserve">. </w:t>
            </w:r>
          </w:p>
          <w:p w:rsidR="00181D20" w:rsidRDefault="00181D20" w:rsidP="00181D20">
            <w:pPr>
              <w:pStyle w:val="Default"/>
            </w:pPr>
          </w:p>
          <w:p w:rsidR="00181D20" w:rsidRPr="0075164E" w:rsidRDefault="00181D20" w:rsidP="00181D20">
            <w:pPr>
              <w:spacing w:after="240"/>
              <w:rPr>
                <w:szCs w:val="24"/>
              </w:rPr>
            </w:pPr>
            <w:r>
              <w:rPr>
                <w:szCs w:val="24"/>
              </w:rPr>
              <w:t>Setting</w:t>
            </w:r>
            <w:r w:rsidRPr="0075164E">
              <w:rPr>
                <w:szCs w:val="24"/>
              </w:rPr>
              <w:t xml:space="preserve"> a baseline value for dispatch </w:t>
            </w:r>
            <w:r>
              <w:rPr>
                <w:szCs w:val="24"/>
              </w:rPr>
              <w:t xml:space="preserve">potentially </w:t>
            </w:r>
            <w:r w:rsidRPr="0075164E">
              <w:rPr>
                <w:szCs w:val="24"/>
              </w:rPr>
              <w:t>rules out methodologies which require metering data for the previous 10 days</w:t>
            </w:r>
            <w:r>
              <w:rPr>
                <w:szCs w:val="24"/>
              </w:rPr>
              <w:t xml:space="preserve"> due to the </w:t>
            </w:r>
            <w:r w:rsidR="00C6629D">
              <w:rPr>
                <w:szCs w:val="24"/>
              </w:rPr>
              <w:t>S</w:t>
            </w:r>
            <w:r>
              <w:rPr>
                <w:szCs w:val="24"/>
              </w:rPr>
              <w:t>ettlement values,</w:t>
            </w:r>
            <w:r w:rsidRPr="0075164E">
              <w:rPr>
                <w:szCs w:val="24"/>
              </w:rPr>
              <w:t xml:space="preserve"> </w:t>
            </w:r>
            <w:r>
              <w:rPr>
                <w:szCs w:val="24"/>
              </w:rPr>
              <w:t>or if this methodology is used</w:t>
            </w:r>
            <w:r w:rsidRPr="0075164E">
              <w:rPr>
                <w:szCs w:val="24"/>
              </w:rPr>
              <w:t xml:space="preserve"> </w:t>
            </w:r>
            <w:r>
              <w:rPr>
                <w:szCs w:val="24"/>
              </w:rPr>
              <w:t xml:space="preserve">there must be </w:t>
            </w:r>
            <w:r w:rsidRPr="0075164E">
              <w:rPr>
                <w:szCs w:val="24"/>
              </w:rPr>
              <w:t>accep</w:t>
            </w:r>
            <w:r>
              <w:rPr>
                <w:szCs w:val="24"/>
              </w:rPr>
              <w:t>tance</w:t>
            </w:r>
            <w:r w:rsidRPr="0075164E">
              <w:rPr>
                <w:szCs w:val="24"/>
              </w:rPr>
              <w:t xml:space="preserve"> that the</w:t>
            </w:r>
            <w:r>
              <w:rPr>
                <w:szCs w:val="24"/>
              </w:rPr>
              <w:t xml:space="preserve"> Demand</w:t>
            </w:r>
            <w:r w:rsidRPr="0075164E">
              <w:rPr>
                <w:szCs w:val="24"/>
              </w:rPr>
              <w:t xml:space="preserve"> data which is used </w:t>
            </w:r>
            <w:r>
              <w:rPr>
                <w:szCs w:val="24"/>
              </w:rPr>
              <w:t xml:space="preserve">to set the baseline </w:t>
            </w:r>
            <w:r w:rsidRPr="0075164E">
              <w:rPr>
                <w:szCs w:val="24"/>
              </w:rPr>
              <w:t>is unverified and potentially less accurate.</w:t>
            </w:r>
          </w:p>
          <w:p w:rsidR="00181D20" w:rsidRPr="00B76EF4" w:rsidRDefault="00B76EF4" w:rsidP="00181D20">
            <w:pPr>
              <w:pStyle w:val="Default"/>
              <w:rPr>
                <w:u w:val="single"/>
              </w:rPr>
            </w:pPr>
            <w:r>
              <w:rPr>
                <w:u w:val="single"/>
              </w:rPr>
              <w:t>Baselining 10 day methodology</w:t>
            </w:r>
          </w:p>
          <w:p w:rsidR="00181D20" w:rsidRDefault="00181D20" w:rsidP="00181D20">
            <w:pPr>
              <w:pStyle w:val="Default"/>
            </w:pPr>
          </w:p>
          <w:p w:rsidR="00181D20" w:rsidRDefault="00181D20" w:rsidP="00181D20">
            <w:pPr>
              <w:pStyle w:val="Default"/>
            </w:pPr>
            <w:r>
              <w:t xml:space="preserve">Metering data </w:t>
            </w:r>
            <w:r w:rsidRPr="008E0467">
              <w:t xml:space="preserve">is used to establish a </w:t>
            </w:r>
            <w:r>
              <w:t>c</w:t>
            </w:r>
            <w:r w:rsidRPr="008E0467">
              <w:t xml:space="preserve">ustomer </w:t>
            </w:r>
            <w:r>
              <w:t>b</w:t>
            </w:r>
            <w:r w:rsidRPr="008E0467">
              <w:t xml:space="preserve">aseline </w:t>
            </w:r>
            <w:r>
              <w:t>l</w:t>
            </w:r>
            <w:r w:rsidRPr="008E0467">
              <w:t xml:space="preserve">oad. Baseline is then established using “10 in 10” methodology which is a Simple average of 10 similar non-event days using most </w:t>
            </w:r>
            <w:r w:rsidR="00B76EF4">
              <w:t>recent days prior to an “event”.</w:t>
            </w:r>
          </w:p>
          <w:p w:rsidR="00181D20" w:rsidRDefault="00181D20" w:rsidP="00181D20">
            <w:pPr>
              <w:pStyle w:val="Default"/>
            </w:pPr>
          </w:p>
          <w:p w:rsidR="00181D20" w:rsidRPr="008E0467" w:rsidRDefault="00181D20" w:rsidP="00181D20">
            <w:pPr>
              <w:pStyle w:val="Default"/>
            </w:pPr>
            <w:r w:rsidRPr="008E0467">
              <w:t>This methodology is currently in use in the California I</w:t>
            </w:r>
            <w:r w:rsidR="005F6FD7">
              <w:t>ndependent System Operator (I</w:t>
            </w:r>
            <w:r w:rsidRPr="008E0467">
              <w:t>SO</w:t>
            </w:r>
            <w:r w:rsidR="005F6FD7">
              <w:t>)</w:t>
            </w:r>
            <w:r w:rsidRPr="008E0467">
              <w:t xml:space="preserve"> and is now mature</w:t>
            </w:r>
          </w:p>
          <w:p w:rsidR="00181D20" w:rsidRDefault="00413784" w:rsidP="00181D20">
            <w:pPr>
              <w:pStyle w:val="Default"/>
            </w:pPr>
            <w:hyperlink r:id="rId10" w:history="1">
              <w:r w:rsidR="00181D20" w:rsidRPr="008E0467">
                <w:rPr>
                  <w:rStyle w:val="Hyperlink"/>
                </w:rPr>
                <w:t>http://www.caiso.com/Documents/DemandResponseUserGuide.pdf</w:t>
              </w:r>
            </w:hyperlink>
          </w:p>
          <w:p w:rsidR="00181D20" w:rsidRPr="008E0467" w:rsidRDefault="00181D20" w:rsidP="00181D20">
            <w:pPr>
              <w:pStyle w:val="Default"/>
            </w:pPr>
          </w:p>
          <w:p w:rsidR="00181D20" w:rsidRPr="008E0467" w:rsidRDefault="00181D20" w:rsidP="00181D20">
            <w:pPr>
              <w:pStyle w:val="Default"/>
            </w:pPr>
            <w:r w:rsidRPr="008E0467">
              <w:t xml:space="preserve">However it is under constant review through a </w:t>
            </w:r>
            <w:r w:rsidR="005F6FD7">
              <w:t>b</w:t>
            </w:r>
            <w:r w:rsidRPr="008E0467">
              <w:t xml:space="preserve">aseline </w:t>
            </w:r>
            <w:r w:rsidR="005F6FD7">
              <w:t>a</w:t>
            </w:r>
            <w:r w:rsidRPr="008E0467">
              <w:t xml:space="preserve">ccuracy </w:t>
            </w:r>
            <w:r w:rsidR="006376D1">
              <w:t>w</w:t>
            </w:r>
            <w:r w:rsidRPr="008E0467">
              <w:t>orkgroup set up to review the accuracy of baselines</w:t>
            </w:r>
          </w:p>
          <w:p w:rsidR="00181D20" w:rsidRDefault="00413784" w:rsidP="00181D20">
            <w:pPr>
              <w:pStyle w:val="Default"/>
            </w:pPr>
            <w:hyperlink r:id="rId11" w:history="1">
              <w:r w:rsidR="00181D20" w:rsidRPr="008E0467">
                <w:rPr>
                  <w:rStyle w:val="Hyperlink"/>
                </w:rPr>
                <w:t>https://www.caiso.com/Documents/2017BaselineAccuracyWorkGroupFinalProposalNexant.pdf</w:t>
              </w:r>
            </w:hyperlink>
          </w:p>
          <w:p w:rsidR="00181D20" w:rsidRDefault="00181D20" w:rsidP="00181D20">
            <w:pPr>
              <w:pStyle w:val="Default"/>
            </w:pPr>
          </w:p>
          <w:p w:rsidR="00181D20" w:rsidRDefault="00181D20" w:rsidP="00181D20">
            <w:pPr>
              <w:spacing w:after="240"/>
            </w:pPr>
            <w:r>
              <w:t>Below is a detailed example of the baseline calculation process</w:t>
            </w:r>
            <w:r w:rsidR="005E43D6">
              <w:t xml:space="preserve"> (source: </w:t>
            </w:r>
            <w:hyperlink r:id="rId12" w:history="1">
              <w:r w:rsidR="005E43D6" w:rsidRPr="00D97A46">
                <w:rPr>
                  <w:rStyle w:val="Hyperlink"/>
                </w:rPr>
                <w:t>http://olivineinc.com/wp-content/uploads/2017/02/PDF_DemandResponseOIR-2013_Report_PGE_20171011-Public.pdf</w:t>
              </w:r>
            </w:hyperlink>
            <w:r w:rsidR="005E43D6">
              <w:t>)</w:t>
            </w:r>
            <w:r>
              <w:t>. Studies have shown this to be the most successful of baselines.</w:t>
            </w:r>
          </w:p>
          <w:p w:rsidR="003B0FBB" w:rsidRDefault="003B0FBB" w:rsidP="003B0FBB">
            <w:pPr>
              <w:pStyle w:val="ListParagraph"/>
              <w:numPr>
                <w:ilvl w:val="0"/>
                <w:numId w:val="32"/>
              </w:numPr>
              <w:spacing w:after="240"/>
            </w:pPr>
            <w:r>
              <w:t>Identify the target number of previous similar day</w:t>
            </w:r>
            <w:r>
              <w:rPr>
                <w:rFonts w:ascii="Cambria Math" w:hAnsi="Cambria Math" w:cs="Cambria Math"/>
              </w:rPr>
              <w:t>‐</w:t>
            </w:r>
            <w:r>
              <w:t>type non</w:t>
            </w:r>
            <w:r>
              <w:rPr>
                <w:rFonts w:ascii="Cambria Math" w:hAnsi="Cambria Math" w:cs="Cambria Math"/>
              </w:rPr>
              <w:t>‐</w:t>
            </w:r>
            <w:r>
              <w:t>event days</w:t>
            </w:r>
          </w:p>
          <w:p w:rsidR="003B0FBB" w:rsidRDefault="003B0FBB" w:rsidP="003B0FBB">
            <w:pPr>
              <w:pStyle w:val="ListParagraph"/>
              <w:numPr>
                <w:ilvl w:val="0"/>
                <w:numId w:val="32"/>
              </w:numPr>
              <w:spacing w:after="240"/>
            </w:pPr>
            <w:r>
              <w:t>Day</w:t>
            </w:r>
            <w:r>
              <w:rPr>
                <w:rFonts w:ascii="Cambria Math" w:hAnsi="Cambria Math" w:cs="Cambria Math"/>
              </w:rPr>
              <w:t>‐</w:t>
            </w:r>
            <w:r>
              <w:t>types are defined as weekdays (Monday – Fri</w:t>
            </w:r>
            <w:r w:rsidR="00583DBF">
              <w:t>day) and weekends/</w:t>
            </w:r>
            <w:r w:rsidR="005F6FD7">
              <w:t xml:space="preserve">public </w:t>
            </w:r>
            <w:r w:rsidR="00583DBF">
              <w:t>holidays</w:t>
            </w:r>
          </w:p>
          <w:p w:rsidR="00583DBF" w:rsidRDefault="003B0FBB" w:rsidP="00583DBF">
            <w:pPr>
              <w:pStyle w:val="ListParagraph"/>
              <w:numPr>
                <w:ilvl w:val="0"/>
                <w:numId w:val="32"/>
              </w:numPr>
              <w:spacing w:after="240"/>
            </w:pPr>
            <w:r>
              <w:t>The target number of days for each day</w:t>
            </w:r>
            <w:r>
              <w:rPr>
                <w:rFonts w:ascii="Cambria Math" w:hAnsi="Cambria Math" w:cs="Cambria Math"/>
              </w:rPr>
              <w:t>‐</w:t>
            </w:r>
            <w:r w:rsidR="00385F0B">
              <w:t>type are:</w:t>
            </w:r>
          </w:p>
          <w:p w:rsidR="003B0FBB" w:rsidRDefault="003B0FBB" w:rsidP="00583DBF">
            <w:pPr>
              <w:pStyle w:val="ListParagraph"/>
              <w:numPr>
                <w:ilvl w:val="2"/>
                <w:numId w:val="32"/>
              </w:numPr>
              <w:spacing w:after="240"/>
            </w:pPr>
            <w:r>
              <w:t>Weekdays: 10 days</w:t>
            </w:r>
          </w:p>
          <w:p w:rsidR="003B0FBB" w:rsidRDefault="00583DBF" w:rsidP="00583DBF">
            <w:pPr>
              <w:pStyle w:val="ListParagraph"/>
              <w:numPr>
                <w:ilvl w:val="2"/>
                <w:numId w:val="32"/>
              </w:numPr>
              <w:spacing w:after="240"/>
            </w:pPr>
            <w:r>
              <w:t>Weekends/holidays: </w:t>
            </w:r>
            <w:r w:rsidR="003B0FBB">
              <w:t>4 days</w:t>
            </w:r>
          </w:p>
          <w:p w:rsidR="003B0FBB" w:rsidRDefault="003B0FBB" w:rsidP="003B0FBB">
            <w:pPr>
              <w:pStyle w:val="ListParagraph"/>
              <w:numPr>
                <w:ilvl w:val="0"/>
                <w:numId w:val="32"/>
              </w:numPr>
              <w:spacing w:after="240"/>
            </w:pPr>
            <w:r>
              <w:t xml:space="preserve"> P</w:t>
            </w:r>
            <w:r w:rsidR="00583DBF">
              <w:t>revious event days are excluded</w:t>
            </w:r>
          </w:p>
          <w:p w:rsidR="003B0FBB" w:rsidRDefault="003B0FBB" w:rsidP="003B0FBB">
            <w:pPr>
              <w:pStyle w:val="ListParagraph"/>
              <w:numPr>
                <w:ilvl w:val="0"/>
                <w:numId w:val="32"/>
              </w:numPr>
              <w:spacing w:after="240"/>
            </w:pPr>
            <w:r>
              <w:t>The maximum look</w:t>
            </w:r>
            <w:r>
              <w:rPr>
                <w:rFonts w:ascii="Cambria Math" w:hAnsi="Cambria Math" w:cs="Cambria Math"/>
              </w:rPr>
              <w:t>‐</w:t>
            </w:r>
            <w:r w:rsidR="00583DBF">
              <w:t>back window is 45 days</w:t>
            </w:r>
          </w:p>
          <w:p w:rsidR="003B0FBB" w:rsidRDefault="003B0FBB" w:rsidP="00583DBF">
            <w:pPr>
              <w:pStyle w:val="ListParagraph"/>
              <w:numPr>
                <w:ilvl w:val="0"/>
                <w:numId w:val="32"/>
              </w:numPr>
              <w:spacing w:after="240"/>
            </w:pPr>
            <w:r>
              <w:t>If 10 non</w:t>
            </w:r>
            <w:r>
              <w:rPr>
                <w:rFonts w:ascii="Cambria Math" w:hAnsi="Cambria Math" w:cs="Cambria Math"/>
              </w:rPr>
              <w:t>‐</w:t>
            </w:r>
            <w:r>
              <w:t>event “Weekdays” cannot be identified within the 45</w:t>
            </w:r>
            <w:r>
              <w:rPr>
                <w:rFonts w:ascii="Cambria Math" w:hAnsi="Cambria Math" w:cs="Cambria Math"/>
              </w:rPr>
              <w:t>‐</w:t>
            </w:r>
            <w:r>
              <w:t>day look</w:t>
            </w:r>
            <w:r>
              <w:rPr>
                <w:rFonts w:ascii="Cambria Math" w:hAnsi="Cambria Math" w:cs="Cambria Math"/>
              </w:rPr>
              <w:t>‐</w:t>
            </w:r>
            <w:r>
              <w:t>back window, but at least 5</w:t>
            </w:r>
            <w:r w:rsidR="00583DBF">
              <w:t xml:space="preserve"> </w:t>
            </w:r>
            <w:r>
              <w:t>days can be identified, the baseline is calc</w:t>
            </w:r>
            <w:r w:rsidR="00583DBF">
              <w:t xml:space="preserve">ulated using the </w:t>
            </w:r>
            <w:r w:rsidR="00583DBF">
              <w:lastRenderedPageBreak/>
              <w:t>available days</w:t>
            </w:r>
          </w:p>
          <w:p w:rsidR="00583DBF" w:rsidRDefault="003B0FBB" w:rsidP="00583DBF">
            <w:pPr>
              <w:pStyle w:val="ListParagraph"/>
              <w:numPr>
                <w:ilvl w:val="0"/>
                <w:numId w:val="32"/>
              </w:numPr>
              <w:spacing w:after="240"/>
            </w:pPr>
            <w:r>
              <w:t>If at least 5 non</w:t>
            </w:r>
            <w:r w:rsidRPr="00583DBF">
              <w:rPr>
                <w:rFonts w:ascii="Cambria Math" w:hAnsi="Cambria Math" w:cs="Cambria Math"/>
              </w:rPr>
              <w:t>‐</w:t>
            </w:r>
            <w:r>
              <w:t>event Weekdays or 4 non</w:t>
            </w:r>
            <w:r w:rsidRPr="00583DBF">
              <w:rPr>
                <w:rFonts w:ascii="Cambria Math" w:hAnsi="Cambria Math" w:cs="Cambria Math"/>
              </w:rPr>
              <w:t>‐</w:t>
            </w:r>
            <w:r>
              <w:t>event Weekends/holidays cannot be identified in the look</w:t>
            </w:r>
            <w:r w:rsidRPr="00583DBF">
              <w:rPr>
                <w:rFonts w:ascii="Cambria Math" w:hAnsi="Cambria Math" w:cs="Cambria Math"/>
              </w:rPr>
              <w:t>‐</w:t>
            </w:r>
            <w:r>
              <w:t>back window, the highest usage prior event days within the look</w:t>
            </w:r>
            <w:r w:rsidRPr="00583DBF">
              <w:rPr>
                <w:rFonts w:ascii="Cambria Math" w:hAnsi="Cambria Math" w:cs="Cambria Math"/>
              </w:rPr>
              <w:t>‐</w:t>
            </w:r>
            <w:r>
              <w:t>back window are then included as</w:t>
            </w:r>
            <w:r w:rsidR="00583DBF">
              <w:t xml:space="preserve"> </w:t>
            </w:r>
            <w:r>
              <w:t>needed to r</w:t>
            </w:r>
            <w:r w:rsidR="00583DBF">
              <w:t>each the minimum number of days</w:t>
            </w:r>
          </w:p>
          <w:p w:rsidR="00323FF8" w:rsidRDefault="00323FF8" w:rsidP="00583DBF">
            <w:pPr>
              <w:spacing w:after="240"/>
            </w:pPr>
            <w:r>
              <w:t>An event day is a day with weather or market conditions which would likely lead to energy curtailment or provision.</w:t>
            </w:r>
          </w:p>
          <w:p w:rsidR="00323FF8" w:rsidRDefault="00323FF8" w:rsidP="00323FF8">
            <w:pPr>
              <w:spacing w:after="240"/>
              <w:rPr>
                <w:szCs w:val="24"/>
              </w:rPr>
            </w:pPr>
            <w:r>
              <w:t xml:space="preserve">On the day adjustments are applied to the baseline to take into account weather and could </w:t>
            </w:r>
            <w:r>
              <w:rPr>
                <w:szCs w:val="24"/>
              </w:rPr>
              <w:t xml:space="preserve">include for example likelihood of it being a Triad, other pricing signals (i.e. when you move into winter and </w:t>
            </w:r>
            <w:r>
              <w:rPr>
                <w:szCs w:val="24"/>
              </w:rPr>
              <w:softHyphen/>
            </w:r>
            <w:r>
              <w:rPr>
                <w:szCs w:val="24"/>
              </w:rPr>
              <w:softHyphen/>
            </w:r>
            <w:r>
              <w:rPr>
                <w:szCs w:val="24"/>
              </w:rPr>
              <w:softHyphen/>
              <w:t>-</w:t>
            </w:r>
            <w:r>
              <w:rPr>
                <w:szCs w:val="24"/>
                <w:vertAlign w:val="subscript"/>
              </w:rPr>
              <w:softHyphen/>
            </w:r>
            <w:r>
              <w:rPr>
                <w:szCs w:val="24"/>
              </w:rPr>
              <w:t xml:space="preserve">pricing encourages less demand), load before use </w:t>
            </w:r>
            <w:r w:rsidR="006376D1">
              <w:rPr>
                <w:szCs w:val="24"/>
              </w:rPr>
              <w:t>etc. Variances</w:t>
            </w:r>
            <w:r>
              <w:rPr>
                <w:szCs w:val="24"/>
              </w:rPr>
              <w:t xml:space="preserve"> on this baseline methodology include using the top 5 days as an average of the last 10 non –event days. All baseline methodologies are improved by using on the day adjustments.</w:t>
            </w:r>
          </w:p>
          <w:p w:rsidR="006C5BA9" w:rsidRPr="00B21277" w:rsidRDefault="00323FF8" w:rsidP="006376D1">
            <w:pPr>
              <w:rPr>
                <w:szCs w:val="24"/>
              </w:rPr>
            </w:pPr>
            <w:r>
              <w:rPr>
                <w:szCs w:val="24"/>
              </w:rPr>
              <w:t xml:space="preserve">It is worth noting that all baselines failed to accurately forecast baselines for highly variable loads, which is where work in conjunction with the </w:t>
            </w:r>
            <w:r w:rsidR="006376D1">
              <w:rPr>
                <w:szCs w:val="24"/>
              </w:rPr>
              <w:t xml:space="preserve">behind </w:t>
            </w:r>
            <w:r>
              <w:rPr>
                <w:szCs w:val="24"/>
              </w:rPr>
              <w:t xml:space="preserve">the </w:t>
            </w:r>
            <w:r w:rsidR="006376D1">
              <w:rPr>
                <w:szCs w:val="24"/>
              </w:rPr>
              <w:t xml:space="preserve">meter </w:t>
            </w:r>
            <w:r>
              <w:rPr>
                <w:szCs w:val="24"/>
              </w:rPr>
              <w:t xml:space="preserve">Issue may complement this issue or potentially negate the need for </w:t>
            </w:r>
            <w:r w:rsidR="006376D1">
              <w:rPr>
                <w:szCs w:val="24"/>
              </w:rPr>
              <w:t>baselines</w:t>
            </w:r>
            <w:r w:rsidR="00D368BE">
              <w:rPr>
                <w:szCs w:val="24"/>
              </w:rPr>
              <w:t>.</w:t>
            </w:r>
          </w:p>
        </w:tc>
      </w:tr>
      <w:tr w:rsidR="00B21277" w:rsidRPr="00B21277" w:rsidTr="003B0FBB">
        <w:trPr>
          <w:cantSplit/>
          <w:trHeight w:val="389"/>
        </w:trPr>
        <w:tc>
          <w:tcPr>
            <w:tcW w:w="5000" w:type="pct"/>
            <w:gridSpan w:val="2"/>
          </w:tcPr>
          <w:p w:rsidR="0057414C" w:rsidRPr="00B21277" w:rsidRDefault="007C6569" w:rsidP="005A6C36">
            <w:pPr>
              <w:spacing w:after="240"/>
              <w:rPr>
                <w:szCs w:val="24"/>
              </w:rPr>
            </w:pPr>
            <w:r w:rsidRPr="00B21277">
              <w:rPr>
                <w:b/>
                <w:szCs w:val="24"/>
              </w:rPr>
              <w:lastRenderedPageBreak/>
              <w:t>Proposer’s Details</w:t>
            </w:r>
            <w:r w:rsidR="00132547" w:rsidRPr="00B21277">
              <w:rPr>
                <w:b/>
                <w:szCs w:val="24"/>
              </w:rPr>
              <w:t xml:space="preserve">: </w:t>
            </w:r>
          </w:p>
        </w:tc>
      </w:tr>
      <w:tr w:rsidR="00B21277" w:rsidRPr="00B21277">
        <w:trPr>
          <w:cantSplit/>
        </w:trPr>
        <w:tc>
          <w:tcPr>
            <w:tcW w:w="5000" w:type="pct"/>
            <w:gridSpan w:val="2"/>
          </w:tcPr>
          <w:p w:rsidR="0057414C" w:rsidRPr="00B21277" w:rsidRDefault="007C6569" w:rsidP="005A6C36">
            <w:pPr>
              <w:spacing w:after="240"/>
              <w:rPr>
                <w:szCs w:val="24"/>
              </w:rPr>
            </w:pPr>
            <w:r w:rsidRPr="00B21277">
              <w:rPr>
                <w:b/>
                <w:i/>
              </w:rPr>
              <w:t>Name</w:t>
            </w:r>
            <w:r w:rsidR="00132547" w:rsidRPr="00B21277">
              <w:rPr>
                <w:b/>
                <w:i/>
              </w:rPr>
              <w:t xml:space="preserve">: </w:t>
            </w:r>
            <w:r w:rsidR="00901FE4" w:rsidRPr="003B0FBB">
              <w:t>Damian Clough</w:t>
            </w:r>
          </w:p>
        </w:tc>
      </w:tr>
      <w:tr w:rsidR="00B21277" w:rsidRPr="00B21277">
        <w:trPr>
          <w:cantSplit/>
        </w:trPr>
        <w:tc>
          <w:tcPr>
            <w:tcW w:w="5000" w:type="pct"/>
            <w:gridSpan w:val="2"/>
          </w:tcPr>
          <w:p w:rsidR="0057414C" w:rsidRPr="00B21277" w:rsidRDefault="007C6569" w:rsidP="005A6C36">
            <w:pPr>
              <w:spacing w:after="240"/>
              <w:rPr>
                <w:szCs w:val="24"/>
              </w:rPr>
            </w:pPr>
            <w:r w:rsidRPr="00B21277">
              <w:rPr>
                <w:b/>
                <w:i/>
              </w:rPr>
              <w:t>Organisation</w:t>
            </w:r>
            <w:r w:rsidR="00132547" w:rsidRPr="00B21277">
              <w:rPr>
                <w:b/>
                <w:i/>
              </w:rPr>
              <w:t xml:space="preserve">: </w:t>
            </w:r>
            <w:r w:rsidR="00901FE4" w:rsidRPr="003B0FBB">
              <w:t xml:space="preserve">ELEXON </w:t>
            </w:r>
          </w:p>
        </w:tc>
      </w:tr>
      <w:tr w:rsidR="00B21277" w:rsidRPr="00B21277">
        <w:trPr>
          <w:cantSplit/>
        </w:trPr>
        <w:tc>
          <w:tcPr>
            <w:tcW w:w="5000" w:type="pct"/>
            <w:gridSpan w:val="2"/>
          </w:tcPr>
          <w:p w:rsidR="0057414C" w:rsidRPr="00B21277" w:rsidRDefault="007C6569" w:rsidP="005A6C36">
            <w:pPr>
              <w:spacing w:after="240"/>
              <w:rPr>
                <w:szCs w:val="24"/>
              </w:rPr>
            </w:pPr>
            <w:r w:rsidRPr="00B21277">
              <w:rPr>
                <w:b/>
                <w:i/>
              </w:rPr>
              <w:t>Email Address</w:t>
            </w:r>
            <w:r w:rsidR="00901FE4">
              <w:rPr>
                <w:b/>
                <w:i/>
              </w:rPr>
              <w:t>:</w:t>
            </w:r>
            <w:r w:rsidR="004E157B" w:rsidRPr="00B21277">
              <w:rPr>
                <w:b/>
                <w:i/>
              </w:rPr>
              <w:t xml:space="preserve"> </w:t>
            </w:r>
            <w:r w:rsidR="00901FE4" w:rsidRPr="00901FE4">
              <w:t>Damian.Clough@elexon.co.uk</w:t>
            </w:r>
          </w:p>
        </w:tc>
      </w:tr>
      <w:tr w:rsidR="00B21277" w:rsidRPr="00B21277">
        <w:trPr>
          <w:cantSplit/>
        </w:trPr>
        <w:tc>
          <w:tcPr>
            <w:tcW w:w="5000" w:type="pct"/>
            <w:gridSpan w:val="2"/>
          </w:tcPr>
          <w:p w:rsidR="0057414C" w:rsidRPr="00B21277" w:rsidRDefault="007C6569" w:rsidP="005A6C36">
            <w:pPr>
              <w:spacing w:after="240"/>
              <w:rPr>
                <w:szCs w:val="24"/>
              </w:rPr>
            </w:pPr>
            <w:r w:rsidRPr="00B21277">
              <w:rPr>
                <w:b/>
                <w:i/>
                <w:spacing w:val="-3"/>
              </w:rPr>
              <w:t>Telephone Number</w:t>
            </w:r>
            <w:r w:rsidR="00901FE4">
              <w:rPr>
                <w:b/>
                <w:i/>
                <w:spacing w:val="-3"/>
              </w:rPr>
              <w:t>:</w:t>
            </w:r>
            <w:r w:rsidR="004E157B" w:rsidRPr="00B21277">
              <w:rPr>
                <w:b/>
                <w:i/>
                <w:spacing w:val="-3"/>
              </w:rPr>
              <w:t xml:space="preserve"> </w:t>
            </w:r>
            <w:r w:rsidR="00901FE4" w:rsidRPr="00901FE4">
              <w:rPr>
                <w:spacing w:val="-3"/>
              </w:rPr>
              <w:t>020 7380 4290</w:t>
            </w:r>
          </w:p>
        </w:tc>
      </w:tr>
      <w:tr w:rsidR="0057414C" w:rsidRPr="00B21277">
        <w:trPr>
          <w:cantSplit/>
        </w:trPr>
        <w:tc>
          <w:tcPr>
            <w:tcW w:w="5000" w:type="pct"/>
            <w:gridSpan w:val="2"/>
          </w:tcPr>
          <w:p w:rsidR="0057414C" w:rsidRPr="00B21277" w:rsidRDefault="007C6569">
            <w:pPr>
              <w:spacing w:after="240"/>
              <w:rPr>
                <w:b/>
                <w:i/>
                <w:spacing w:val="-3"/>
              </w:rPr>
            </w:pPr>
            <w:r w:rsidRPr="00B21277">
              <w:rPr>
                <w:b/>
                <w:i/>
                <w:szCs w:val="24"/>
              </w:rPr>
              <w:t>Date</w:t>
            </w:r>
            <w:r w:rsidR="00901FE4">
              <w:rPr>
                <w:b/>
                <w:i/>
                <w:szCs w:val="24"/>
              </w:rPr>
              <w:t xml:space="preserve">: </w:t>
            </w:r>
            <w:r w:rsidR="00901FE4" w:rsidRPr="00901FE4">
              <w:rPr>
                <w:szCs w:val="24"/>
              </w:rPr>
              <w:t>15 June 2018</w:t>
            </w:r>
          </w:p>
        </w:tc>
      </w:tr>
    </w:tbl>
    <w:p w:rsidR="0057414C" w:rsidRPr="00B21277" w:rsidRDefault="0057414C">
      <w:pPr>
        <w:rPr>
          <w:szCs w:val="24"/>
        </w:rPr>
      </w:pPr>
    </w:p>
    <w:sectPr w:rsidR="0057414C" w:rsidRPr="00B21277">
      <w:headerReference w:type="default" r:id="rId13"/>
      <w:footerReference w:type="default" r:id="rId14"/>
      <w:endnotePr>
        <w:numFmt w:val="decimal"/>
      </w:endnotePr>
      <w:pgSz w:w="11909" w:h="16834" w:code="9"/>
      <w:pgMar w:top="1418" w:right="1418" w:bottom="1418"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773" w:rsidRDefault="00BD4773">
      <w:pPr>
        <w:spacing w:line="20" w:lineRule="exact"/>
      </w:pPr>
    </w:p>
  </w:endnote>
  <w:endnote w:type="continuationSeparator" w:id="0">
    <w:p w:rsidR="00BD4773" w:rsidRDefault="00BD4773">
      <w:r>
        <w:t xml:space="preserve"> </w:t>
      </w:r>
    </w:p>
  </w:endnote>
  <w:endnote w:type="continuationNotice" w:id="1">
    <w:p w:rsidR="00BD4773" w:rsidRDefault="00BD47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14" w:rsidRDefault="00492B14">
    <w:pPr>
      <w:pStyle w:val="Footer"/>
      <w:pBdr>
        <w:top w:val="single" w:sz="2" w:space="6" w:color="auto"/>
      </w:pBdr>
      <w:tabs>
        <w:tab w:val="clear" w:pos="4320"/>
        <w:tab w:val="clear" w:pos="8640"/>
        <w:tab w:val="clear" w:pos="8784"/>
        <w:tab w:val="center" w:pos="4536"/>
        <w:tab w:val="right" w:pos="9072"/>
      </w:tabs>
      <w:jc w:val="left"/>
      <w:rPr>
        <w:rStyle w:val="PageNumber"/>
        <w:b/>
        <w:spacing w:val="0"/>
        <w:sz w:val="24"/>
        <w:lang w:val="en-GB"/>
      </w:rPr>
    </w:pPr>
    <w:r>
      <w:rPr>
        <w:b/>
      </w:rPr>
      <w:t>Balancing and Settlement Code</w:t>
    </w:r>
    <w:r>
      <w:rPr>
        <w:b/>
      </w:rPr>
      <w:tab/>
      <w:t>Page</w:t>
    </w:r>
    <w:r>
      <w:rPr>
        <w:rFonts w:ascii="CG Times (W1)" w:hAnsi="CG Times (W1)"/>
        <w:b/>
      </w:rPr>
      <w:t xml:space="preserve"> </w:t>
    </w:r>
    <w:r>
      <w:rPr>
        <w:rStyle w:val="PageNumber"/>
        <w:rFonts w:ascii="CG Times (W1)" w:hAnsi="CG Times (W1)"/>
        <w:b/>
      </w:rPr>
      <w:fldChar w:fldCharType="begin"/>
    </w:r>
    <w:r>
      <w:rPr>
        <w:rStyle w:val="PageNumber"/>
        <w:rFonts w:ascii="CG Times (W1)" w:hAnsi="CG Times (W1)"/>
        <w:b/>
      </w:rPr>
      <w:instrText xml:space="preserve"> PAGE </w:instrText>
    </w:r>
    <w:r>
      <w:rPr>
        <w:rStyle w:val="PageNumber"/>
        <w:rFonts w:ascii="CG Times (W1)" w:hAnsi="CG Times (W1)"/>
        <w:b/>
      </w:rPr>
      <w:fldChar w:fldCharType="separate"/>
    </w:r>
    <w:r w:rsidR="00413784">
      <w:rPr>
        <w:rStyle w:val="PageNumber"/>
        <w:rFonts w:ascii="CG Times (W1)" w:hAnsi="CG Times (W1)"/>
        <w:b/>
        <w:noProof/>
      </w:rPr>
      <w:t>3</w:t>
    </w:r>
    <w:r>
      <w:rPr>
        <w:rStyle w:val="PageNumber"/>
        <w:rFonts w:ascii="CG Times (W1)" w:hAnsi="CG Times (W1)"/>
        <w:b/>
      </w:rPr>
      <w:fldChar w:fldCharType="end"/>
    </w:r>
    <w:r>
      <w:rPr>
        <w:b/>
      </w:rPr>
      <w:t xml:space="preserve"> </w:t>
    </w:r>
    <w:r>
      <w:rPr>
        <w:rStyle w:val="PageNumber"/>
        <w:b/>
      </w:rPr>
      <w:t xml:space="preserve">of </w:t>
    </w:r>
    <w:r>
      <w:rPr>
        <w:rStyle w:val="PageNumber"/>
        <w:b/>
      </w:rPr>
      <w:fldChar w:fldCharType="begin"/>
    </w:r>
    <w:r>
      <w:rPr>
        <w:rStyle w:val="PageNumber"/>
        <w:b/>
      </w:rPr>
      <w:instrText xml:space="preserve"> NUMPAGES </w:instrText>
    </w:r>
    <w:r>
      <w:rPr>
        <w:rStyle w:val="PageNumber"/>
        <w:b/>
      </w:rPr>
      <w:fldChar w:fldCharType="separate"/>
    </w:r>
    <w:r w:rsidR="00413784">
      <w:rPr>
        <w:rStyle w:val="PageNumber"/>
        <w:b/>
        <w:noProof/>
      </w:rPr>
      <w:t>5</w:t>
    </w:r>
    <w:r>
      <w:rPr>
        <w:rStyle w:val="PageNumber"/>
        <w:b/>
      </w:rPr>
      <w:fldChar w:fldCharType="end"/>
    </w:r>
    <w:r>
      <w:rPr>
        <w:rStyle w:val="PageNumber"/>
        <w:b/>
      </w:rPr>
      <w:tab/>
    </w:r>
    <w:r w:rsidR="00413784">
      <w:fldChar w:fldCharType="begin"/>
    </w:r>
    <w:r w:rsidR="00413784">
      <w:instrText xml:space="preserve"> DOCPROPERTY  "Effective Date"  \* MERGEFORMAT </w:instrText>
    </w:r>
    <w:r w:rsidR="00413784">
      <w:fldChar w:fldCharType="separate"/>
    </w:r>
    <w:r w:rsidR="006C62C9">
      <w:rPr>
        <w:b/>
      </w:rPr>
      <w:t>22</w:t>
    </w:r>
    <w:r w:rsidR="00917BAD">
      <w:rPr>
        <w:b/>
      </w:rPr>
      <w:t xml:space="preserve"> June 2018</w:t>
    </w:r>
    <w:r w:rsidR="00413784">
      <w:rPr>
        <w:b/>
      </w:rPr>
      <w:fldChar w:fldCharType="end"/>
    </w:r>
  </w:p>
  <w:p w:rsidR="00492B14" w:rsidRDefault="00492B14">
    <w:pPr>
      <w:pStyle w:val="Footer"/>
      <w:tabs>
        <w:tab w:val="clear" w:pos="4320"/>
        <w:tab w:val="clear" w:pos="8640"/>
        <w:tab w:val="clear" w:pos="8784"/>
      </w:tabs>
      <w:jc w:val="center"/>
      <w:rPr>
        <w:b/>
      </w:rPr>
    </w:pPr>
    <w:r>
      <w:rPr>
        <w:rStyle w:val="PageNumber"/>
        <w:b/>
      </w:rPr>
      <w:t>© ELEXON Limited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773" w:rsidRDefault="00BD4773">
      <w:r>
        <w:separator/>
      </w:r>
    </w:p>
  </w:footnote>
  <w:footnote w:type="continuationSeparator" w:id="0">
    <w:p w:rsidR="00BD4773" w:rsidRDefault="00BD4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14" w:rsidRDefault="00492B14">
    <w:pPr>
      <w:pBdr>
        <w:bottom w:val="single" w:sz="2" w:space="6" w:color="auto"/>
      </w:pBdr>
      <w:tabs>
        <w:tab w:val="center" w:pos="4536"/>
        <w:tab w:val="right" w:pos="9072"/>
      </w:tabs>
      <w:suppressAutoHyphens/>
      <w:rPr>
        <w:b/>
        <w:spacing w:val="-3"/>
      </w:rPr>
    </w:pPr>
    <w:r>
      <w:rPr>
        <w:b/>
        <w:spacing w:val="-3"/>
        <w:sz w:val="20"/>
      </w:rPr>
      <w:tab/>
      <w:t>Change Management</w:t>
    </w:r>
    <w:r>
      <w:rPr>
        <w:b/>
        <w:spacing w:val="-3"/>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8238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682A1A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BB41E6C"/>
    <w:lvl w:ilvl="0">
      <w:start w:val="1"/>
      <w:numFmt w:val="decimal"/>
      <w:pStyle w:val="ListNumber3"/>
      <w:lvlText w:val="%1."/>
      <w:lvlJc w:val="left"/>
      <w:pPr>
        <w:tabs>
          <w:tab w:val="num" w:pos="926"/>
        </w:tabs>
        <w:ind w:left="926" w:hanging="360"/>
      </w:pPr>
    </w:lvl>
  </w:abstractNum>
  <w:abstractNum w:abstractNumId="3">
    <w:nsid w:val="FFFFFF7F"/>
    <w:multiLevelType w:val="singleLevel"/>
    <w:tmpl w:val="547C78C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34FC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F58B98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8602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6B307A52"/>
    <w:lvl w:ilvl="0">
      <w:start w:val="1"/>
      <w:numFmt w:val="decimal"/>
      <w:pStyle w:val="ListNumber"/>
      <w:lvlText w:val="%1."/>
      <w:lvlJc w:val="left"/>
      <w:pPr>
        <w:tabs>
          <w:tab w:val="num" w:pos="360"/>
        </w:tabs>
        <w:ind w:left="360" w:hanging="360"/>
      </w:pPr>
    </w:lvl>
  </w:abstractNum>
  <w:abstractNum w:abstractNumId="8">
    <w:nsid w:val="FFFFFF89"/>
    <w:multiLevelType w:val="singleLevel"/>
    <w:tmpl w:val="C5F6E99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B"/>
    <w:multiLevelType w:val="multilevel"/>
    <w:tmpl w:val="A6245762"/>
    <w:lvl w:ilvl="0">
      <w:start w:val="1"/>
      <w:numFmt w:val="decimal"/>
      <w:pStyle w:val="Heading1"/>
      <w:lvlText w:val="%1."/>
      <w:lvlJc w:val="left"/>
      <w:pPr>
        <w:tabs>
          <w:tab w:val="num" w:pos="0"/>
        </w:tabs>
        <w:ind w:left="720" w:hanging="720"/>
      </w:pPr>
      <w:rPr>
        <w:rFonts w:hint="default"/>
        <w:u w:val="none"/>
      </w:rPr>
    </w:lvl>
    <w:lvl w:ilvl="1">
      <w:start w:val="1"/>
      <w:numFmt w:val="decimal"/>
      <w:pStyle w:val="Heading2"/>
      <w:lvlText w:val="%1.%2."/>
      <w:lvlJc w:val="left"/>
      <w:pPr>
        <w:tabs>
          <w:tab w:val="num" w:pos="0"/>
        </w:tabs>
        <w:ind w:left="1146" w:hanging="720"/>
      </w:pPr>
      <w:rPr>
        <w:rFonts w:hint="default"/>
        <w:color w:val="000000"/>
        <w:u w:val="none"/>
      </w:rPr>
    </w:lvl>
    <w:lvl w:ilvl="2">
      <w:start w:val="1"/>
      <w:numFmt w:val="decimal"/>
      <w:pStyle w:val="Heading3"/>
      <w:lvlText w:val="%3.%1.%2"/>
      <w:lvlJc w:val="left"/>
      <w:pPr>
        <w:tabs>
          <w:tab w:val="num" w:pos="0"/>
        </w:tabs>
        <w:ind w:left="2160"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10">
    <w:nsid w:val="FFFFFFFE"/>
    <w:multiLevelType w:val="singleLevel"/>
    <w:tmpl w:val="FFFFFFFF"/>
    <w:lvl w:ilvl="0">
      <w:numFmt w:val="decimal"/>
      <w:lvlText w:val="*"/>
      <w:lvlJc w:val="left"/>
    </w:lvl>
  </w:abstractNum>
  <w:abstractNum w:abstractNumId="11">
    <w:nsid w:val="03A86E19"/>
    <w:multiLevelType w:val="hybridMultilevel"/>
    <w:tmpl w:val="F746DC32"/>
    <w:lvl w:ilvl="0" w:tplc="08090003">
      <w:start w:val="1"/>
      <w:numFmt w:val="bullet"/>
      <w:lvlText w:val="o"/>
      <w:lvlJc w:val="left"/>
      <w:pPr>
        <w:ind w:left="2062" w:hanging="360"/>
      </w:pPr>
      <w:rPr>
        <w:rFonts w:ascii="Courier New" w:hAnsi="Courier New" w:cs="Courier New"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12">
    <w:nsid w:val="0C3B6FD7"/>
    <w:multiLevelType w:val="hybridMultilevel"/>
    <w:tmpl w:val="B9323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11010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CFD5766"/>
    <w:multiLevelType w:val="hybridMultilevel"/>
    <w:tmpl w:val="2C4602BE"/>
    <w:lvl w:ilvl="0" w:tplc="0396FB60">
      <w:start w:val="1"/>
      <w:numFmt w:val="lowerLetter"/>
      <w:pStyle w:val="ELEXONHeading1"/>
      <w:lvlText w:val="%1)"/>
      <w:lvlJc w:val="left"/>
      <w:pPr>
        <w:tabs>
          <w:tab w:val="num" w:pos="2237"/>
        </w:tabs>
        <w:ind w:left="2237" w:hanging="360"/>
      </w:pPr>
      <w:rPr>
        <w:rFonts w:hint="default"/>
      </w:rPr>
    </w:lvl>
    <w:lvl w:ilvl="1" w:tplc="08090019" w:tentative="1">
      <w:start w:val="1"/>
      <w:numFmt w:val="lowerLetter"/>
      <w:pStyle w:val="ELEXONHeading2"/>
      <w:lvlText w:val="%2."/>
      <w:lvlJc w:val="left"/>
      <w:pPr>
        <w:tabs>
          <w:tab w:val="num" w:pos="2957"/>
        </w:tabs>
        <w:ind w:left="2957" w:hanging="360"/>
      </w:pPr>
    </w:lvl>
    <w:lvl w:ilvl="2" w:tplc="0809001B" w:tentative="1">
      <w:start w:val="1"/>
      <w:numFmt w:val="lowerRoman"/>
      <w:pStyle w:val="ELEXONHeading3"/>
      <w:lvlText w:val="%3."/>
      <w:lvlJc w:val="right"/>
      <w:pPr>
        <w:tabs>
          <w:tab w:val="num" w:pos="3677"/>
        </w:tabs>
        <w:ind w:left="3677" w:hanging="180"/>
      </w:pPr>
    </w:lvl>
    <w:lvl w:ilvl="3" w:tplc="0809000F" w:tentative="1">
      <w:start w:val="1"/>
      <w:numFmt w:val="decimal"/>
      <w:pStyle w:val="ELEXONHeading4"/>
      <w:lvlText w:val="%4."/>
      <w:lvlJc w:val="left"/>
      <w:pPr>
        <w:tabs>
          <w:tab w:val="num" w:pos="4397"/>
        </w:tabs>
        <w:ind w:left="4397" w:hanging="360"/>
      </w:pPr>
    </w:lvl>
    <w:lvl w:ilvl="4" w:tplc="08090019" w:tentative="1">
      <w:start w:val="1"/>
      <w:numFmt w:val="lowerLetter"/>
      <w:lvlText w:val="%5."/>
      <w:lvlJc w:val="left"/>
      <w:pPr>
        <w:tabs>
          <w:tab w:val="num" w:pos="5117"/>
        </w:tabs>
        <w:ind w:left="5117" w:hanging="360"/>
      </w:pPr>
    </w:lvl>
    <w:lvl w:ilvl="5" w:tplc="0809001B" w:tentative="1">
      <w:start w:val="1"/>
      <w:numFmt w:val="lowerRoman"/>
      <w:lvlText w:val="%6."/>
      <w:lvlJc w:val="right"/>
      <w:pPr>
        <w:tabs>
          <w:tab w:val="num" w:pos="5837"/>
        </w:tabs>
        <w:ind w:left="5837" w:hanging="180"/>
      </w:pPr>
    </w:lvl>
    <w:lvl w:ilvl="6" w:tplc="0809000F" w:tentative="1">
      <w:start w:val="1"/>
      <w:numFmt w:val="decimal"/>
      <w:lvlText w:val="%7."/>
      <w:lvlJc w:val="left"/>
      <w:pPr>
        <w:tabs>
          <w:tab w:val="num" w:pos="6557"/>
        </w:tabs>
        <w:ind w:left="6557" w:hanging="360"/>
      </w:pPr>
    </w:lvl>
    <w:lvl w:ilvl="7" w:tplc="08090019" w:tentative="1">
      <w:start w:val="1"/>
      <w:numFmt w:val="lowerLetter"/>
      <w:lvlText w:val="%8."/>
      <w:lvlJc w:val="left"/>
      <w:pPr>
        <w:tabs>
          <w:tab w:val="num" w:pos="7277"/>
        </w:tabs>
        <w:ind w:left="7277" w:hanging="360"/>
      </w:pPr>
    </w:lvl>
    <w:lvl w:ilvl="8" w:tplc="0809001B" w:tentative="1">
      <w:start w:val="1"/>
      <w:numFmt w:val="lowerRoman"/>
      <w:lvlText w:val="%9."/>
      <w:lvlJc w:val="right"/>
      <w:pPr>
        <w:tabs>
          <w:tab w:val="num" w:pos="7997"/>
        </w:tabs>
        <w:ind w:left="7997" w:hanging="180"/>
      </w:pPr>
    </w:lvl>
  </w:abstractNum>
  <w:abstractNum w:abstractNumId="15">
    <w:nsid w:val="37213151"/>
    <w:multiLevelType w:val="hybridMultilevel"/>
    <w:tmpl w:val="54800632"/>
    <w:lvl w:ilvl="0" w:tplc="08090005">
      <w:start w:val="1"/>
      <w:numFmt w:val="bullet"/>
      <w:lvlText w:val=""/>
      <w:lvlJc w:val="left"/>
      <w:pPr>
        <w:tabs>
          <w:tab w:val="num" w:pos="2062"/>
        </w:tabs>
        <w:ind w:left="2062" w:hanging="360"/>
      </w:pPr>
      <w:rPr>
        <w:rFonts w:ascii="Wingdings" w:hAnsi="Wingdings" w:hint="default"/>
      </w:rPr>
    </w:lvl>
    <w:lvl w:ilvl="1" w:tplc="08090003" w:tentative="1">
      <w:start w:val="1"/>
      <w:numFmt w:val="bullet"/>
      <w:lvlText w:val="o"/>
      <w:lvlJc w:val="left"/>
      <w:pPr>
        <w:tabs>
          <w:tab w:val="num" w:pos="2782"/>
        </w:tabs>
        <w:ind w:left="2782" w:hanging="360"/>
      </w:pPr>
      <w:rPr>
        <w:rFonts w:ascii="Courier New" w:hAnsi="Courier New" w:cs="Courier New" w:hint="default"/>
      </w:rPr>
    </w:lvl>
    <w:lvl w:ilvl="2" w:tplc="08090005" w:tentative="1">
      <w:start w:val="1"/>
      <w:numFmt w:val="bullet"/>
      <w:lvlText w:val=""/>
      <w:lvlJc w:val="left"/>
      <w:pPr>
        <w:tabs>
          <w:tab w:val="num" w:pos="3502"/>
        </w:tabs>
        <w:ind w:left="3502" w:hanging="360"/>
      </w:pPr>
      <w:rPr>
        <w:rFonts w:ascii="Wingdings" w:hAnsi="Wingdings" w:hint="default"/>
      </w:rPr>
    </w:lvl>
    <w:lvl w:ilvl="3" w:tplc="08090001" w:tentative="1">
      <w:start w:val="1"/>
      <w:numFmt w:val="bullet"/>
      <w:lvlText w:val=""/>
      <w:lvlJc w:val="left"/>
      <w:pPr>
        <w:tabs>
          <w:tab w:val="num" w:pos="4222"/>
        </w:tabs>
        <w:ind w:left="4222" w:hanging="360"/>
      </w:pPr>
      <w:rPr>
        <w:rFonts w:ascii="Symbol" w:hAnsi="Symbol" w:hint="default"/>
      </w:rPr>
    </w:lvl>
    <w:lvl w:ilvl="4" w:tplc="08090003" w:tentative="1">
      <w:start w:val="1"/>
      <w:numFmt w:val="bullet"/>
      <w:lvlText w:val="o"/>
      <w:lvlJc w:val="left"/>
      <w:pPr>
        <w:tabs>
          <w:tab w:val="num" w:pos="4942"/>
        </w:tabs>
        <w:ind w:left="4942" w:hanging="360"/>
      </w:pPr>
      <w:rPr>
        <w:rFonts w:ascii="Courier New" w:hAnsi="Courier New" w:cs="Courier New" w:hint="default"/>
      </w:rPr>
    </w:lvl>
    <w:lvl w:ilvl="5" w:tplc="08090005" w:tentative="1">
      <w:start w:val="1"/>
      <w:numFmt w:val="bullet"/>
      <w:lvlText w:val=""/>
      <w:lvlJc w:val="left"/>
      <w:pPr>
        <w:tabs>
          <w:tab w:val="num" w:pos="5662"/>
        </w:tabs>
        <w:ind w:left="5662" w:hanging="360"/>
      </w:pPr>
      <w:rPr>
        <w:rFonts w:ascii="Wingdings" w:hAnsi="Wingdings" w:hint="default"/>
      </w:rPr>
    </w:lvl>
    <w:lvl w:ilvl="6" w:tplc="08090001" w:tentative="1">
      <w:start w:val="1"/>
      <w:numFmt w:val="bullet"/>
      <w:lvlText w:val=""/>
      <w:lvlJc w:val="left"/>
      <w:pPr>
        <w:tabs>
          <w:tab w:val="num" w:pos="6382"/>
        </w:tabs>
        <w:ind w:left="6382" w:hanging="360"/>
      </w:pPr>
      <w:rPr>
        <w:rFonts w:ascii="Symbol" w:hAnsi="Symbol" w:hint="default"/>
      </w:rPr>
    </w:lvl>
    <w:lvl w:ilvl="7" w:tplc="08090003" w:tentative="1">
      <w:start w:val="1"/>
      <w:numFmt w:val="bullet"/>
      <w:lvlText w:val="o"/>
      <w:lvlJc w:val="left"/>
      <w:pPr>
        <w:tabs>
          <w:tab w:val="num" w:pos="7102"/>
        </w:tabs>
        <w:ind w:left="7102" w:hanging="360"/>
      </w:pPr>
      <w:rPr>
        <w:rFonts w:ascii="Courier New" w:hAnsi="Courier New" w:cs="Courier New" w:hint="default"/>
      </w:rPr>
    </w:lvl>
    <w:lvl w:ilvl="8" w:tplc="08090005" w:tentative="1">
      <w:start w:val="1"/>
      <w:numFmt w:val="bullet"/>
      <w:lvlText w:val=""/>
      <w:lvlJc w:val="left"/>
      <w:pPr>
        <w:tabs>
          <w:tab w:val="num" w:pos="7822"/>
        </w:tabs>
        <w:ind w:left="7822" w:hanging="360"/>
      </w:pPr>
      <w:rPr>
        <w:rFonts w:ascii="Wingdings" w:hAnsi="Wingdings" w:hint="default"/>
      </w:rPr>
    </w:lvl>
  </w:abstractNum>
  <w:abstractNum w:abstractNumId="16">
    <w:nsid w:val="383F7EF2"/>
    <w:multiLevelType w:val="hybridMultilevel"/>
    <w:tmpl w:val="B50ABD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DFD4371"/>
    <w:multiLevelType w:val="hybridMultilevel"/>
    <w:tmpl w:val="EDFEB87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30B4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1822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nsid w:val="543F294D"/>
    <w:multiLevelType w:val="hybridMultilevel"/>
    <w:tmpl w:val="477CA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0887CFD"/>
    <w:multiLevelType w:val="hybridMultilevel"/>
    <w:tmpl w:val="42BECF56"/>
    <w:lvl w:ilvl="0" w:tplc="04090017">
      <w:start w:val="1"/>
      <w:numFmt w:val="lowerLetter"/>
      <w:lvlText w:val="%1)"/>
      <w:lvlJc w:val="left"/>
      <w:pPr>
        <w:tabs>
          <w:tab w:val="num" w:pos="2160"/>
        </w:tabs>
        <w:ind w:left="2160" w:hanging="360"/>
      </w:pPr>
      <w:rPr>
        <w:rFonts w:hint="default"/>
      </w:rPr>
    </w:lvl>
    <w:lvl w:ilvl="1" w:tplc="C2888382">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181631E"/>
    <w:multiLevelType w:val="hybridMultilevel"/>
    <w:tmpl w:val="3184EBF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23319F4"/>
    <w:multiLevelType w:val="hybridMultilevel"/>
    <w:tmpl w:val="CC36D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EC46D7"/>
    <w:multiLevelType w:val="hybridMultilevel"/>
    <w:tmpl w:val="F3F8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CC2841"/>
    <w:multiLevelType w:val="hybridMultilevel"/>
    <w:tmpl w:val="B44EA0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73111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0E560C9"/>
    <w:multiLevelType w:val="hybridMultilevel"/>
    <w:tmpl w:val="D2C8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3F5232"/>
    <w:multiLevelType w:val="hybridMultilevel"/>
    <w:tmpl w:val="F9D8797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1D662F2"/>
    <w:multiLevelType w:val="hybridMultilevel"/>
    <w:tmpl w:val="77C661C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D8775C3"/>
    <w:multiLevelType w:val="multilevel"/>
    <w:tmpl w:val="E290683E"/>
    <w:lvl w:ilvl="0">
      <w:start w:val="1"/>
      <w:numFmt w:val="decimal"/>
      <w:lvlText w:val="%1."/>
      <w:lvlJc w:val="left"/>
      <w:pPr>
        <w:tabs>
          <w:tab w:val="num" w:pos="720"/>
        </w:tabs>
        <w:ind w:left="720" w:hanging="360"/>
      </w:pPr>
      <w:rPr>
        <w:rFonts w:hint="default"/>
      </w:rPr>
    </w:lvl>
    <w:lvl w:ilvl="1">
      <w:start w:val="9"/>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abstractNumId w:val="19"/>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30"/>
  </w:num>
  <w:num w:numId="12">
    <w:abstractNumId w:val="14"/>
  </w:num>
  <w:num w:numId="13">
    <w:abstractNumId w:val="21"/>
  </w:num>
  <w:num w:numId="14">
    <w:abstractNumId w:val="10"/>
    <w:lvlOverride w:ilvl="0">
      <w:lvl w:ilvl="0">
        <w:start w:val="1"/>
        <w:numFmt w:val="bullet"/>
        <w:lvlText w:val=""/>
        <w:legacy w:legacy="1" w:legacySpace="0" w:legacyIndent="360"/>
        <w:lvlJc w:val="left"/>
        <w:pPr>
          <w:ind w:left="2062" w:hanging="360"/>
        </w:pPr>
        <w:rPr>
          <w:rFonts w:ascii="Symbol" w:hAnsi="Symbol" w:hint="default"/>
        </w:rPr>
      </w:lvl>
    </w:lvlOverride>
  </w:num>
  <w:num w:numId="15">
    <w:abstractNumId w:val="29"/>
  </w:num>
  <w:num w:numId="16">
    <w:abstractNumId w:val="17"/>
  </w:num>
  <w:num w:numId="17">
    <w:abstractNumId w:val="22"/>
  </w:num>
  <w:num w:numId="18">
    <w:abstractNumId w:val="28"/>
  </w:num>
  <w:num w:numId="19">
    <w:abstractNumId w:val="13"/>
  </w:num>
  <w:num w:numId="20">
    <w:abstractNumId w:val="18"/>
  </w:num>
  <w:num w:numId="21">
    <w:abstractNumId w:val="26"/>
  </w:num>
  <w:num w:numId="22">
    <w:abstractNumId w:val="25"/>
  </w:num>
  <w:num w:numId="23">
    <w:abstractNumId w:val="15"/>
  </w:num>
  <w:num w:numId="24">
    <w:abstractNumId w:val="16"/>
  </w:num>
  <w:num w:numId="25">
    <w:abstractNumId w:val="9"/>
  </w:num>
  <w:num w:numId="26">
    <w:abstractNumId w:val="11"/>
  </w:num>
  <w:num w:numId="27">
    <w:abstractNumId w:val="12"/>
  </w:num>
  <w:num w:numId="28">
    <w:abstractNumId w:val="9"/>
  </w:num>
  <w:num w:numId="29">
    <w:abstractNumId w:val="20"/>
  </w:num>
  <w:num w:numId="30">
    <w:abstractNumId w:val="27"/>
  </w:num>
  <w:num w:numId="31">
    <w:abstractNumId w:val="23"/>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4C"/>
    <w:rsid w:val="00000FB2"/>
    <w:rsid w:val="0001111D"/>
    <w:rsid w:val="0002149A"/>
    <w:rsid w:val="00025E50"/>
    <w:rsid w:val="00032E92"/>
    <w:rsid w:val="00040021"/>
    <w:rsid w:val="00047CD2"/>
    <w:rsid w:val="00053E2C"/>
    <w:rsid w:val="0008754F"/>
    <w:rsid w:val="00093CAD"/>
    <w:rsid w:val="0009497A"/>
    <w:rsid w:val="000A3F11"/>
    <w:rsid w:val="000A50AC"/>
    <w:rsid w:val="000C757D"/>
    <w:rsid w:val="000D0894"/>
    <w:rsid w:val="000D1763"/>
    <w:rsid w:val="000D38A0"/>
    <w:rsid w:val="000D64E1"/>
    <w:rsid w:val="000E58CF"/>
    <w:rsid w:val="001071D3"/>
    <w:rsid w:val="00123497"/>
    <w:rsid w:val="00126EA0"/>
    <w:rsid w:val="00132547"/>
    <w:rsid w:val="0015054D"/>
    <w:rsid w:val="001559FF"/>
    <w:rsid w:val="00171D2D"/>
    <w:rsid w:val="00177DC4"/>
    <w:rsid w:val="00180638"/>
    <w:rsid w:val="00181D20"/>
    <w:rsid w:val="001959C9"/>
    <w:rsid w:val="001E3D0F"/>
    <w:rsid w:val="001F5AF4"/>
    <w:rsid w:val="001F64E3"/>
    <w:rsid w:val="00213E74"/>
    <w:rsid w:val="00225521"/>
    <w:rsid w:val="0022750F"/>
    <w:rsid w:val="002431E9"/>
    <w:rsid w:val="00245A26"/>
    <w:rsid w:val="00256665"/>
    <w:rsid w:val="00256CAE"/>
    <w:rsid w:val="0026468C"/>
    <w:rsid w:val="00267CF4"/>
    <w:rsid w:val="002A2F3F"/>
    <w:rsid w:val="002B138D"/>
    <w:rsid w:val="002B5099"/>
    <w:rsid w:val="002D7D98"/>
    <w:rsid w:val="002E5FC2"/>
    <w:rsid w:val="002F0560"/>
    <w:rsid w:val="00316F01"/>
    <w:rsid w:val="00323FF8"/>
    <w:rsid w:val="00343871"/>
    <w:rsid w:val="00351DDF"/>
    <w:rsid w:val="00365A46"/>
    <w:rsid w:val="003660D5"/>
    <w:rsid w:val="00385F0B"/>
    <w:rsid w:val="003A3D7F"/>
    <w:rsid w:val="003A78C3"/>
    <w:rsid w:val="003B0FBB"/>
    <w:rsid w:val="003C79AE"/>
    <w:rsid w:val="003F5412"/>
    <w:rsid w:val="004057CB"/>
    <w:rsid w:val="00413784"/>
    <w:rsid w:val="004230D6"/>
    <w:rsid w:val="0042574E"/>
    <w:rsid w:val="00476B5F"/>
    <w:rsid w:val="00486BFB"/>
    <w:rsid w:val="00487022"/>
    <w:rsid w:val="00491AA6"/>
    <w:rsid w:val="00492B14"/>
    <w:rsid w:val="00496289"/>
    <w:rsid w:val="004B5E47"/>
    <w:rsid w:val="004B64C1"/>
    <w:rsid w:val="004C2ACE"/>
    <w:rsid w:val="004C2B8E"/>
    <w:rsid w:val="004E072B"/>
    <w:rsid w:val="004E157B"/>
    <w:rsid w:val="00523E6E"/>
    <w:rsid w:val="0054050A"/>
    <w:rsid w:val="00554DD6"/>
    <w:rsid w:val="005600B3"/>
    <w:rsid w:val="00560DD0"/>
    <w:rsid w:val="00561E87"/>
    <w:rsid w:val="0057414C"/>
    <w:rsid w:val="00583DBF"/>
    <w:rsid w:val="005A41AC"/>
    <w:rsid w:val="005A6C36"/>
    <w:rsid w:val="005B3B04"/>
    <w:rsid w:val="005B6AB9"/>
    <w:rsid w:val="005E43D6"/>
    <w:rsid w:val="005F3921"/>
    <w:rsid w:val="005F6FD7"/>
    <w:rsid w:val="00603A1F"/>
    <w:rsid w:val="00604183"/>
    <w:rsid w:val="006074BC"/>
    <w:rsid w:val="00634FF6"/>
    <w:rsid w:val="006376D1"/>
    <w:rsid w:val="006419FE"/>
    <w:rsid w:val="00662C21"/>
    <w:rsid w:val="00667996"/>
    <w:rsid w:val="00673E73"/>
    <w:rsid w:val="006915F8"/>
    <w:rsid w:val="00691A27"/>
    <w:rsid w:val="006C1D99"/>
    <w:rsid w:val="006C5BA9"/>
    <w:rsid w:val="006C62C9"/>
    <w:rsid w:val="006C6AC8"/>
    <w:rsid w:val="006D5B3C"/>
    <w:rsid w:val="006E43EF"/>
    <w:rsid w:val="006F64A3"/>
    <w:rsid w:val="007023F0"/>
    <w:rsid w:val="00710671"/>
    <w:rsid w:val="007156F4"/>
    <w:rsid w:val="0073156A"/>
    <w:rsid w:val="007325FF"/>
    <w:rsid w:val="007422DA"/>
    <w:rsid w:val="0075164E"/>
    <w:rsid w:val="007563C7"/>
    <w:rsid w:val="007968DC"/>
    <w:rsid w:val="007B32CF"/>
    <w:rsid w:val="007B3EF7"/>
    <w:rsid w:val="007C084E"/>
    <w:rsid w:val="007C09D6"/>
    <w:rsid w:val="007C6569"/>
    <w:rsid w:val="007D077E"/>
    <w:rsid w:val="007D79CB"/>
    <w:rsid w:val="007F1EAF"/>
    <w:rsid w:val="007F730E"/>
    <w:rsid w:val="008667A5"/>
    <w:rsid w:val="008806A9"/>
    <w:rsid w:val="00894562"/>
    <w:rsid w:val="008C44B3"/>
    <w:rsid w:val="008C48DD"/>
    <w:rsid w:val="008D0BC0"/>
    <w:rsid w:val="008E0467"/>
    <w:rsid w:val="008E4139"/>
    <w:rsid w:val="008F1B23"/>
    <w:rsid w:val="008F363A"/>
    <w:rsid w:val="008F45FB"/>
    <w:rsid w:val="00901861"/>
    <w:rsid w:val="00901FE4"/>
    <w:rsid w:val="0091198D"/>
    <w:rsid w:val="00917BAD"/>
    <w:rsid w:val="00917E46"/>
    <w:rsid w:val="00926574"/>
    <w:rsid w:val="00935190"/>
    <w:rsid w:val="00944D9A"/>
    <w:rsid w:val="00950436"/>
    <w:rsid w:val="00950526"/>
    <w:rsid w:val="00954135"/>
    <w:rsid w:val="009642E2"/>
    <w:rsid w:val="009846A0"/>
    <w:rsid w:val="009A2BF6"/>
    <w:rsid w:val="009A3DAD"/>
    <w:rsid w:val="009B37E2"/>
    <w:rsid w:val="009B5ED7"/>
    <w:rsid w:val="009C37D4"/>
    <w:rsid w:val="009D3436"/>
    <w:rsid w:val="009E0AB6"/>
    <w:rsid w:val="009F3B1B"/>
    <w:rsid w:val="00A23630"/>
    <w:rsid w:val="00A30F61"/>
    <w:rsid w:val="00A81F4E"/>
    <w:rsid w:val="00AA2AA2"/>
    <w:rsid w:val="00AA43BC"/>
    <w:rsid w:val="00AB12F1"/>
    <w:rsid w:val="00AD28F0"/>
    <w:rsid w:val="00AE1B06"/>
    <w:rsid w:val="00AE7D48"/>
    <w:rsid w:val="00B04E28"/>
    <w:rsid w:val="00B11D66"/>
    <w:rsid w:val="00B14FBF"/>
    <w:rsid w:val="00B21277"/>
    <w:rsid w:val="00B35946"/>
    <w:rsid w:val="00B5560F"/>
    <w:rsid w:val="00B6080A"/>
    <w:rsid w:val="00B62A16"/>
    <w:rsid w:val="00B76EF4"/>
    <w:rsid w:val="00B80063"/>
    <w:rsid w:val="00B837D5"/>
    <w:rsid w:val="00BA152C"/>
    <w:rsid w:val="00BD2AAB"/>
    <w:rsid w:val="00BD3F36"/>
    <w:rsid w:val="00BD4773"/>
    <w:rsid w:val="00C04604"/>
    <w:rsid w:val="00C10FD2"/>
    <w:rsid w:val="00C22766"/>
    <w:rsid w:val="00C32951"/>
    <w:rsid w:val="00C404F3"/>
    <w:rsid w:val="00C51935"/>
    <w:rsid w:val="00C57556"/>
    <w:rsid w:val="00C6629D"/>
    <w:rsid w:val="00C737F7"/>
    <w:rsid w:val="00C7566D"/>
    <w:rsid w:val="00C9420C"/>
    <w:rsid w:val="00CA1951"/>
    <w:rsid w:val="00CB33F3"/>
    <w:rsid w:val="00CC1AAB"/>
    <w:rsid w:val="00CD7680"/>
    <w:rsid w:val="00CE05B1"/>
    <w:rsid w:val="00CE3693"/>
    <w:rsid w:val="00CF6BD2"/>
    <w:rsid w:val="00D04F17"/>
    <w:rsid w:val="00D06219"/>
    <w:rsid w:val="00D1450F"/>
    <w:rsid w:val="00D255E6"/>
    <w:rsid w:val="00D276FD"/>
    <w:rsid w:val="00D368BE"/>
    <w:rsid w:val="00D402A4"/>
    <w:rsid w:val="00D44210"/>
    <w:rsid w:val="00D44F07"/>
    <w:rsid w:val="00D562A5"/>
    <w:rsid w:val="00D8651E"/>
    <w:rsid w:val="00DA0EB4"/>
    <w:rsid w:val="00DA6B33"/>
    <w:rsid w:val="00DA7FC4"/>
    <w:rsid w:val="00DB16D6"/>
    <w:rsid w:val="00DE1DCC"/>
    <w:rsid w:val="00DE5295"/>
    <w:rsid w:val="00DF32F2"/>
    <w:rsid w:val="00E10CFF"/>
    <w:rsid w:val="00E11612"/>
    <w:rsid w:val="00E11A3C"/>
    <w:rsid w:val="00E13282"/>
    <w:rsid w:val="00E21DF4"/>
    <w:rsid w:val="00E33C8C"/>
    <w:rsid w:val="00E376CA"/>
    <w:rsid w:val="00E37814"/>
    <w:rsid w:val="00E757D2"/>
    <w:rsid w:val="00E75C6E"/>
    <w:rsid w:val="00E80BD0"/>
    <w:rsid w:val="00E93EA7"/>
    <w:rsid w:val="00EC679F"/>
    <w:rsid w:val="00ED1181"/>
    <w:rsid w:val="00EE0A8C"/>
    <w:rsid w:val="00EF5E4F"/>
    <w:rsid w:val="00F04C54"/>
    <w:rsid w:val="00F27E7D"/>
    <w:rsid w:val="00F33824"/>
    <w:rsid w:val="00F3451A"/>
    <w:rsid w:val="00F35355"/>
    <w:rsid w:val="00F42024"/>
    <w:rsid w:val="00F511AF"/>
    <w:rsid w:val="00F56171"/>
    <w:rsid w:val="00F743A7"/>
    <w:rsid w:val="00F91B45"/>
    <w:rsid w:val="00FA5F59"/>
    <w:rsid w:val="00FB293A"/>
    <w:rsid w:val="00FC031E"/>
    <w:rsid w:val="00FD43F5"/>
    <w:rsid w:val="00FE4661"/>
    <w:rsid w:val="00FF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25"/>
      </w:numPr>
      <w:spacing w:before="240" w:after="240"/>
      <w:outlineLvl w:val="0"/>
    </w:pPr>
    <w:rPr>
      <w:b/>
      <w:kern w:val="28"/>
      <w:u w:val="single"/>
    </w:rPr>
  </w:style>
  <w:style w:type="paragraph" w:styleId="Heading2">
    <w:name w:val="heading 2"/>
    <w:basedOn w:val="Normal"/>
    <w:next w:val="BodyTextIndent"/>
    <w:link w:val="Heading2Char"/>
    <w:qFormat/>
    <w:pPr>
      <w:keepNext/>
      <w:numPr>
        <w:ilvl w:val="1"/>
        <w:numId w:val="25"/>
      </w:numPr>
      <w:spacing w:before="240" w:after="240"/>
      <w:outlineLvl w:val="1"/>
    </w:pPr>
    <w:rPr>
      <w:b/>
    </w:rPr>
  </w:style>
  <w:style w:type="paragraph" w:styleId="Heading3">
    <w:name w:val="heading 3"/>
    <w:basedOn w:val="Normal"/>
    <w:next w:val="BodyTextIndent"/>
    <w:qFormat/>
    <w:pPr>
      <w:keepNext/>
      <w:numPr>
        <w:ilvl w:val="2"/>
        <w:numId w:val="25"/>
      </w:numPr>
      <w:spacing w:after="240"/>
      <w:outlineLvl w:val="2"/>
    </w:pPr>
    <w:rPr>
      <w:i/>
    </w:rPr>
  </w:style>
  <w:style w:type="paragraph" w:styleId="Heading4">
    <w:name w:val="heading 4"/>
    <w:basedOn w:val="Normal"/>
    <w:next w:val="Normal"/>
    <w:qFormat/>
    <w:pPr>
      <w:keepNext/>
      <w:numPr>
        <w:ilvl w:val="3"/>
        <w:numId w:val="25"/>
      </w:numPr>
      <w:spacing w:before="240" w:after="60"/>
      <w:outlineLvl w:val="3"/>
    </w:pPr>
    <w:rPr>
      <w:b/>
      <w:i/>
    </w:rPr>
  </w:style>
  <w:style w:type="paragraph" w:styleId="Heading5">
    <w:name w:val="heading 5"/>
    <w:aliases w:val="Heading 5   Appendix A to X,Appendix A to X"/>
    <w:basedOn w:val="Normal"/>
    <w:next w:val="Normal"/>
    <w:qFormat/>
    <w:pPr>
      <w:numPr>
        <w:ilvl w:val="4"/>
        <w:numId w:val="25"/>
      </w:numPr>
      <w:spacing w:before="240" w:after="60"/>
      <w:outlineLvl w:val="4"/>
    </w:pPr>
    <w:rPr>
      <w:rFonts w:ascii="Arial" w:hAnsi="Arial"/>
      <w:sz w:val="22"/>
    </w:rPr>
  </w:style>
  <w:style w:type="paragraph" w:styleId="Heading6">
    <w:name w:val="heading 6"/>
    <w:basedOn w:val="Normal"/>
    <w:next w:val="Normal"/>
    <w:qFormat/>
    <w:pPr>
      <w:numPr>
        <w:ilvl w:val="5"/>
        <w:numId w:val="25"/>
      </w:numPr>
      <w:spacing w:before="240" w:after="60"/>
      <w:outlineLvl w:val="5"/>
    </w:pPr>
    <w:rPr>
      <w:rFonts w:ascii="Arial" w:hAnsi="Arial"/>
      <w:i/>
      <w:sz w:val="22"/>
    </w:rPr>
  </w:style>
  <w:style w:type="paragraph" w:styleId="Heading7">
    <w:name w:val="heading 7"/>
    <w:basedOn w:val="Normal"/>
    <w:next w:val="Normal"/>
    <w:qFormat/>
    <w:pPr>
      <w:numPr>
        <w:ilvl w:val="6"/>
        <w:numId w:val="25"/>
      </w:numPr>
      <w:spacing w:before="240" w:after="60"/>
      <w:outlineLvl w:val="6"/>
    </w:pPr>
    <w:rPr>
      <w:rFonts w:ascii="Arial" w:hAnsi="Arial"/>
    </w:rPr>
  </w:style>
  <w:style w:type="paragraph" w:styleId="Heading8">
    <w:name w:val="heading 8"/>
    <w:basedOn w:val="Normal"/>
    <w:next w:val="Normal"/>
    <w:qFormat/>
    <w:pPr>
      <w:numPr>
        <w:ilvl w:val="7"/>
        <w:numId w:val="25"/>
      </w:numPr>
      <w:spacing w:before="240" w:after="60"/>
      <w:outlineLvl w:val="7"/>
    </w:pPr>
    <w:rPr>
      <w:rFonts w:ascii="Arial" w:hAnsi="Arial"/>
      <w:i/>
    </w:rPr>
  </w:style>
  <w:style w:type="paragraph" w:styleId="Heading9">
    <w:name w:val="heading 9"/>
    <w:basedOn w:val="Normal"/>
    <w:next w:val="Normal"/>
    <w:qFormat/>
    <w:pPr>
      <w:numPr>
        <w:ilvl w:val="8"/>
        <w:numId w:val="2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firstLine="720"/>
    </w:pPr>
    <w:rPr>
      <w:b/>
      <w:sz w:val="28"/>
      <w:lang w:val="en-US"/>
    </w:rPr>
  </w:style>
  <w:style w:type="paragraph" w:customStyle="1" w:styleId="RightPar2">
    <w:name w:val="Right Par 2"/>
    <w:pPr>
      <w:tabs>
        <w:tab w:val="left" w:pos="-720"/>
        <w:tab w:val="left" w:pos="0"/>
        <w:tab w:val="left" w:pos="720"/>
        <w:tab w:val="decimal" w:pos="1440"/>
      </w:tabs>
      <w:suppressAutoHyphens/>
      <w:ind w:firstLine="1440"/>
    </w:pPr>
    <w:rPr>
      <w:b/>
      <w:sz w:val="28"/>
      <w:lang w:val="en-US"/>
    </w:rPr>
  </w:style>
  <w:style w:type="character" w:customStyle="1" w:styleId="Document3">
    <w:name w:val="Document 3"/>
    <w:basedOn w:val="DefaultParagraphFont"/>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firstLine="2160"/>
    </w:pPr>
    <w:rPr>
      <w:b/>
      <w:sz w:val="28"/>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b/>
      <w:sz w:val="28"/>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b/>
      <w:sz w:val="28"/>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b/>
      <w:sz w:val="28"/>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b/>
      <w:sz w:val="28"/>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b/>
      <w:sz w:val="28"/>
      <w:lang w:val="en-US"/>
    </w:rPr>
  </w:style>
  <w:style w:type="paragraph" w:customStyle="1" w:styleId="Document1">
    <w:name w:val="Document 1"/>
    <w:pPr>
      <w:keepNext/>
      <w:keepLines/>
      <w:tabs>
        <w:tab w:val="left" w:pos="-720"/>
      </w:tabs>
      <w:suppressAutoHyphens/>
    </w:pPr>
    <w:rPr>
      <w:rFonts w:ascii="CG Times" w:hAnsi="CG Times"/>
      <w:sz w:val="24"/>
      <w:lang w:val="en-US"/>
    </w:rPr>
  </w:style>
  <w:style w:type="character" w:customStyle="1" w:styleId="TechInit">
    <w:name w:val="Tech Init"/>
    <w:basedOn w:val="DefaultParagraphFon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lang w:val="en-US"/>
    </w:rPr>
  </w:style>
  <w:style w:type="paragraph" w:customStyle="1" w:styleId="Technical6">
    <w:name w:val="Technical 6"/>
    <w:pPr>
      <w:tabs>
        <w:tab w:val="left" w:pos="-720"/>
      </w:tabs>
      <w:suppressAutoHyphens/>
      <w:ind w:firstLine="720"/>
    </w:pPr>
    <w:rPr>
      <w:rFonts w:ascii="CG Times" w:hAnsi="CG Times"/>
      <w:b/>
      <w:sz w:val="24"/>
      <w:lang w:val="en-US"/>
    </w:rPr>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val="en-US"/>
    </w:rPr>
  </w:style>
  <w:style w:type="character" w:customStyle="1" w:styleId="Technical1">
    <w:name w:val="Technical 1"/>
    <w:basedOn w:val="DefaultParagraphFont"/>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lang w:val="en-US"/>
    </w:rPr>
  </w:style>
  <w:style w:type="paragraph" w:customStyle="1" w:styleId="Technical8">
    <w:name w:val="Technical 8"/>
    <w:pPr>
      <w:tabs>
        <w:tab w:val="left" w:pos="-720"/>
      </w:tabs>
      <w:suppressAutoHyphens/>
      <w:ind w:firstLine="720"/>
    </w:pPr>
    <w:rPr>
      <w:rFonts w:ascii="CG Times" w:hAnsi="CG Times"/>
      <w:b/>
      <w:sz w:val="24"/>
      <w:lang w:val="en-US"/>
    </w:rPr>
  </w:style>
  <w:style w:type="character" w:customStyle="1" w:styleId="DocInit">
    <w:name w:val="Doc Init"/>
    <w:basedOn w:val="DefaultParagraphFont"/>
  </w:style>
  <w:style w:type="paragraph" w:styleId="TOC1">
    <w:name w:val="toc 1"/>
    <w:basedOn w:val="Normal"/>
    <w:next w:val="Normal"/>
    <w:uiPriority w:val="39"/>
    <w:rsid w:val="00DA6B33"/>
    <w:pPr>
      <w:tabs>
        <w:tab w:val="left" w:pos="567"/>
        <w:tab w:val="right" w:pos="9072"/>
      </w:tabs>
      <w:spacing w:after="120"/>
    </w:pPr>
    <w:rPr>
      <w:rFonts w:ascii="Times New Roman Bold" w:hAnsi="Times New Roman Bold"/>
      <w:b/>
    </w:rPr>
  </w:style>
  <w:style w:type="paragraph" w:styleId="TOC2">
    <w:name w:val="toc 2"/>
    <w:basedOn w:val="Normal"/>
    <w:next w:val="Normal"/>
    <w:uiPriority w:val="39"/>
    <w:rsid w:val="00DA6B33"/>
    <w:pPr>
      <w:tabs>
        <w:tab w:val="left" w:pos="567"/>
        <w:tab w:val="right" w:pos="9072"/>
      </w:tabs>
      <w:spacing w:after="120"/>
      <w:ind w:left="567" w:hanging="567"/>
    </w:pPr>
    <w:rPr>
      <w:sz w:val="20"/>
    </w:rPr>
  </w:style>
  <w:style w:type="paragraph" w:styleId="TOC3">
    <w:name w:val="toc 3"/>
    <w:basedOn w:val="Normal"/>
    <w:next w:val="Normal"/>
    <w:uiPriority w:val="39"/>
    <w:rsid w:val="00DA6B33"/>
    <w:pPr>
      <w:tabs>
        <w:tab w:val="right" w:leader="dot" w:pos="9648"/>
      </w:tabs>
      <w:ind w:left="482"/>
    </w:pPr>
    <w:rPr>
      <w:sz w:val="20"/>
    </w:rPr>
  </w:style>
  <w:style w:type="paragraph" w:styleId="TOC4">
    <w:name w:val="toc 4"/>
    <w:basedOn w:val="Normal"/>
    <w:next w:val="Normal"/>
    <w:semiHidden/>
    <w:pPr>
      <w:tabs>
        <w:tab w:val="right" w:leader="dot" w:pos="9648"/>
      </w:tabs>
      <w:ind w:left="720"/>
    </w:pPr>
    <w:rPr>
      <w:sz w:val="20"/>
    </w:rPr>
  </w:style>
  <w:style w:type="paragraph" w:styleId="TOC5">
    <w:name w:val="toc 5"/>
    <w:basedOn w:val="Normal"/>
    <w:next w:val="Normal"/>
    <w:semiHidden/>
    <w:pPr>
      <w:tabs>
        <w:tab w:val="right" w:leader="dot" w:pos="9648"/>
      </w:tabs>
      <w:ind w:left="960"/>
    </w:pPr>
    <w:rPr>
      <w:sz w:val="20"/>
    </w:rPr>
  </w:style>
  <w:style w:type="paragraph" w:styleId="TOC6">
    <w:name w:val="toc 6"/>
    <w:basedOn w:val="Normal"/>
    <w:next w:val="Normal"/>
    <w:semiHidden/>
    <w:pPr>
      <w:tabs>
        <w:tab w:val="right" w:leader="dot" w:pos="9648"/>
      </w:tabs>
      <w:ind w:left="1200"/>
    </w:pPr>
    <w:rPr>
      <w:sz w:val="20"/>
    </w:rPr>
  </w:style>
  <w:style w:type="paragraph" w:styleId="TOC7">
    <w:name w:val="toc 7"/>
    <w:basedOn w:val="Normal"/>
    <w:next w:val="Normal"/>
    <w:semiHidden/>
    <w:pPr>
      <w:tabs>
        <w:tab w:val="right" w:leader="dot" w:pos="9648"/>
      </w:tabs>
      <w:ind w:left="1440"/>
    </w:pPr>
    <w:rPr>
      <w:sz w:val="20"/>
    </w:rPr>
  </w:style>
  <w:style w:type="paragraph" w:styleId="TOC8">
    <w:name w:val="toc 8"/>
    <w:basedOn w:val="Normal"/>
    <w:next w:val="Normal"/>
    <w:semiHidden/>
    <w:pPr>
      <w:tabs>
        <w:tab w:val="right" w:leader="dot" w:pos="9648"/>
      </w:tabs>
      <w:ind w:left="1680"/>
    </w:pPr>
    <w:rPr>
      <w:sz w:val="20"/>
    </w:rPr>
  </w:style>
  <w:style w:type="paragraph" w:styleId="TOC9">
    <w:name w:val="toc 9"/>
    <w:basedOn w:val="Normal"/>
    <w:next w:val="Normal"/>
    <w:semiHidden/>
    <w:pPr>
      <w:tabs>
        <w:tab w:val="right" w:leader="dot" w:pos="9648"/>
      </w:tabs>
      <w:ind w:left="1920"/>
    </w:pPr>
    <w:rPr>
      <w:sz w:val="20"/>
    </w:rPr>
  </w:style>
  <w:style w:type="paragraph" w:styleId="Index1">
    <w:name w:val="index 1"/>
    <w:basedOn w:val="Normal"/>
    <w:next w:val="Normal"/>
    <w:semiHidden/>
    <w:pPr>
      <w:tabs>
        <w:tab w:val="left" w:leader="dot" w:pos="9000"/>
        <w:tab w:val="right" w:pos="9360"/>
      </w:tabs>
      <w:suppressAutoHyphens/>
      <w:ind w:left="1440" w:right="720" w:hanging="1440"/>
    </w:pPr>
    <w:rPr>
      <w:b/>
      <w:sz w:val="28"/>
      <w:lang w:val="en-US"/>
    </w:rPr>
  </w:style>
  <w:style w:type="paragraph" w:styleId="Index2">
    <w:name w:val="index 2"/>
    <w:basedOn w:val="Normal"/>
    <w:next w:val="Normal"/>
    <w:semiHidden/>
    <w:pPr>
      <w:tabs>
        <w:tab w:val="left" w:leader="dot" w:pos="9000"/>
        <w:tab w:val="right" w:pos="9360"/>
      </w:tabs>
      <w:suppressAutoHyphens/>
      <w:ind w:left="1440" w:right="720" w:hanging="720"/>
    </w:pPr>
    <w:rPr>
      <w:b/>
      <w:sz w:val="28"/>
      <w:lang w:val="en-US"/>
    </w:rPr>
  </w:style>
  <w:style w:type="paragraph" w:styleId="TOAHeading">
    <w:name w:val="toa heading"/>
    <w:basedOn w:val="Normal"/>
    <w:next w:val="Normal"/>
    <w:semiHidden/>
    <w:pPr>
      <w:tabs>
        <w:tab w:val="left" w:pos="9000"/>
        <w:tab w:val="right" w:pos="9360"/>
      </w:tabs>
      <w:suppressAutoHyphens/>
    </w:pPr>
    <w:rPr>
      <w:b/>
      <w:sz w:val="28"/>
      <w:lang w:val="en-US"/>
    </w:r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 w:val="right" w:pos="8784"/>
      </w:tabs>
      <w:suppressAutoHyphens/>
      <w:jc w:val="both"/>
    </w:pPr>
    <w:rPr>
      <w:spacing w:val="-2"/>
      <w:sz w:val="20"/>
      <w:lang w:val="en-US"/>
    </w:rPr>
  </w:style>
  <w:style w:type="character" w:styleId="PageNumber">
    <w:name w:val="page number"/>
    <w:basedOn w:val="DefaultParagraphFont"/>
  </w:style>
  <w:style w:type="character" w:customStyle="1" w:styleId="-Footer">
    <w:name w:val="- Footer"/>
    <w:basedOn w:val="DefaultParagraphFont"/>
    <w:rPr>
      <w:sz w:val="24"/>
    </w:rPr>
  </w:style>
  <w:style w:type="character" w:customStyle="1" w:styleId="-Header">
    <w:name w:val="- Header"/>
    <w:basedOn w:val="DefaultParagraphFont"/>
  </w:style>
  <w:style w:type="paragraph" w:customStyle="1" w:styleId="AppSection">
    <w:name w:val="App. Section"/>
    <w:pPr>
      <w:suppressAutoHyphens/>
    </w:pPr>
    <w:rPr>
      <w:rFonts w:ascii="CG Times" w:hAnsi="CG Times"/>
      <w:sz w:val="24"/>
      <w:lang w:val="en-US"/>
    </w:rPr>
  </w:style>
  <w:style w:type="paragraph" w:styleId="BodyText">
    <w:name w:val="Body Text"/>
    <w:basedOn w:val="Normal"/>
    <w:pPr>
      <w:spacing w:after="120"/>
      <w:jc w:val="both"/>
    </w:pPr>
  </w:style>
  <w:style w:type="paragraph" w:styleId="BodyTextIndent">
    <w:name w:val="Body Text Indent"/>
    <w:basedOn w:val="BodyText"/>
    <w:link w:val="BodyTextIndentChar"/>
    <w:pPr>
      <w:spacing w:after="240"/>
      <w:ind w:left="1418"/>
    </w:pPr>
  </w:style>
  <w:style w:type="character" w:customStyle="1" w:styleId="bullet1">
    <w:name w:val="bullet 1"/>
    <w:basedOn w:val="DefaultParagraphFont"/>
  </w:style>
  <w:style w:type="character" w:customStyle="1" w:styleId="bullet2">
    <w:name w:val="bullet 2"/>
    <w:basedOn w:val="DefaultParagraphFont"/>
  </w:style>
  <w:style w:type="character" w:customStyle="1" w:styleId="BulletList">
    <w:name w:val="Bullet List"/>
    <w:basedOn w:val="DefaultParagraphFont"/>
  </w:style>
  <w:style w:type="character" w:customStyle="1" w:styleId="DefaultPara">
    <w:name w:val="Default Para"/>
    <w:basedOn w:val="DefaultParagraphFont"/>
  </w:style>
  <w:style w:type="paragraph" w:customStyle="1" w:styleId="LANDSEC">
    <w:name w:val="LANDSEC"/>
    <w:pPr>
      <w:tabs>
        <w:tab w:val="left" w:pos="-720"/>
      </w:tabs>
      <w:suppressAutoHyphens/>
    </w:pPr>
    <w:rPr>
      <w:rFonts w:ascii="Arial" w:hAnsi="Arial"/>
      <w:sz w:val="48"/>
      <w:lang w:val="en-US"/>
    </w:rPr>
  </w:style>
  <w:style w:type="paragraph" w:customStyle="1" w:styleId="lettbull">
    <w:name w:val="lettbull"/>
    <w:pPr>
      <w:tabs>
        <w:tab w:val="left" w:pos="-720"/>
      </w:tabs>
      <w:suppressAutoHyphens/>
      <w:ind w:firstLine="1080"/>
    </w:pPr>
    <w:rPr>
      <w:rFonts w:ascii="CG Times" w:hAnsi="CG Times"/>
      <w:sz w:val="24"/>
      <w:lang w:val="en-US"/>
    </w:rPr>
  </w:style>
  <w:style w:type="paragraph" w:customStyle="1" w:styleId="MainSection">
    <w:name w:val="Main Section"/>
    <w:pPr>
      <w:tabs>
        <w:tab w:val="left" w:pos="-720"/>
      </w:tabs>
      <w:suppressAutoHyphens/>
    </w:pPr>
    <w:rPr>
      <w:rFonts w:ascii="Arial" w:hAnsi="Arial"/>
      <w:sz w:val="48"/>
      <w:lang w:val="en-US"/>
    </w:rPr>
  </w:style>
  <w:style w:type="paragraph" w:customStyle="1" w:styleId="MAJOR">
    <w:name w:val="MAJOR"/>
    <w:pPr>
      <w:tabs>
        <w:tab w:val="left" w:pos="-720"/>
      </w:tabs>
      <w:suppressAutoHyphens/>
    </w:pPr>
    <w:rPr>
      <w:rFonts w:ascii="Arial" w:hAnsi="Arial"/>
      <w:sz w:val="36"/>
      <w:lang w:val="en-US"/>
    </w:rPr>
  </w:style>
  <w:style w:type="paragraph" w:customStyle="1" w:styleId="MINOR">
    <w:name w:val="MINOR"/>
    <w:pPr>
      <w:tabs>
        <w:tab w:val="left" w:pos="-720"/>
      </w:tabs>
      <w:suppressAutoHyphens/>
    </w:pPr>
    <w:rPr>
      <w:rFonts w:ascii="Arial" w:hAnsi="Arial"/>
      <w:sz w:val="28"/>
      <w:lang w:val="en-US"/>
    </w:rPr>
  </w:style>
  <w:style w:type="paragraph" w:customStyle="1" w:styleId="Pleading">
    <w:name w:val="Pleading"/>
    <w:pPr>
      <w:tabs>
        <w:tab w:val="left" w:pos="-720"/>
      </w:tabs>
      <w:suppressAutoHyphens/>
      <w:spacing w:line="240" w:lineRule="exact"/>
    </w:pPr>
    <w:rPr>
      <w:rFonts w:ascii="CG Times" w:hAnsi="CG Times"/>
      <w:sz w:val="24"/>
      <w:lang w:val="en-US"/>
    </w:rPr>
  </w:style>
  <w:style w:type="paragraph" w:customStyle="1" w:styleId="report">
    <w:name w:val="report"/>
    <w:pPr>
      <w:tabs>
        <w:tab w:val="left" w:pos="846"/>
        <w:tab w:val="left" w:pos="2124"/>
        <w:tab w:val="left" w:pos="2694"/>
        <w:tab w:val="left" w:pos="3258"/>
        <w:tab w:val="left" w:pos="3402"/>
        <w:tab w:val="left" w:pos="3828"/>
        <w:tab w:val="left" w:pos="5808"/>
        <w:tab w:val="left" w:pos="7200"/>
        <w:tab w:val="left" w:pos="7938"/>
      </w:tabs>
      <w:suppressAutoHyphens/>
      <w:jc w:val="both"/>
    </w:pPr>
    <w:rPr>
      <w:spacing w:val="-2"/>
      <w:sz w:val="16"/>
      <w:lang w:val="en-US"/>
    </w:rPr>
  </w:style>
  <w:style w:type="character" w:customStyle="1" w:styleId="Reporton">
    <w:name w:val="Report on"/>
    <w:basedOn w:val="DefaultParagraphFont"/>
    <w:rPr>
      <w:rFonts w:ascii="Arial" w:hAnsi="Arial"/>
      <w:noProof w:val="0"/>
      <w:sz w:val="24"/>
      <w:lang w:val="en-US"/>
    </w:rPr>
  </w:style>
  <w:style w:type="paragraph" w:customStyle="1" w:styleId="SECTION">
    <w:name w:val="SECTION"/>
    <w:pPr>
      <w:tabs>
        <w:tab w:val="left" w:pos="-720"/>
      </w:tabs>
      <w:suppressAutoHyphens/>
    </w:pPr>
    <w:rPr>
      <w:rFonts w:ascii="Arial" w:hAnsi="Arial"/>
      <w:sz w:val="48"/>
      <w:lang w:val="en-US"/>
    </w:rPr>
  </w:style>
  <w:style w:type="paragraph" w:customStyle="1" w:styleId="SUB-MINOR">
    <w:name w:val="SUB-MINOR"/>
    <w:pPr>
      <w:tabs>
        <w:tab w:val="left" w:pos="-720"/>
      </w:tabs>
      <w:suppressAutoHyphens/>
    </w:pPr>
    <w:rPr>
      <w:rFonts w:ascii="Arial" w:hAnsi="Arial"/>
      <w:sz w:val="24"/>
      <w:lang w:val="en-US"/>
    </w:rPr>
  </w:style>
  <w:style w:type="paragraph" w:customStyle="1" w:styleId="SUBHEADING">
    <w:name w:val="SUBHEADING"/>
    <w:pPr>
      <w:tabs>
        <w:tab w:val="left" w:pos="-720"/>
      </w:tabs>
      <w:suppressAutoHyphens/>
    </w:pPr>
    <w:rPr>
      <w:rFonts w:ascii="Arial" w:hAnsi="Arial"/>
      <w:b/>
      <w:sz w:val="36"/>
      <w:lang w:val="en-US"/>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2">
    <w:name w:val="List Bullet 2"/>
    <w:basedOn w:val="Normal"/>
    <w:pPr>
      <w:ind w:left="720" w:hanging="360"/>
    </w:pPr>
  </w:style>
  <w:style w:type="paragraph" w:styleId="ListContinue2">
    <w:name w:val="List Continue 2"/>
    <w:basedOn w:val="Normal"/>
    <w:pPr>
      <w:spacing w:after="120"/>
      <w:ind w:left="720"/>
    </w:pPr>
  </w:style>
  <w:style w:type="paragraph" w:styleId="BodyText3">
    <w:name w:val="Body Text 3"/>
    <w:basedOn w:val="BodyTextIndent"/>
  </w:style>
  <w:style w:type="paragraph" w:styleId="BodyText2">
    <w:name w:val="Body Text 2"/>
    <w:basedOn w:val="Normal"/>
    <w:rPr>
      <w:sz w:val="20"/>
    </w:rPr>
  </w:style>
  <w:style w:type="paragraph" w:customStyle="1" w:styleId="qmstext">
    <w:name w:val="qmstext"/>
    <w:basedOn w:val="Normal"/>
    <w:pPr>
      <w:spacing w:after="120"/>
      <w:ind w:left="720"/>
    </w:pPr>
    <w:rPr>
      <w:rFonts w:ascii="Univers (W1)" w:hAnsi="Univers (W1)"/>
      <w:sz w:val="20"/>
    </w:rPr>
  </w:style>
  <w:style w:type="paragraph" w:customStyle="1" w:styleId="qmscell">
    <w:name w:val="qmscell"/>
    <w:basedOn w:val="Normal"/>
    <w:pPr>
      <w:spacing w:after="60"/>
    </w:pPr>
    <w:rPr>
      <w:rFonts w:ascii="Univers" w:hAnsi="Univers"/>
      <w:snapToGrid w:val="0"/>
      <w:sz w:val="20"/>
      <w:lang w:val="en-US" w:eastAsia="en-US"/>
    </w:rPr>
  </w:style>
  <w:style w:type="paragraph" w:styleId="BodyTextIndent2">
    <w:name w:val="Body Text Indent 2"/>
    <w:basedOn w:val="Normal"/>
    <w:pPr>
      <w:ind w:left="1418"/>
    </w:p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jc w:val="left"/>
    </w:pPr>
  </w:style>
  <w:style w:type="paragraph" w:styleId="BodyTextFirstIndent2">
    <w:name w:val="Body Text First Indent 2"/>
    <w:basedOn w:val="BodyTextIndent"/>
    <w:pPr>
      <w:spacing w:after="120"/>
      <w:ind w:left="283" w:firstLine="210"/>
      <w:jc w:val="left"/>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ccHeading1">
    <w:name w:val="ccHeading1"/>
    <w:basedOn w:val="ccNormal"/>
    <w:pPr>
      <w:spacing w:before="360" w:after="120"/>
      <w:outlineLvl w:val="0"/>
    </w:pPr>
    <w:rPr>
      <w:b/>
    </w:rPr>
  </w:style>
  <w:style w:type="paragraph" w:customStyle="1" w:styleId="ccNormal">
    <w:name w:val="ccNormal"/>
    <w:basedOn w:val="Normal"/>
    <w:pPr>
      <w:spacing w:line="280" w:lineRule="atLeast"/>
      <w:jc w:val="both"/>
    </w:pPr>
    <w:rPr>
      <w:rFonts w:ascii="Tahoma" w:eastAsia="Times" w:hAnsi="Tahoma"/>
      <w:sz w:val="20"/>
    </w:rPr>
  </w:style>
  <w:style w:type="character" w:styleId="Hyperlink">
    <w:name w:val="Hyperlink"/>
    <w:basedOn w:val="DefaultParagraphFont"/>
    <w:uiPriority w:val="99"/>
    <w:rPr>
      <w:color w:val="0000FF"/>
      <w:u w:val="single"/>
    </w:rPr>
  </w:style>
  <w:style w:type="paragraph" w:customStyle="1" w:styleId="ELEXONBody">
    <w:name w:val="ELEXON Body"/>
    <w:basedOn w:val="Normal"/>
    <w:pPr>
      <w:spacing w:after="140" w:line="280" w:lineRule="exact"/>
      <w:ind w:left="1080"/>
    </w:pPr>
    <w:rPr>
      <w:rFonts w:ascii="Tahoma" w:hAnsi="Tahoma"/>
      <w:sz w:val="20"/>
      <w:lang w:eastAsia="en-US"/>
    </w:rPr>
  </w:style>
  <w:style w:type="paragraph" w:styleId="BalloonText">
    <w:name w:val="Balloon Text"/>
    <w:basedOn w:val="Normal"/>
    <w:semiHidden/>
    <w:rPr>
      <w:rFonts w:ascii="Tahoma" w:hAnsi="Tahoma" w:cs="Tahoma"/>
      <w:sz w:val="16"/>
      <w:szCs w:val="16"/>
    </w:rPr>
  </w:style>
  <w:style w:type="paragraph" w:customStyle="1" w:styleId="NormalCentered">
    <w:name w:val="Normal + Centered"/>
    <w:basedOn w:val="Normal"/>
    <w:pPr>
      <w:jc w:val="center"/>
    </w:pPr>
  </w:style>
  <w:style w:type="paragraph" w:customStyle="1" w:styleId="ELEXONHeading1">
    <w:name w:val="ELEXON Heading 1"/>
    <w:basedOn w:val="Heading1"/>
    <w:next w:val="ELEXONBody"/>
    <w:pPr>
      <w:pageBreakBefore/>
      <w:numPr>
        <w:numId w:val="12"/>
      </w:numPr>
      <w:tabs>
        <w:tab w:val="right" w:pos="9072"/>
      </w:tabs>
      <w:spacing w:before="280" w:after="140" w:line="280" w:lineRule="exact"/>
    </w:pPr>
    <w:rPr>
      <w:rFonts w:ascii="Tahoma" w:eastAsia="Times" w:hAnsi="Tahoma"/>
      <w:caps/>
      <w:kern w:val="0"/>
      <w:u w:val="none"/>
      <w:lang w:eastAsia="en-US"/>
    </w:rPr>
  </w:style>
  <w:style w:type="paragraph" w:customStyle="1" w:styleId="ELEXONHeading2">
    <w:name w:val="ELEXON Heading 2"/>
    <w:basedOn w:val="ELEXONHeading1"/>
    <w:next w:val="ELEXONBody"/>
    <w:pPr>
      <w:pageBreakBefore w:val="0"/>
      <w:numPr>
        <w:ilvl w:val="1"/>
      </w:numPr>
      <w:spacing w:before="140"/>
    </w:pPr>
    <w:rPr>
      <w:caps w:val="0"/>
    </w:rPr>
  </w:style>
  <w:style w:type="paragraph" w:customStyle="1" w:styleId="ELEXONHeading3">
    <w:name w:val="ELEXON Heading 3"/>
    <w:basedOn w:val="Heading2"/>
    <w:next w:val="ELEXONBody"/>
    <w:pPr>
      <w:numPr>
        <w:ilvl w:val="2"/>
        <w:numId w:val="12"/>
      </w:numPr>
      <w:spacing w:before="140" w:after="140" w:line="280" w:lineRule="exact"/>
    </w:pPr>
    <w:rPr>
      <w:rFonts w:ascii="Tahoma" w:eastAsia="Times" w:hAnsi="Tahoma"/>
      <w:b w:val="0"/>
      <w:sz w:val="20"/>
      <w:lang w:eastAsia="en-US"/>
    </w:rPr>
  </w:style>
  <w:style w:type="paragraph" w:customStyle="1" w:styleId="ELEXONHeading4">
    <w:name w:val="ELEXON Heading 4"/>
    <w:basedOn w:val="Heading1"/>
    <w:next w:val="ELEXONBody"/>
    <w:pPr>
      <w:numPr>
        <w:ilvl w:val="3"/>
        <w:numId w:val="12"/>
      </w:numPr>
      <w:tabs>
        <w:tab w:val="left" w:pos="1080"/>
      </w:tabs>
      <w:spacing w:before="140" w:after="0" w:line="280" w:lineRule="exact"/>
    </w:pPr>
    <w:rPr>
      <w:rFonts w:ascii="Tahoma" w:eastAsia="Times" w:hAnsi="Tahoma"/>
      <w:i/>
      <w:kern w:val="0"/>
      <w:sz w:val="20"/>
      <w:u w:val="none"/>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paragraph" w:customStyle="1" w:styleId="StyleHeading1Before0pt">
    <w:name w:val="Style Heading 1 + Before:  0 pt"/>
    <w:basedOn w:val="Heading1"/>
    <w:pPr>
      <w:spacing w:before="0"/>
    </w:pPr>
    <w:rPr>
      <w:b w:val="0"/>
      <w:bCs/>
      <w:sz w:val="28"/>
      <w:u w:val="none"/>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sz w:val="24"/>
    </w:rPr>
  </w:style>
  <w:style w:type="character" w:customStyle="1" w:styleId="BodyTextIndentChar">
    <w:name w:val="Body Text Indent Char"/>
    <w:basedOn w:val="DefaultParagraphFont"/>
    <w:link w:val="BodyTextIndent"/>
    <w:rPr>
      <w:sz w:val="24"/>
    </w:rPr>
  </w:style>
  <w:style w:type="paragraph" w:customStyle="1" w:styleId="Default">
    <w:name w:val="Default"/>
    <w:rsid w:val="00F04C54"/>
    <w:pPr>
      <w:autoSpaceDE w:val="0"/>
      <w:autoSpaceDN w:val="0"/>
      <w:adjustRightInd w:val="0"/>
    </w:pPr>
    <w:rPr>
      <w:color w:val="000000"/>
      <w:sz w:val="24"/>
      <w:szCs w:val="24"/>
    </w:rPr>
  </w:style>
  <w:style w:type="paragraph" w:styleId="Revision">
    <w:name w:val="Revision"/>
    <w:hidden/>
    <w:uiPriority w:val="99"/>
    <w:semiHidden/>
    <w:rsid w:val="0042574E"/>
    <w:rPr>
      <w:sz w:val="24"/>
    </w:rPr>
  </w:style>
  <w:style w:type="character" w:styleId="CommentReference">
    <w:name w:val="annotation reference"/>
    <w:basedOn w:val="DefaultParagraphFont"/>
    <w:uiPriority w:val="99"/>
    <w:semiHidden/>
    <w:unhideWhenUsed/>
    <w:rsid w:val="00E37814"/>
    <w:rPr>
      <w:sz w:val="16"/>
      <w:szCs w:val="16"/>
    </w:rPr>
  </w:style>
  <w:style w:type="paragraph" w:styleId="CommentSubject">
    <w:name w:val="annotation subject"/>
    <w:basedOn w:val="CommentText"/>
    <w:next w:val="CommentText"/>
    <w:link w:val="CommentSubjectChar"/>
    <w:uiPriority w:val="99"/>
    <w:semiHidden/>
    <w:unhideWhenUsed/>
    <w:rsid w:val="00E37814"/>
    <w:rPr>
      <w:b/>
      <w:bCs/>
    </w:rPr>
  </w:style>
  <w:style w:type="character" w:customStyle="1" w:styleId="CommentTextChar">
    <w:name w:val="Comment Text Char"/>
    <w:basedOn w:val="DefaultParagraphFont"/>
    <w:link w:val="CommentText"/>
    <w:semiHidden/>
    <w:rsid w:val="00E37814"/>
  </w:style>
  <w:style w:type="character" w:customStyle="1" w:styleId="CommentSubjectChar">
    <w:name w:val="Comment Subject Char"/>
    <w:basedOn w:val="CommentTextChar"/>
    <w:link w:val="CommentSubject"/>
    <w:uiPriority w:val="99"/>
    <w:semiHidden/>
    <w:rsid w:val="00E378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25"/>
      </w:numPr>
      <w:spacing w:before="240" w:after="240"/>
      <w:outlineLvl w:val="0"/>
    </w:pPr>
    <w:rPr>
      <w:b/>
      <w:kern w:val="28"/>
      <w:u w:val="single"/>
    </w:rPr>
  </w:style>
  <w:style w:type="paragraph" w:styleId="Heading2">
    <w:name w:val="heading 2"/>
    <w:basedOn w:val="Normal"/>
    <w:next w:val="BodyTextIndent"/>
    <w:link w:val="Heading2Char"/>
    <w:qFormat/>
    <w:pPr>
      <w:keepNext/>
      <w:numPr>
        <w:ilvl w:val="1"/>
        <w:numId w:val="25"/>
      </w:numPr>
      <w:spacing w:before="240" w:after="240"/>
      <w:outlineLvl w:val="1"/>
    </w:pPr>
    <w:rPr>
      <w:b/>
    </w:rPr>
  </w:style>
  <w:style w:type="paragraph" w:styleId="Heading3">
    <w:name w:val="heading 3"/>
    <w:basedOn w:val="Normal"/>
    <w:next w:val="BodyTextIndent"/>
    <w:qFormat/>
    <w:pPr>
      <w:keepNext/>
      <w:numPr>
        <w:ilvl w:val="2"/>
        <w:numId w:val="25"/>
      </w:numPr>
      <w:spacing w:after="240"/>
      <w:outlineLvl w:val="2"/>
    </w:pPr>
    <w:rPr>
      <w:i/>
    </w:rPr>
  </w:style>
  <w:style w:type="paragraph" w:styleId="Heading4">
    <w:name w:val="heading 4"/>
    <w:basedOn w:val="Normal"/>
    <w:next w:val="Normal"/>
    <w:qFormat/>
    <w:pPr>
      <w:keepNext/>
      <w:numPr>
        <w:ilvl w:val="3"/>
        <w:numId w:val="25"/>
      </w:numPr>
      <w:spacing w:before="240" w:after="60"/>
      <w:outlineLvl w:val="3"/>
    </w:pPr>
    <w:rPr>
      <w:b/>
      <w:i/>
    </w:rPr>
  </w:style>
  <w:style w:type="paragraph" w:styleId="Heading5">
    <w:name w:val="heading 5"/>
    <w:aliases w:val="Heading 5   Appendix A to X,Appendix A to X"/>
    <w:basedOn w:val="Normal"/>
    <w:next w:val="Normal"/>
    <w:qFormat/>
    <w:pPr>
      <w:numPr>
        <w:ilvl w:val="4"/>
        <w:numId w:val="25"/>
      </w:numPr>
      <w:spacing w:before="240" w:after="60"/>
      <w:outlineLvl w:val="4"/>
    </w:pPr>
    <w:rPr>
      <w:rFonts w:ascii="Arial" w:hAnsi="Arial"/>
      <w:sz w:val="22"/>
    </w:rPr>
  </w:style>
  <w:style w:type="paragraph" w:styleId="Heading6">
    <w:name w:val="heading 6"/>
    <w:basedOn w:val="Normal"/>
    <w:next w:val="Normal"/>
    <w:qFormat/>
    <w:pPr>
      <w:numPr>
        <w:ilvl w:val="5"/>
        <w:numId w:val="25"/>
      </w:numPr>
      <w:spacing w:before="240" w:after="60"/>
      <w:outlineLvl w:val="5"/>
    </w:pPr>
    <w:rPr>
      <w:rFonts w:ascii="Arial" w:hAnsi="Arial"/>
      <w:i/>
      <w:sz w:val="22"/>
    </w:rPr>
  </w:style>
  <w:style w:type="paragraph" w:styleId="Heading7">
    <w:name w:val="heading 7"/>
    <w:basedOn w:val="Normal"/>
    <w:next w:val="Normal"/>
    <w:qFormat/>
    <w:pPr>
      <w:numPr>
        <w:ilvl w:val="6"/>
        <w:numId w:val="25"/>
      </w:numPr>
      <w:spacing w:before="240" w:after="60"/>
      <w:outlineLvl w:val="6"/>
    </w:pPr>
    <w:rPr>
      <w:rFonts w:ascii="Arial" w:hAnsi="Arial"/>
    </w:rPr>
  </w:style>
  <w:style w:type="paragraph" w:styleId="Heading8">
    <w:name w:val="heading 8"/>
    <w:basedOn w:val="Normal"/>
    <w:next w:val="Normal"/>
    <w:qFormat/>
    <w:pPr>
      <w:numPr>
        <w:ilvl w:val="7"/>
        <w:numId w:val="25"/>
      </w:numPr>
      <w:spacing w:before="240" w:after="60"/>
      <w:outlineLvl w:val="7"/>
    </w:pPr>
    <w:rPr>
      <w:rFonts w:ascii="Arial" w:hAnsi="Arial"/>
      <w:i/>
    </w:rPr>
  </w:style>
  <w:style w:type="paragraph" w:styleId="Heading9">
    <w:name w:val="heading 9"/>
    <w:basedOn w:val="Normal"/>
    <w:next w:val="Normal"/>
    <w:qFormat/>
    <w:pPr>
      <w:numPr>
        <w:ilvl w:val="8"/>
        <w:numId w:val="25"/>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firstLine="720"/>
    </w:pPr>
    <w:rPr>
      <w:b/>
      <w:sz w:val="28"/>
      <w:lang w:val="en-US"/>
    </w:rPr>
  </w:style>
  <w:style w:type="paragraph" w:customStyle="1" w:styleId="RightPar2">
    <w:name w:val="Right Par 2"/>
    <w:pPr>
      <w:tabs>
        <w:tab w:val="left" w:pos="-720"/>
        <w:tab w:val="left" w:pos="0"/>
        <w:tab w:val="left" w:pos="720"/>
        <w:tab w:val="decimal" w:pos="1440"/>
      </w:tabs>
      <w:suppressAutoHyphens/>
      <w:ind w:firstLine="1440"/>
    </w:pPr>
    <w:rPr>
      <w:b/>
      <w:sz w:val="28"/>
      <w:lang w:val="en-US"/>
    </w:rPr>
  </w:style>
  <w:style w:type="character" w:customStyle="1" w:styleId="Document3">
    <w:name w:val="Document 3"/>
    <w:basedOn w:val="DefaultParagraphFont"/>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firstLine="2160"/>
    </w:pPr>
    <w:rPr>
      <w:b/>
      <w:sz w:val="28"/>
      <w:lang w:val="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b/>
      <w:sz w:val="28"/>
      <w:lang w:val="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b/>
      <w:sz w:val="28"/>
      <w:lang w:val="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b/>
      <w:sz w:val="28"/>
      <w:lang w:val="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b/>
      <w:sz w:val="28"/>
      <w:lang w:val="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b/>
      <w:sz w:val="28"/>
      <w:lang w:val="en-US"/>
    </w:rPr>
  </w:style>
  <w:style w:type="paragraph" w:customStyle="1" w:styleId="Document1">
    <w:name w:val="Document 1"/>
    <w:pPr>
      <w:keepNext/>
      <w:keepLines/>
      <w:tabs>
        <w:tab w:val="left" w:pos="-720"/>
      </w:tabs>
      <w:suppressAutoHyphens/>
    </w:pPr>
    <w:rPr>
      <w:rFonts w:ascii="CG Times" w:hAnsi="CG Times"/>
      <w:sz w:val="24"/>
      <w:lang w:val="en-US"/>
    </w:rPr>
  </w:style>
  <w:style w:type="character" w:customStyle="1" w:styleId="TechInit">
    <w:name w:val="Tech Init"/>
    <w:basedOn w:val="DefaultParagraphFon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lang w:val="en-US"/>
    </w:rPr>
  </w:style>
  <w:style w:type="paragraph" w:customStyle="1" w:styleId="Technical6">
    <w:name w:val="Technical 6"/>
    <w:pPr>
      <w:tabs>
        <w:tab w:val="left" w:pos="-720"/>
      </w:tabs>
      <w:suppressAutoHyphens/>
      <w:ind w:firstLine="720"/>
    </w:pPr>
    <w:rPr>
      <w:rFonts w:ascii="CG Times" w:hAnsi="CG Times"/>
      <w:b/>
      <w:sz w:val="24"/>
      <w:lang w:val="en-US"/>
    </w:rPr>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val="en-US"/>
    </w:rPr>
  </w:style>
  <w:style w:type="character" w:customStyle="1" w:styleId="Technical1">
    <w:name w:val="Technical 1"/>
    <w:basedOn w:val="DefaultParagraphFont"/>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lang w:val="en-US"/>
    </w:rPr>
  </w:style>
  <w:style w:type="paragraph" w:customStyle="1" w:styleId="Technical8">
    <w:name w:val="Technical 8"/>
    <w:pPr>
      <w:tabs>
        <w:tab w:val="left" w:pos="-720"/>
      </w:tabs>
      <w:suppressAutoHyphens/>
      <w:ind w:firstLine="720"/>
    </w:pPr>
    <w:rPr>
      <w:rFonts w:ascii="CG Times" w:hAnsi="CG Times"/>
      <w:b/>
      <w:sz w:val="24"/>
      <w:lang w:val="en-US"/>
    </w:rPr>
  </w:style>
  <w:style w:type="character" w:customStyle="1" w:styleId="DocInit">
    <w:name w:val="Doc Init"/>
    <w:basedOn w:val="DefaultParagraphFont"/>
  </w:style>
  <w:style w:type="paragraph" w:styleId="TOC1">
    <w:name w:val="toc 1"/>
    <w:basedOn w:val="Normal"/>
    <w:next w:val="Normal"/>
    <w:uiPriority w:val="39"/>
    <w:rsid w:val="00DA6B33"/>
    <w:pPr>
      <w:tabs>
        <w:tab w:val="left" w:pos="567"/>
        <w:tab w:val="right" w:pos="9072"/>
      </w:tabs>
      <w:spacing w:after="120"/>
    </w:pPr>
    <w:rPr>
      <w:rFonts w:ascii="Times New Roman Bold" w:hAnsi="Times New Roman Bold"/>
      <w:b/>
    </w:rPr>
  </w:style>
  <w:style w:type="paragraph" w:styleId="TOC2">
    <w:name w:val="toc 2"/>
    <w:basedOn w:val="Normal"/>
    <w:next w:val="Normal"/>
    <w:uiPriority w:val="39"/>
    <w:rsid w:val="00DA6B33"/>
    <w:pPr>
      <w:tabs>
        <w:tab w:val="left" w:pos="567"/>
        <w:tab w:val="right" w:pos="9072"/>
      </w:tabs>
      <w:spacing w:after="120"/>
      <w:ind w:left="567" w:hanging="567"/>
    </w:pPr>
    <w:rPr>
      <w:sz w:val="20"/>
    </w:rPr>
  </w:style>
  <w:style w:type="paragraph" w:styleId="TOC3">
    <w:name w:val="toc 3"/>
    <w:basedOn w:val="Normal"/>
    <w:next w:val="Normal"/>
    <w:uiPriority w:val="39"/>
    <w:rsid w:val="00DA6B33"/>
    <w:pPr>
      <w:tabs>
        <w:tab w:val="right" w:leader="dot" w:pos="9648"/>
      </w:tabs>
      <w:ind w:left="482"/>
    </w:pPr>
    <w:rPr>
      <w:sz w:val="20"/>
    </w:rPr>
  </w:style>
  <w:style w:type="paragraph" w:styleId="TOC4">
    <w:name w:val="toc 4"/>
    <w:basedOn w:val="Normal"/>
    <w:next w:val="Normal"/>
    <w:semiHidden/>
    <w:pPr>
      <w:tabs>
        <w:tab w:val="right" w:leader="dot" w:pos="9648"/>
      </w:tabs>
      <w:ind w:left="720"/>
    </w:pPr>
    <w:rPr>
      <w:sz w:val="20"/>
    </w:rPr>
  </w:style>
  <w:style w:type="paragraph" w:styleId="TOC5">
    <w:name w:val="toc 5"/>
    <w:basedOn w:val="Normal"/>
    <w:next w:val="Normal"/>
    <w:semiHidden/>
    <w:pPr>
      <w:tabs>
        <w:tab w:val="right" w:leader="dot" w:pos="9648"/>
      </w:tabs>
      <w:ind w:left="960"/>
    </w:pPr>
    <w:rPr>
      <w:sz w:val="20"/>
    </w:rPr>
  </w:style>
  <w:style w:type="paragraph" w:styleId="TOC6">
    <w:name w:val="toc 6"/>
    <w:basedOn w:val="Normal"/>
    <w:next w:val="Normal"/>
    <w:semiHidden/>
    <w:pPr>
      <w:tabs>
        <w:tab w:val="right" w:leader="dot" w:pos="9648"/>
      </w:tabs>
      <w:ind w:left="1200"/>
    </w:pPr>
    <w:rPr>
      <w:sz w:val="20"/>
    </w:rPr>
  </w:style>
  <w:style w:type="paragraph" w:styleId="TOC7">
    <w:name w:val="toc 7"/>
    <w:basedOn w:val="Normal"/>
    <w:next w:val="Normal"/>
    <w:semiHidden/>
    <w:pPr>
      <w:tabs>
        <w:tab w:val="right" w:leader="dot" w:pos="9648"/>
      </w:tabs>
      <w:ind w:left="1440"/>
    </w:pPr>
    <w:rPr>
      <w:sz w:val="20"/>
    </w:rPr>
  </w:style>
  <w:style w:type="paragraph" w:styleId="TOC8">
    <w:name w:val="toc 8"/>
    <w:basedOn w:val="Normal"/>
    <w:next w:val="Normal"/>
    <w:semiHidden/>
    <w:pPr>
      <w:tabs>
        <w:tab w:val="right" w:leader="dot" w:pos="9648"/>
      </w:tabs>
      <w:ind w:left="1680"/>
    </w:pPr>
    <w:rPr>
      <w:sz w:val="20"/>
    </w:rPr>
  </w:style>
  <w:style w:type="paragraph" w:styleId="TOC9">
    <w:name w:val="toc 9"/>
    <w:basedOn w:val="Normal"/>
    <w:next w:val="Normal"/>
    <w:semiHidden/>
    <w:pPr>
      <w:tabs>
        <w:tab w:val="right" w:leader="dot" w:pos="9648"/>
      </w:tabs>
      <w:ind w:left="1920"/>
    </w:pPr>
    <w:rPr>
      <w:sz w:val="20"/>
    </w:rPr>
  </w:style>
  <w:style w:type="paragraph" w:styleId="Index1">
    <w:name w:val="index 1"/>
    <w:basedOn w:val="Normal"/>
    <w:next w:val="Normal"/>
    <w:semiHidden/>
    <w:pPr>
      <w:tabs>
        <w:tab w:val="left" w:leader="dot" w:pos="9000"/>
        <w:tab w:val="right" w:pos="9360"/>
      </w:tabs>
      <w:suppressAutoHyphens/>
      <w:ind w:left="1440" w:right="720" w:hanging="1440"/>
    </w:pPr>
    <w:rPr>
      <w:b/>
      <w:sz w:val="28"/>
      <w:lang w:val="en-US"/>
    </w:rPr>
  </w:style>
  <w:style w:type="paragraph" w:styleId="Index2">
    <w:name w:val="index 2"/>
    <w:basedOn w:val="Normal"/>
    <w:next w:val="Normal"/>
    <w:semiHidden/>
    <w:pPr>
      <w:tabs>
        <w:tab w:val="left" w:leader="dot" w:pos="9000"/>
        <w:tab w:val="right" w:pos="9360"/>
      </w:tabs>
      <w:suppressAutoHyphens/>
      <w:ind w:left="1440" w:right="720" w:hanging="720"/>
    </w:pPr>
    <w:rPr>
      <w:b/>
      <w:sz w:val="28"/>
      <w:lang w:val="en-US"/>
    </w:rPr>
  </w:style>
  <w:style w:type="paragraph" w:styleId="TOAHeading">
    <w:name w:val="toa heading"/>
    <w:basedOn w:val="Normal"/>
    <w:next w:val="Normal"/>
    <w:semiHidden/>
    <w:pPr>
      <w:tabs>
        <w:tab w:val="left" w:pos="9000"/>
        <w:tab w:val="right" w:pos="9360"/>
      </w:tabs>
      <w:suppressAutoHyphens/>
    </w:pPr>
    <w:rPr>
      <w:b/>
      <w:sz w:val="28"/>
      <w:lang w:val="en-US"/>
    </w:rPr>
  </w:style>
  <w:style w:type="paragraph" w:styleId="Caption">
    <w:name w:val="caption"/>
    <w:basedOn w:val="Normal"/>
    <w:next w:val="Normal"/>
    <w:qFormat/>
    <w:rPr>
      <w:rFonts w:ascii="Courier New" w:hAnsi="Courier New"/>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 w:val="right" w:pos="8784"/>
      </w:tabs>
      <w:suppressAutoHyphens/>
      <w:jc w:val="both"/>
    </w:pPr>
    <w:rPr>
      <w:spacing w:val="-2"/>
      <w:sz w:val="20"/>
      <w:lang w:val="en-US"/>
    </w:rPr>
  </w:style>
  <w:style w:type="character" w:styleId="PageNumber">
    <w:name w:val="page number"/>
    <w:basedOn w:val="DefaultParagraphFont"/>
  </w:style>
  <w:style w:type="character" w:customStyle="1" w:styleId="-Footer">
    <w:name w:val="- Footer"/>
    <w:basedOn w:val="DefaultParagraphFont"/>
    <w:rPr>
      <w:sz w:val="24"/>
    </w:rPr>
  </w:style>
  <w:style w:type="character" w:customStyle="1" w:styleId="-Header">
    <w:name w:val="- Header"/>
    <w:basedOn w:val="DefaultParagraphFont"/>
  </w:style>
  <w:style w:type="paragraph" w:customStyle="1" w:styleId="AppSection">
    <w:name w:val="App. Section"/>
    <w:pPr>
      <w:suppressAutoHyphens/>
    </w:pPr>
    <w:rPr>
      <w:rFonts w:ascii="CG Times" w:hAnsi="CG Times"/>
      <w:sz w:val="24"/>
      <w:lang w:val="en-US"/>
    </w:rPr>
  </w:style>
  <w:style w:type="paragraph" w:styleId="BodyText">
    <w:name w:val="Body Text"/>
    <w:basedOn w:val="Normal"/>
    <w:pPr>
      <w:spacing w:after="120"/>
      <w:jc w:val="both"/>
    </w:pPr>
  </w:style>
  <w:style w:type="paragraph" w:styleId="BodyTextIndent">
    <w:name w:val="Body Text Indent"/>
    <w:basedOn w:val="BodyText"/>
    <w:link w:val="BodyTextIndentChar"/>
    <w:pPr>
      <w:spacing w:after="240"/>
      <w:ind w:left="1418"/>
    </w:pPr>
  </w:style>
  <w:style w:type="character" w:customStyle="1" w:styleId="bullet1">
    <w:name w:val="bullet 1"/>
    <w:basedOn w:val="DefaultParagraphFont"/>
  </w:style>
  <w:style w:type="character" w:customStyle="1" w:styleId="bullet2">
    <w:name w:val="bullet 2"/>
    <w:basedOn w:val="DefaultParagraphFont"/>
  </w:style>
  <w:style w:type="character" w:customStyle="1" w:styleId="BulletList">
    <w:name w:val="Bullet List"/>
    <w:basedOn w:val="DefaultParagraphFont"/>
  </w:style>
  <w:style w:type="character" w:customStyle="1" w:styleId="DefaultPara">
    <w:name w:val="Default Para"/>
    <w:basedOn w:val="DefaultParagraphFont"/>
  </w:style>
  <w:style w:type="paragraph" w:customStyle="1" w:styleId="LANDSEC">
    <w:name w:val="LANDSEC"/>
    <w:pPr>
      <w:tabs>
        <w:tab w:val="left" w:pos="-720"/>
      </w:tabs>
      <w:suppressAutoHyphens/>
    </w:pPr>
    <w:rPr>
      <w:rFonts w:ascii="Arial" w:hAnsi="Arial"/>
      <w:sz w:val="48"/>
      <w:lang w:val="en-US"/>
    </w:rPr>
  </w:style>
  <w:style w:type="paragraph" w:customStyle="1" w:styleId="lettbull">
    <w:name w:val="lettbull"/>
    <w:pPr>
      <w:tabs>
        <w:tab w:val="left" w:pos="-720"/>
      </w:tabs>
      <w:suppressAutoHyphens/>
      <w:ind w:firstLine="1080"/>
    </w:pPr>
    <w:rPr>
      <w:rFonts w:ascii="CG Times" w:hAnsi="CG Times"/>
      <w:sz w:val="24"/>
      <w:lang w:val="en-US"/>
    </w:rPr>
  </w:style>
  <w:style w:type="paragraph" w:customStyle="1" w:styleId="MainSection">
    <w:name w:val="Main Section"/>
    <w:pPr>
      <w:tabs>
        <w:tab w:val="left" w:pos="-720"/>
      </w:tabs>
      <w:suppressAutoHyphens/>
    </w:pPr>
    <w:rPr>
      <w:rFonts w:ascii="Arial" w:hAnsi="Arial"/>
      <w:sz w:val="48"/>
      <w:lang w:val="en-US"/>
    </w:rPr>
  </w:style>
  <w:style w:type="paragraph" w:customStyle="1" w:styleId="MAJOR">
    <w:name w:val="MAJOR"/>
    <w:pPr>
      <w:tabs>
        <w:tab w:val="left" w:pos="-720"/>
      </w:tabs>
      <w:suppressAutoHyphens/>
    </w:pPr>
    <w:rPr>
      <w:rFonts w:ascii="Arial" w:hAnsi="Arial"/>
      <w:sz w:val="36"/>
      <w:lang w:val="en-US"/>
    </w:rPr>
  </w:style>
  <w:style w:type="paragraph" w:customStyle="1" w:styleId="MINOR">
    <w:name w:val="MINOR"/>
    <w:pPr>
      <w:tabs>
        <w:tab w:val="left" w:pos="-720"/>
      </w:tabs>
      <w:suppressAutoHyphens/>
    </w:pPr>
    <w:rPr>
      <w:rFonts w:ascii="Arial" w:hAnsi="Arial"/>
      <w:sz w:val="28"/>
      <w:lang w:val="en-US"/>
    </w:rPr>
  </w:style>
  <w:style w:type="paragraph" w:customStyle="1" w:styleId="Pleading">
    <w:name w:val="Pleading"/>
    <w:pPr>
      <w:tabs>
        <w:tab w:val="left" w:pos="-720"/>
      </w:tabs>
      <w:suppressAutoHyphens/>
      <w:spacing w:line="240" w:lineRule="exact"/>
    </w:pPr>
    <w:rPr>
      <w:rFonts w:ascii="CG Times" w:hAnsi="CG Times"/>
      <w:sz w:val="24"/>
      <w:lang w:val="en-US"/>
    </w:rPr>
  </w:style>
  <w:style w:type="paragraph" w:customStyle="1" w:styleId="report">
    <w:name w:val="report"/>
    <w:pPr>
      <w:tabs>
        <w:tab w:val="left" w:pos="846"/>
        <w:tab w:val="left" w:pos="2124"/>
        <w:tab w:val="left" w:pos="2694"/>
        <w:tab w:val="left" w:pos="3258"/>
        <w:tab w:val="left" w:pos="3402"/>
        <w:tab w:val="left" w:pos="3828"/>
        <w:tab w:val="left" w:pos="5808"/>
        <w:tab w:val="left" w:pos="7200"/>
        <w:tab w:val="left" w:pos="7938"/>
      </w:tabs>
      <w:suppressAutoHyphens/>
      <w:jc w:val="both"/>
    </w:pPr>
    <w:rPr>
      <w:spacing w:val="-2"/>
      <w:sz w:val="16"/>
      <w:lang w:val="en-US"/>
    </w:rPr>
  </w:style>
  <w:style w:type="character" w:customStyle="1" w:styleId="Reporton">
    <w:name w:val="Report on"/>
    <w:basedOn w:val="DefaultParagraphFont"/>
    <w:rPr>
      <w:rFonts w:ascii="Arial" w:hAnsi="Arial"/>
      <w:noProof w:val="0"/>
      <w:sz w:val="24"/>
      <w:lang w:val="en-US"/>
    </w:rPr>
  </w:style>
  <w:style w:type="paragraph" w:customStyle="1" w:styleId="SECTION">
    <w:name w:val="SECTION"/>
    <w:pPr>
      <w:tabs>
        <w:tab w:val="left" w:pos="-720"/>
      </w:tabs>
      <w:suppressAutoHyphens/>
    </w:pPr>
    <w:rPr>
      <w:rFonts w:ascii="Arial" w:hAnsi="Arial"/>
      <w:sz w:val="48"/>
      <w:lang w:val="en-US"/>
    </w:rPr>
  </w:style>
  <w:style w:type="paragraph" w:customStyle="1" w:styleId="SUB-MINOR">
    <w:name w:val="SUB-MINOR"/>
    <w:pPr>
      <w:tabs>
        <w:tab w:val="left" w:pos="-720"/>
      </w:tabs>
      <w:suppressAutoHyphens/>
    </w:pPr>
    <w:rPr>
      <w:rFonts w:ascii="Arial" w:hAnsi="Arial"/>
      <w:sz w:val="24"/>
      <w:lang w:val="en-US"/>
    </w:rPr>
  </w:style>
  <w:style w:type="paragraph" w:customStyle="1" w:styleId="SUBHEADING">
    <w:name w:val="SUBHEADING"/>
    <w:pPr>
      <w:tabs>
        <w:tab w:val="left" w:pos="-720"/>
      </w:tabs>
      <w:suppressAutoHyphens/>
    </w:pPr>
    <w:rPr>
      <w:rFonts w:ascii="Arial" w:hAnsi="Arial"/>
      <w:b/>
      <w:sz w:val="36"/>
      <w:lang w:val="en-US"/>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2">
    <w:name w:val="List Bullet 2"/>
    <w:basedOn w:val="Normal"/>
    <w:pPr>
      <w:ind w:left="720" w:hanging="360"/>
    </w:pPr>
  </w:style>
  <w:style w:type="paragraph" w:styleId="ListContinue2">
    <w:name w:val="List Continue 2"/>
    <w:basedOn w:val="Normal"/>
    <w:pPr>
      <w:spacing w:after="120"/>
      <w:ind w:left="720"/>
    </w:pPr>
  </w:style>
  <w:style w:type="paragraph" w:styleId="BodyText3">
    <w:name w:val="Body Text 3"/>
    <w:basedOn w:val="BodyTextIndent"/>
  </w:style>
  <w:style w:type="paragraph" w:styleId="BodyText2">
    <w:name w:val="Body Text 2"/>
    <w:basedOn w:val="Normal"/>
    <w:rPr>
      <w:sz w:val="20"/>
    </w:rPr>
  </w:style>
  <w:style w:type="paragraph" w:customStyle="1" w:styleId="qmstext">
    <w:name w:val="qmstext"/>
    <w:basedOn w:val="Normal"/>
    <w:pPr>
      <w:spacing w:after="120"/>
      <w:ind w:left="720"/>
    </w:pPr>
    <w:rPr>
      <w:rFonts w:ascii="Univers (W1)" w:hAnsi="Univers (W1)"/>
      <w:sz w:val="20"/>
    </w:rPr>
  </w:style>
  <w:style w:type="paragraph" w:customStyle="1" w:styleId="qmscell">
    <w:name w:val="qmscell"/>
    <w:basedOn w:val="Normal"/>
    <w:pPr>
      <w:spacing w:after="60"/>
    </w:pPr>
    <w:rPr>
      <w:rFonts w:ascii="Univers" w:hAnsi="Univers"/>
      <w:snapToGrid w:val="0"/>
      <w:sz w:val="20"/>
      <w:lang w:val="en-US" w:eastAsia="en-US"/>
    </w:rPr>
  </w:style>
  <w:style w:type="paragraph" w:styleId="BodyTextIndent2">
    <w:name w:val="Body Text Indent 2"/>
    <w:basedOn w:val="Normal"/>
    <w:pPr>
      <w:ind w:left="1418"/>
    </w:p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jc w:val="left"/>
    </w:pPr>
  </w:style>
  <w:style w:type="paragraph" w:styleId="BodyTextFirstIndent2">
    <w:name w:val="Body Text First Indent 2"/>
    <w:basedOn w:val="BodyTextIndent"/>
    <w:pPr>
      <w:spacing w:after="120"/>
      <w:ind w:left="283" w:firstLine="210"/>
      <w:jc w:val="left"/>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ccHeading1">
    <w:name w:val="ccHeading1"/>
    <w:basedOn w:val="ccNormal"/>
    <w:pPr>
      <w:spacing w:before="360" w:after="120"/>
      <w:outlineLvl w:val="0"/>
    </w:pPr>
    <w:rPr>
      <w:b/>
    </w:rPr>
  </w:style>
  <w:style w:type="paragraph" w:customStyle="1" w:styleId="ccNormal">
    <w:name w:val="ccNormal"/>
    <w:basedOn w:val="Normal"/>
    <w:pPr>
      <w:spacing w:line="280" w:lineRule="atLeast"/>
      <w:jc w:val="both"/>
    </w:pPr>
    <w:rPr>
      <w:rFonts w:ascii="Tahoma" w:eastAsia="Times" w:hAnsi="Tahoma"/>
      <w:sz w:val="20"/>
    </w:rPr>
  </w:style>
  <w:style w:type="character" w:styleId="Hyperlink">
    <w:name w:val="Hyperlink"/>
    <w:basedOn w:val="DefaultParagraphFont"/>
    <w:uiPriority w:val="99"/>
    <w:rPr>
      <w:color w:val="0000FF"/>
      <w:u w:val="single"/>
    </w:rPr>
  </w:style>
  <w:style w:type="paragraph" w:customStyle="1" w:styleId="ELEXONBody">
    <w:name w:val="ELEXON Body"/>
    <w:basedOn w:val="Normal"/>
    <w:pPr>
      <w:spacing w:after="140" w:line="280" w:lineRule="exact"/>
      <w:ind w:left="1080"/>
    </w:pPr>
    <w:rPr>
      <w:rFonts w:ascii="Tahoma" w:hAnsi="Tahoma"/>
      <w:sz w:val="20"/>
      <w:lang w:eastAsia="en-US"/>
    </w:rPr>
  </w:style>
  <w:style w:type="paragraph" w:styleId="BalloonText">
    <w:name w:val="Balloon Text"/>
    <w:basedOn w:val="Normal"/>
    <w:semiHidden/>
    <w:rPr>
      <w:rFonts w:ascii="Tahoma" w:hAnsi="Tahoma" w:cs="Tahoma"/>
      <w:sz w:val="16"/>
      <w:szCs w:val="16"/>
    </w:rPr>
  </w:style>
  <w:style w:type="paragraph" w:customStyle="1" w:styleId="NormalCentered">
    <w:name w:val="Normal + Centered"/>
    <w:basedOn w:val="Normal"/>
    <w:pPr>
      <w:jc w:val="center"/>
    </w:pPr>
  </w:style>
  <w:style w:type="paragraph" w:customStyle="1" w:styleId="ELEXONHeading1">
    <w:name w:val="ELEXON Heading 1"/>
    <w:basedOn w:val="Heading1"/>
    <w:next w:val="ELEXONBody"/>
    <w:pPr>
      <w:pageBreakBefore/>
      <w:numPr>
        <w:numId w:val="12"/>
      </w:numPr>
      <w:tabs>
        <w:tab w:val="right" w:pos="9072"/>
      </w:tabs>
      <w:spacing w:before="280" w:after="140" w:line="280" w:lineRule="exact"/>
    </w:pPr>
    <w:rPr>
      <w:rFonts w:ascii="Tahoma" w:eastAsia="Times" w:hAnsi="Tahoma"/>
      <w:caps/>
      <w:kern w:val="0"/>
      <w:u w:val="none"/>
      <w:lang w:eastAsia="en-US"/>
    </w:rPr>
  </w:style>
  <w:style w:type="paragraph" w:customStyle="1" w:styleId="ELEXONHeading2">
    <w:name w:val="ELEXON Heading 2"/>
    <w:basedOn w:val="ELEXONHeading1"/>
    <w:next w:val="ELEXONBody"/>
    <w:pPr>
      <w:pageBreakBefore w:val="0"/>
      <w:numPr>
        <w:ilvl w:val="1"/>
      </w:numPr>
      <w:spacing w:before="140"/>
    </w:pPr>
    <w:rPr>
      <w:caps w:val="0"/>
    </w:rPr>
  </w:style>
  <w:style w:type="paragraph" w:customStyle="1" w:styleId="ELEXONHeading3">
    <w:name w:val="ELEXON Heading 3"/>
    <w:basedOn w:val="Heading2"/>
    <w:next w:val="ELEXONBody"/>
    <w:pPr>
      <w:numPr>
        <w:ilvl w:val="2"/>
        <w:numId w:val="12"/>
      </w:numPr>
      <w:spacing w:before="140" w:after="140" w:line="280" w:lineRule="exact"/>
    </w:pPr>
    <w:rPr>
      <w:rFonts w:ascii="Tahoma" w:eastAsia="Times" w:hAnsi="Tahoma"/>
      <w:b w:val="0"/>
      <w:sz w:val="20"/>
      <w:lang w:eastAsia="en-US"/>
    </w:rPr>
  </w:style>
  <w:style w:type="paragraph" w:customStyle="1" w:styleId="ELEXONHeading4">
    <w:name w:val="ELEXON Heading 4"/>
    <w:basedOn w:val="Heading1"/>
    <w:next w:val="ELEXONBody"/>
    <w:pPr>
      <w:numPr>
        <w:ilvl w:val="3"/>
        <w:numId w:val="12"/>
      </w:numPr>
      <w:tabs>
        <w:tab w:val="left" w:pos="1080"/>
      </w:tabs>
      <w:spacing w:before="140" w:after="0" w:line="280" w:lineRule="exact"/>
    </w:pPr>
    <w:rPr>
      <w:rFonts w:ascii="Tahoma" w:eastAsia="Times" w:hAnsi="Tahoma"/>
      <w:i/>
      <w:kern w:val="0"/>
      <w:sz w:val="20"/>
      <w:u w:val="none"/>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pPr>
      <w:spacing w:after="160"/>
    </w:pPr>
    <w:rPr>
      <w:rFonts w:ascii="Tahoma" w:hAnsi="Tahoma"/>
      <w:sz w:val="16"/>
    </w:rPr>
  </w:style>
  <w:style w:type="paragraph" w:customStyle="1" w:styleId="CoverHeading">
    <w:name w:val="Cover Heading"/>
    <w:link w:val="CoverHeadingChar"/>
    <w:pPr>
      <w:spacing w:before="113" w:after="113"/>
    </w:pPr>
    <w:rPr>
      <w:rFonts w:ascii="Tahoma" w:hAnsi="Tahoma"/>
      <w:b/>
      <w:sz w:val="24"/>
      <w:szCs w:val="24"/>
    </w:rPr>
  </w:style>
  <w:style w:type="character" w:customStyle="1" w:styleId="CoverHeadingChar">
    <w:name w:val="Cover Heading Char"/>
    <w:basedOn w:val="DefaultParagraphFont"/>
    <w:link w:val="CoverHeading"/>
    <w:rPr>
      <w:rFonts w:ascii="Tahoma" w:hAnsi="Tahoma"/>
      <w:b/>
      <w:sz w:val="24"/>
      <w:szCs w:val="24"/>
      <w:lang w:val="en-GB" w:eastAsia="en-GB" w:bidi="ar-SA"/>
    </w:rPr>
  </w:style>
  <w:style w:type="paragraph" w:customStyle="1" w:styleId="StyleHeading1Before0pt">
    <w:name w:val="Style Heading 1 + Before:  0 pt"/>
    <w:basedOn w:val="Heading1"/>
    <w:pPr>
      <w:spacing w:before="0"/>
    </w:pPr>
    <w:rPr>
      <w:b w:val="0"/>
      <w:bCs/>
      <w:sz w:val="28"/>
      <w:u w:val="none"/>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b/>
      <w:sz w:val="24"/>
    </w:rPr>
  </w:style>
  <w:style w:type="character" w:customStyle="1" w:styleId="BodyTextIndentChar">
    <w:name w:val="Body Text Indent Char"/>
    <w:basedOn w:val="DefaultParagraphFont"/>
    <w:link w:val="BodyTextIndent"/>
    <w:rPr>
      <w:sz w:val="24"/>
    </w:rPr>
  </w:style>
  <w:style w:type="paragraph" w:customStyle="1" w:styleId="Default">
    <w:name w:val="Default"/>
    <w:rsid w:val="00F04C54"/>
    <w:pPr>
      <w:autoSpaceDE w:val="0"/>
      <w:autoSpaceDN w:val="0"/>
      <w:adjustRightInd w:val="0"/>
    </w:pPr>
    <w:rPr>
      <w:color w:val="000000"/>
      <w:sz w:val="24"/>
      <w:szCs w:val="24"/>
    </w:rPr>
  </w:style>
  <w:style w:type="paragraph" w:styleId="Revision">
    <w:name w:val="Revision"/>
    <w:hidden/>
    <w:uiPriority w:val="99"/>
    <w:semiHidden/>
    <w:rsid w:val="0042574E"/>
    <w:rPr>
      <w:sz w:val="24"/>
    </w:rPr>
  </w:style>
  <w:style w:type="character" w:styleId="CommentReference">
    <w:name w:val="annotation reference"/>
    <w:basedOn w:val="DefaultParagraphFont"/>
    <w:uiPriority w:val="99"/>
    <w:semiHidden/>
    <w:unhideWhenUsed/>
    <w:rsid w:val="00E37814"/>
    <w:rPr>
      <w:sz w:val="16"/>
      <w:szCs w:val="16"/>
    </w:rPr>
  </w:style>
  <w:style w:type="paragraph" w:styleId="CommentSubject">
    <w:name w:val="annotation subject"/>
    <w:basedOn w:val="CommentText"/>
    <w:next w:val="CommentText"/>
    <w:link w:val="CommentSubjectChar"/>
    <w:uiPriority w:val="99"/>
    <w:semiHidden/>
    <w:unhideWhenUsed/>
    <w:rsid w:val="00E37814"/>
    <w:rPr>
      <w:b/>
      <w:bCs/>
    </w:rPr>
  </w:style>
  <w:style w:type="character" w:customStyle="1" w:styleId="CommentTextChar">
    <w:name w:val="Comment Text Char"/>
    <w:basedOn w:val="DefaultParagraphFont"/>
    <w:link w:val="CommentText"/>
    <w:semiHidden/>
    <w:rsid w:val="00E37814"/>
  </w:style>
  <w:style w:type="character" w:customStyle="1" w:styleId="CommentSubjectChar">
    <w:name w:val="Comment Subject Char"/>
    <w:basedOn w:val="CommentTextChar"/>
    <w:link w:val="CommentSubject"/>
    <w:uiPriority w:val="99"/>
    <w:semiHidden/>
    <w:rsid w:val="00E37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livineinc.com/wp-content/uploads/2017/02/PDF_DemandResponseOIR-2013_Report_PGE_20171011-Publi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iso.com/Documents/2017BaselineAccuracyWorkGroupFinalProposalNexan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iso.com/Documents/DemandResponseUserGuide.pdf" TargetMode="External"/><Relationship Id="rId4" Type="http://schemas.microsoft.com/office/2007/relationships/stylesWithEffects" Target="stylesWithEffects.xml"/><Relationship Id="rId9" Type="http://schemas.openxmlformats.org/officeDocument/2006/relationships/hyperlink" Target="https://www.elexon.co.uk/mod-proposal/p34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A6C0-CC50-43F8-9BD9-D54E92C4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BSCP40: Change Management</vt:lpstr>
    </vt:vector>
  </TitlesOfParts>
  <Company>ELEXON</Company>
  <LinksUpToDate>false</LinksUpToDate>
  <CharactersWithSpaces>12765</CharactersWithSpaces>
  <SharedDoc>false</SharedDoc>
  <HLinks>
    <vt:vector size="6" baseType="variant">
      <vt:variant>
        <vt:i4>2490460</vt:i4>
      </vt:variant>
      <vt:variant>
        <vt:i4>123</vt:i4>
      </vt:variant>
      <vt:variant>
        <vt:i4>0</vt:i4>
      </vt:variant>
      <vt:variant>
        <vt:i4>5</vt:i4>
      </vt:variant>
      <vt:variant>
        <vt:lpwstr/>
      </vt:variant>
      <vt:variant>
        <vt:lpwstr>_2.2_List_of</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BSCP40: Change Management</dc:title>
  <dc:subject>Word versions of the forms in BSCP40: Change Management</dc:subject>
  <dc:creator>ELEXON</dc:creator>
  <cp:keywords>BSCP40 Forms</cp:keywords>
  <cp:lastModifiedBy>Harry Parsons</cp:lastModifiedBy>
  <cp:revision>2</cp:revision>
  <cp:lastPrinted>2018-05-31T10:10:00Z</cp:lastPrinted>
  <dcterms:created xsi:type="dcterms:W3CDTF">2018-06-15T16:16:00Z</dcterms:created>
  <dcterms:modified xsi:type="dcterms:W3CDTF">2018-06-15T16:16:00Z</dcterms:modified>
  <cp:category>BSCP Form</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22 February 2018</vt:lpwstr>
  </property>
  <property fmtid="{D5CDD505-2E9C-101B-9397-08002B2CF9AE}" pid="3" name="Version Number">
    <vt:lpwstr>Version 16.0</vt:lpwstr>
  </property>
</Properties>
</file>