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Look w:val="01E0" w:firstRow="1" w:lastRow="1" w:firstColumn="1" w:lastColumn="1" w:noHBand="0" w:noVBand="0"/>
      </w:tblPr>
      <w:tblGrid>
        <w:gridCol w:w="9178"/>
      </w:tblGrid>
      <w:tr w:rsidR="00FC05F6" w:rsidRPr="00125C7C" w14:paraId="75999842" w14:textId="77777777" w:rsidTr="006545B3">
        <w:trPr>
          <w:trHeight w:val="14131"/>
          <w:jc w:val="center"/>
        </w:trPr>
        <w:tc>
          <w:tcPr>
            <w:tcW w:w="9178" w:type="dxa"/>
          </w:tcPr>
          <w:p w14:paraId="11F05B4E" w14:textId="77777777" w:rsidR="006545B3" w:rsidRDefault="006545B3" w:rsidP="00125C7C">
            <w:pPr>
              <w:jc w:val="center"/>
            </w:pPr>
          </w:p>
          <w:p w14:paraId="4CEB8CD0" w14:textId="77777777" w:rsidR="00FC05F6" w:rsidRPr="00125C7C" w:rsidRDefault="005B4272" w:rsidP="00125C7C">
            <w:pPr>
              <w:jc w:val="center"/>
            </w:pPr>
            <w:r w:rsidRPr="00125C7C">
              <w:t xml:space="preserve">Data Integration </w:t>
            </w:r>
            <w:r w:rsidR="00ED2ED0" w:rsidRPr="00125C7C">
              <w:t>Platform</w:t>
            </w:r>
          </w:p>
          <w:p w14:paraId="0385DA5D" w14:textId="77777777" w:rsidR="00FC05F6" w:rsidRPr="00125C7C" w:rsidRDefault="00FC05F6" w:rsidP="00125C7C">
            <w:pPr>
              <w:jc w:val="center"/>
            </w:pPr>
          </w:p>
          <w:p w14:paraId="4116CA3F" w14:textId="77777777" w:rsidR="00FC05F6" w:rsidRPr="00125C7C" w:rsidRDefault="00FC05F6" w:rsidP="00125C7C">
            <w:pPr>
              <w:jc w:val="center"/>
            </w:pPr>
          </w:p>
          <w:p w14:paraId="2259B006" w14:textId="398A00EC" w:rsidR="00FC05F6" w:rsidRPr="00125C7C" w:rsidRDefault="005B4272" w:rsidP="00125C7C">
            <w:pPr>
              <w:jc w:val="center"/>
            </w:pPr>
            <w:r w:rsidRPr="00125C7C">
              <w:t xml:space="preserve">DIP </w:t>
            </w:r>
            <w:r w:rsidR="00D641EB">
              <w:t>Subsidiary Document</w:t>
            </w:r>
          </w:p>
          <w:p w14:paraId="65C2A78D" w14:textId="77777777" w:rsidR="00FC05F6" w:rsidRPr="00125C7C" w:rsidRDefault="00FC05F6" w:rsidP="00125C7C">
            <w:pPr>
              <w:jc w:val="center"/>
            </w:pPr>
          </w:p>
          <w:p w14:paraId="77A2B019" w14:textId="77777777" w:rsidR="00FC05F6" w:rsidRPr="00125C7C" w:rsidRDefault="00FC05F6" w:rsidP="00125C7C">
            <w:pPr>
              <w:jc w:val="center"/>
            </w:pPr>
          </w:p>
          <w:p w14:paraId="374AB428" w14:textId="77777777" w:rsidR="00FC05F6" w:rsidRPr="00125C7C" w:rsidRDefault="005B4272" w:rsidP="00125C7C">
            <w:pPr>
              <w:jc w:val="center"/>
            </w:pPr>
            <w:r w:rsidRPr="00125C7C">
              <w:t xml:space="preserve">DIP </w:t>
            </w:r>
            <w:r w:rsidR="00DE6C1B">
              <w:t>Funding and Budget</w:t>
            </w:r>
          </w:p>
          <w:p w14:paraId="47EE2CC9" w14:textId="77777777" w:rsidR="00FC05F6" w:rsidRPr="00125C7C" w:rsidRDefault="00FC05F6" w:rsidP="00125C7C">
            <w:pPr>
              <w:jc w:val="center"/>
            </w:pPr>
          </w:p>
          <w:p w14:paraId="1738F516" w14:textId="77777777" w:rsidR="00FC05F6" w:rsidRPr="00125C7C" w:rsidRDefault="00FC05F6" w:rsidP="00125C7C">
            <w:pPr>
              <w:jc w:val="center"/>
            </w:pPr>
          </w:p>
          <w:p w14:paraId="7F1F0D34" w14:textId="77777777" w:rsidR="00FC05F6" w:rsidRPr="00125C7C" w:rsidRDefault="005B4272" w:rsidP="00125C7C">
            <w:pPr>
              <w:jc w:val="center"/>
            </w:pPr>
            <w:r w:rsidRPr="00125C7C">
              <w:t>DSD00</w:t>
            </w:r>
            <w:r w:rsidR="00DE6C1B">
              <w:t>5</w:t>
            </w:r>
          </w:p>
          <w:p w14:paraId="654A7747" w14:textId="77777777" w:rsidR="00FC05F6" w:rsidRPr="00125C7C" w:rsidRDefault="00FC05F6" w:rsidP="00125C7C">
            <w:pPr>
              <w:jc w:val="center"/>
            </w:pPr>
          </w:p>
          <w:p w14:paraId="74CED481" w14:textId="77777777" w:rsidR="00FC05F6" w:rsidRPr="00125C7C" w:rsidRDefault="00FC05F6" w:rsidP="00125C7C">
            <w:pPr>
              <w:jc w:val="center"/>
            </w:pPr>
          </w:p>
          <w:p w14:paraId="3DBB406A" w14:textId="7550A26E" w:rsidR="00FC05F6" w:rsidRPr="00125C7C" w:rsidRDefault="00B53D6A" w:rsidP="00125C7C">
            <w:pPr>
              <w:jc w:val="center"/>
            </w:pPr>
            <w:r>
              <w:fldChar w:fldCharType="begin"/>
            </w:r>
            <w:r>
              <w:instrText>DOCPROPERTY  "Version number"  \* MERGEFORMAT</w:instrText>
            </w:r>
            <w:r>
              <w:fldChar w:fldCharType="separate"/>
            </w:r>
            <w:r>
              <w:t>Version 0.6</w:t>
            </w:r>
            <w:r>
              <w:fldChar w:fldCharType="end"/>
            </w:r>
          </w:p>
          <w:p w14:paraId="53A2FD8B" w14:textId="77777777" w:rsidR="00CB7781" w:rsidRPr="00125C7C" w:rsidRDefault="00CB7781" w:rsidP="00125C7C">
            <w:pPr>
              <w:jc w:val="center"/>
            </w:pPr>
          </w:p>
          <w:p w14:paraId="2EE5B1F0" w14:textId="4DCD5C13" w:rsidR="00FC05F6" w:rsidRPr="00125C7C" w:rsidRDefault="00CE59A9" w:rsidP="00125C7C">
            <w:pPr>
              <w:jc w:val="center"/>
            </w:pPr>
            <w:r w:rsidRPr="00125C7C">
              <w:t xml:space="preserve">Date: </w:t>
            </w:r>
            <w:fldSimple w:instr="DOCPROPERTY  &quot;Effective Date&quot;  \* MERGEFORMAT">
              <w:r w:rsidR="00F02C21">
                <w:t>DD Month YYYY</w:t>
              </w:r>
            </w:fldSimple>
          </w:p>
          <w:p w14:paraId="3CE80201" w14:textId="77777777" w:rsidR="00FC05F6" w:rsidRPr="00125C7C" w:rsidRDefault="00FC05F6" w:rsidP="00125C7C"/>
          <w:p w14:paraId="2BA1B496" w14:textId="77777777" w:rsidR="00FC05F6" w:rsidRPr="00125C7C" w:rsidRDefault="00FC05F6" w:rsidP="00125C7C"/>
        </w:tc>
      </w:tr>
    </w:tbl>
    <w:p w14:paraId="20731DE8" w14:textId="38B801D4" w:rsidR="00FC05F6" w:rsidRDefault="005B4272" w:rsidP="004C70AD">
      <w:r>
        <w:lastRenderedPageBreak/>
        <w:t>DSD00</w:t>
      </w:r>
      <w:r w:rsidR="00DE6C1B">
        <w:t>5</w:t>
      </w:r>
      <w:r w:rsidR="008A2A66">
        <w:t xml:space="preserve"> </w:t>
      </w:r>
      <w:r w:rsidR="00CE59A9">
        <w:t>relating to</w:t>
      </w:r>
      <w:r w:rsidR="00124215">
        <w:t xml:space="preserve"> </w:t>
      </w:r>
      <w:r w:rsidR="005A7A33">
        <w:t>f</w:t>
      </w:r>
      <w:r w:rsidR="00DE6C1B">
        <w:t>unding</w:t>
      </w:r>
      <w:r w:rsidR="005A7A33">
        <w:t xml:space="preserve"> and budget</w:t>
      </w:r>
      <w:r w:rsidR="00814DEA">
        <w:t xml:space="preserve"> in regard to the DIP</w:t>
      </w:r>
      <w:r w:rsidR="00BA0754">
        <w:t>.</w:t>
      </w:r>
    </w:p>
    <w:p w14:paraId="7B4EFF8E" w14:textId="073CAE9B" w:rsidR="00FC05F6" w:rsidRDefault="00CE59A9" w:rsidP="004C70AD">
      <w:r>
        <w:t>1.</w:t>
      </w:r>
      <w:r>
        <w:tab/>
        <w:t xml:space="preserve">Reference is made to the </w:t>
      </w:r>
      <w:r w:rsidR="005B4272">
        <w:t xml:space="preserve">DIP Supplement of the </w:t>
      </w:r>
      <w:r w:rsidR="00580746">
        <w:t>Balancing and Settlement Code.</w:t>
      </w:r>
    </w:p>
    <w:p w14:paraId="1C771B1D" w14:textId="343B7F25" w:rsidR="00FC05F6" w:rsidRDefault="00CE59A9" w:rsidP="00580746">
      <w:r>
        <w:t>2.</w:t>
      </w:r>
      <w:r>
        <w:tab/>
        <w:t>This</w:t>
      </w:r>
      <w:r w:rsidR="00C15752">
        <w:t xml:space="preserve"> is </w:t>
      </w:r>
      <w:r w:rsidR="005B4272">
        <w:t>DIP</w:t>
      </w:r>
      <w:r w:rsidR="00C15752">
        <w:t xml:space="preserve"> </w:t>
      </w:r>
      <w:r w:rsidR="00D641EB">
        <w:t xml:space="preserve">Subsidiary Document </w:t>
      </w:r>
      <w:r w:rsidR="005B4272">
        <w:t>DSD00</w:t>
      </w:r>
      <w:r w:rsidR="00DE6C1B">
        <w:t>5</w:t>
      </w:r>
      <w:r>
        <w:t xml:space="preserve">, </w:t>
      </w:r>
      <w:r w:rsidR="00B53D6A">
        <w:fldChar w:fldCharType="begin"/>
      </w:r>
      <w:r w:rsidR="00B53D6A">
        <w:instrText>DOCPROPERTY  "Version number"  \* MERGEFORMAT</w:instrText>
      </w:r>
      <w:r w:rsidR="00B53D6A">
        <w:fldChar w:fldCharType="separate"/>
      </w:r>
      <w:r w:rsidR="00B53D6A">
        <w:t>Version 0.6</w:t>
      </w:r>
      <w:r w:rsidR="00B53D6A">
        <w:fldChar w:fldCharType="end"/>
      </w:r>
      <w:r>
        <w:t xml:space="preserve"> relating to </w:t>
      </w:r>
      <w:r w:rsidR="00615BD9">
        <w:t xml:space="preserve">the </w:t>
      </w:r>
      <w:r w:rsidR="005A7A33">
        <w:t>f</w:t>
      </w:r>
      <w:r w:rsidR="00DE6C1B">
        <w:t xml:space="preserve">unding and </w:t>
      </w:r>
      <w:r w:rsidR="005A7A33">
        <w:t>budget</w:t>
      </w:r>
      <w:r w:rsidR="005B4272">
        <w:t xml:space="preserve"> requirements for DIP Users </w:t>
      </w:r>
      <w:r w:rsidR="00DE6C1B">
        <w:t>and the DIP Manager</w:t>
      </w:r>
      <w:r w:rsidR="00504F5F">
        <w:t>.</w:t>
      </w:r>
    </w:p>
    <w:p w14:paraId="2057DCA9" w14:textId="4684DA76" w:rsidR="00FC05F6" w:rsidRDefault="00CE59A9" w:rsidP="004C70AD">
      <w:r>
        <w:t>3.</w:t>
      </w:r>
      <w:r>
        <w:tab/>
        <w:t xml:space="preserve">This </w:t>
      </w:r>
      <w:r w:rsidR="005B4272">
        <w:t>D</w:t>
      </w:r>
      <w:r w:rsidR="00D641EB">
        <w:t xml:space="preserve">SD </w:t>
      </w:r>
      <w:r>
        <w:t>is effective from</w:t>
      </w:r>
      <w:r w:rsidR="00F02C21">
        <w:t xml:space="preserve"> </w:t>
      </w:r>
      <w:r w:rsidR="00F3390A" w:rsidRPr="005B4272">
        <w:rPr>
          <w:color w:val="2B579A"/>
          <w:highlight w:val="yellow"/>
          <w:shd w:val="clear" w:color="auto" w:fill="E6E6E6"/>
        </w:rPr>
        <w:fldChar w:fldCharType="begin"/>
      </w:r>
      <w:r w:rsidR="00F3390A" w:rsidRPr="005B4272">
        <w:rPr>
          <w:highlight w:val="yellow"/>
        </w:rPr>
        <w:instrText xml:space="preserve"> DOCPROPERTY  "Effective Date"  \* MERGEFORMAT </w:instrText>
      </w:r>
      <w:r w:rsidR="00F3390A" w:rsidRPr="005B4272">
        <w:rPr>
          <w:color w:val="2B579A"/>
          <w:highlight w:val="yellow"/>
          <w:shd w:val="clear" w:color="auto" w:fill="E6E6E6"/>
        </w:rPr>
        <w:fldChar w:fldCharType="separate"/>
      </w:r>
      <w:r w:rsidR="00F02C21" w:rsidRPr="00F02C21">
        <w:t>DD Month YYYY</w:t>
      </w:r>
      <w:r w:rsidR="00F3390A" w:rsidRPr="005B4272">
        <w:rPr>
          <w:color w:val="2B579A"/>
          <w:highlight w:val="yellow"/>
          <w:shd w:val="clear" w:color="auto" w:fill="E6E6E6"/>
        </w:rPr>
        <w:fldChar w:fldCharType="end"/>
      </w:r>
      <w:r>
        <w:t>.</w:t>
      </w:r>
    </w:p>
    <w:p w14:paraId="65B910EA" w14:textId="258E2C0E" w:rsidR="00FC05F6" w:rsidRDefault="00CE59A9" w:rsidP="004C70AD">
      <w:r>
        <w:t>4.</w:t>
      </w:r>
      <w:r>
        <w:tab/>
        <w:t xml:space="preserve">This </w:t>
      </w:r>
      <w:r w:rsidR="005B4272">
        <w:t>D</w:t>
      </w:r>
      <w:r w:rsidR="00D641EB">
        <w:t>SD</w:t>
      </w:r>
      <w:r>
        <w:t xml:space="preserve"> has been approved by the </w:t>
      </w:r>
      <w:r w:rsidR="005B4272">
        <w:t>DIP Manager.</w:t>
      </w:r>
    </w:p>
    <w:p w14:paraId="07CAD2D4" w14:textId="77777777" w:rsidR="00FC05F6" w:rsidRDefault="00FC05F6" w:rsidP="004C70AD"/>
    <w:p w14:paraId="56C3CB7E" w14:textId="77777777" w:rsidR="00580746" w:rsidRPr="00C52B05" w:rsidRDefault="00580746" w:rsidP="00580746">
      <w:pPr>
        <w:pageBreakBefore/>
        <w:rPr>
          <w:b/>
          <w:sz w:val="32"/>
          <w:szCs w:val="32"/>
        </w:rPr>
      </w:pPr>
      <w:bookmarkStart w:id="0" w:name="_Toc137412323"/>
      <w:bookmarkStart w:id="1" w:name="_Toc137412528"/>
      <w:bookmarkStart w:id="2" w:name="_Toc137412608"/>
      <w:r w:rsidRPr="00C52B05">
        <w:rPr>
          <w:b/>
          <w:sz w:val="32"/>
          <w:szCs w:val="32"/>
        </w:rPr>
        <w:lastRenderedPageBreak/>
        <w:t>Amendment Record</w:t>
      </w:r>
      <w:bookmarkEnd w:id="0"/>
      <w:bookmarkEnd w:id="1"/>
      <w:bookmarkEnd w:id="2"/>
    </w:p>
    <w:tbl>
      <w:tblPr>
        <w:tblStyle w:val="TableGrid"/>
        <w:tblW w:w="5000" w:type="pct"/>
        <w:tblLayout w:type="fixed"/>
        <w:tblLook w:val="01E0" w:firstRow="1" w:lastRow="1" w:firstColumn="1" w:lastColumn="1" w:noHBand="0" w:noVBand="0"/>
      </w:tblPr>
      <w:tblGrid>
        <w:gridCol w:w="1007"/>
        <w:gridCol w:w="1180"/>
        <w:gridCol w:w="4021"/>
        <w:gridCol w:w="3420"/>
      </w:tblGrid>
      <w:tr w:rsidR="00580746" w14:paraId="1D91FA12" w14:textId="77777777" w:rsidTr="00580746">
        <w:trPr>
          <w:cantSplit/>
          <w:trHeight w:val="350"/>
          <w:tblHeader/>
        </w:trPr>
        <w:tc>
          <w:tcPr>
            <w:tcW w:w="523" w:type="pct"/>
            <w:shd w:val="clear" w:color="auto" w:fill="auto"/>
            <w:tcMar>
              <w:top w:w="85" w:type="dxa"/>
              <w:left w:w="85" w:type="dxa"/>
              <w:bottom w:w="85" w:type="dxa"/>
              <w:right w:w="85" w:type="dxa"/>
            </w:tcMar>
          </w:tcPr>
          <w:p w14:paraId="3062863A" w14:textId="77777777" w:rsidR="00580746" w:rsidRDefault="00580746" w:rsidP="00580746">
            <w:pPr>
              <w:spacing w:after="120"/>
              <w:jc w:val="left"/>
            </w:pPr>
            <w:r>
              <w:t>Version</w:t>
            </w:r>
          </w:p>
        </w:tc>
        <w:tc>
          <w:tcPr>
            <w:tcW w:w="613" w:type="pct"/>
            <w:shd w:val="clear" w:color="auto" w:fill="auto"/>
            <w:tcMar>
              <w:top w:w="85" w:type="dxa"/>
              <w:left w:w="85" w:type="dxa"/>
              <w:bottom w:w="85" w:type="dxa"/>
              <w:right w:w="85" w:type="dxa"/>
            </w:tcMar>
          </w:tcPr>
          <w:p w14:paraId="4EC436A9" w14:textId="77777777" w:rsidR="00580746" w:rsidRDefault="00580746" w:rsidP="00580746">
            <w:pPr>
              <w:spacing w:after="120"/>
              <w:jc w:val="left"/>
            </w:pPr>
            <w:r>
              <w:t>Date</w:t>
            </w:r>
          </w:p>
        </w:tc>
        <w:tc>
          <w:tcPr>
            <w:tcW w:w="2088" w:type="pct"/>
            <w:shd w:val="clear" w:color="auto" w:fill="auto"/>
            <w:tcMar>
              <w:top w:w="85" w:type="dxa"/>
              <w:left w:w="85" w:type="dxa"/>
              <w:bottom w:w="85" w:type="dxa"/>
              <w:right w:w="85" w:type="dxa"/>
            </w:tcMar>
          </w:tcPr>
          <w:p w14:paraId="5871D832" w14:textId="77777777" w:rsidR="00580746" w:rsidRDefault="00580746" w:rsidP="00580746">
            <w:pPr>
              <w:spacing w:after="120"/>
              <w:jc w:val="left"/>
            </w:pPr>
            <w:r>
              <w:t>Description of Change</w:t>
            </w:r>
          </w:p>
        </w:tc>
        <w:tc>
          <w:tcPr>
            <w:tcW w:w="1777" w:type="pct"/>
            <w:shd w:val="clear" w:color="auto" w:fill="auto"/>
            <w:tcMar>
              <w:top w:w="85" w:type="dxa"/>
              <w:left w:w="85" w:type="dxa"/>
              <w:bottom w:w="85" w:type="dxa"/>
              <w:right w:w="85" w:type="dxa"/>
            </w:tcMar>
          </w:tcPr>
          <w:p w14:paraId="227FD819" w14:textId="77777777" w:rsidR="00580746" w:rsidRDefault="00580746" w:rsidP="00580746">
            <w:pPr>
              <w:spacing w:after="120"/>
              <w:jc w:val="left"/>
            </w:pPr>
            <w:r>
              <w:t>Approval Reference</w:t>
            </w:r>
          </w:p>
        </w:tc>
      </w:tr>
      <w:tr w:rsidR="00580746" w14:paraId="2C953907" w14:textId="77777777" w:rsidTr="00580746">
        <w:trPr>
          <w:cantSplit/>
        </w:trPr>
        <w:tc>
          <w:tcPr>
            <w:tcW w:w="523" w:type="pct"/>
            <w:tcMar>
              <w:top w:w="85" w:type="dxa"/>
              <w:left w:w="85" w:type="dxa"/>
              <w:bottom w:w="85" w:type="dxa"/>
              <w:right w:w="85" w:type="dxa"/>
            </w:tcMar>
          </w:tcPr>
          <w:p w14:paraId="043346DB" w14:textId="77777777" w:rsidR="00580746" w:rsidRDefault="00580746" w:rsidP="00580746">
            <w:pPr>
              <w:spacing w:after="120"/>
              <w:jc w:val="left"/>
            </w:pPr>
            <w:r>
              <w:t>0.1</w:t>
            </w:r>
          </w:p>
        </w:tc>
        <w:tc>
          <w:tcPr>
            <w:tcW w:w="613" w:type="pct"/>
            <w:tcMar>
              <w:top w:w="85" w:type="dxa"/>
              <w:left w:w="85" w:type="dxa"/>
              <w:bottom w:w="85" w:type="dxa"/>
              <w:right w:w="85" w:type="dxa"/>
            </w:tcMar>
          </w:tcPr>
          <w:p w14:paraId="3E31E985" w14:textId="77777777" w:rsidR="00580746" w:rsidRDefault="00580746" w:rsidP="00580746">
            <w:pPr>
              <w:spacing w:after="120"/>
              <w:jc w:val="left"/>
            </w:pPr>
          </w:p>
        </w:tc>
        <w:tc>
          <w:tcPr>
            <w:tcW w:w="2088" w:type="pct"/>
            <w:tcMar>
              <w:top w:w="85" w:type="dxa"/>
              <w:left w:w="85" w:type="dxa"/>
              <w:bottom w:w="85" w:type="dxa"/>
              <w:right w:w="85" w:type="dxa"/>
            </w:tcMar>
          </w:tcPr>
          <w:p w14:paraId="1BD8625E" w14:textId="77777777" w:rsidR="00580746" w:rsidRDefault="00580746" w:rsidP="00580746">
            <w:pPr>
              <w:spacing w:after="120"/>
              <w:jc w:val="left"/>
            </w:pPr>
            <w:r>
              <w:t>Initial draft for Workgroup review</w:t>
            </w:r>
          </w:p>
        </w:tc>
        <w:tc>
          <w:tcPr>
            <w:tcW w:w="1777" w:type="pct"/>
            <w:tcMar>
              <w:top w:w="85" w:type="dxa"/>
              <w:left w:w="85" w:type="dxa"/>
              <w:bottom w:w="85" w:type="dxa"/>
              <w:right w:w="85" w:type="dxa"/>
            </w:tcMar>
          </w:tcPr>
          <w:p w14:paraId="57427BD3" w14:textId="77777777" w:rsidR="00580746" w:rsidRDefault="00580746" w:rsidP="00580746">
            <w:pPr>
              <w:spacing w:after="120"/>
              <w:jc w:val="left"/>
            </w:pPr>
            <w:r>
              <w:t>-</w:t>
            </w:r>
          </w:p>
        </w:tc>
      </w:tr>
      <w:tr w:rsidR="00580746" w14:paraId="1DD59EA7" w14:textId="77777777" w:rsidTr="00580746">
        <w:trPr>
          <w:cantSplit/>
        </w:trPr>
        <w:tc>
          <w:tcPr>
            <w:tcW w:w="523" w:type="pct"/>
            <w:tcMar>
              <w:top w:w="85" w:type="dxa"/>
              <w:left w:w="85" w:type="dxa"/>
              <w:bottom w:w="85" w:type="dxa"/>
              <w:right w:w="85" w:type="dxa"/>
            </w:tcMar>
          </w:tcPr>
          <w:p w14:paraId="73B9802E" w14:textId="77777777" w:rsidR="00580746" w:rsidRDefault="00580746" w:rsidP="00580746">
            <w:pPr>
              <w:spacing w:after="120"/>
              <w:jc w:val="left"/>
            </w:pPr>
            <w:r>
              <w:t>0.2</w:t>
            </w:r>
          </w:p>
        </w:tc>
        <w:tc>
          <w:tcPr>
            <w:tcW w:w="613" w:type="pct"/>
            <w:tcMar>
              <w:top w:w="85" w:type="dxa"/>
              <w:left w:w="85" w:type="dxa"/>
              <w:bottom w:w="85" w:type="dxa"/>
              <w:right w:w="85" w:type="dxa"/>
            </w:tcMar>
          </w:tcPr>
          <w:p w14:paraId="2E775F38" w14:textId="77777777" w:rsidR="00580746" w:rsidRDefault="00580746" w:rsidP="00580746">
            <w:pPr>
              <w:spacing w:after="120"/>
              <w:jc w:val="left"/>
            </w:pPr>
          </w:p>
        </w:tc>
        <w:tc>
          <w:tcPr>
            <w:tcW w:w="2088" w:type="pct"/>
            <w:tcMar>
              <w:top w:w="85" w:type="dxa"/>
              <w:left w:w="85" w:type="dxa"/>
              <w:bottom w:w="85" w:type="dxa"/>
              <w:right w:w="85" w:type="dxa"/>
            </w:tcMar>
          </w:tcPr>
          <w:p w14:paraId="348CC096" w14:textId="77777777" w:rsidR="00580746" w:rsidRDefault="00580746" w:rsidP="00580746">
            <w:pPr>
              <w:spacing w:after="120"/>
              <w:jc w:val="left"/>
            </w:pPr>
            <w:r>
              <w:t>Second draft for Workgroup review</w:t>
            </w:r>
          </w:p>
        </w:tc>
        <w:tc>
          <w:tcPr>
            <w:tcW w:w="1777" w:type="pct"/>
            <w:tcMar>
              <w:top w:w="85" w:type="dxa"/>
              <w:left w:w="85" w:type="dxa"/>
              <w:bottom w:w="85" w:type="dxa"/>
              <w:right w:w="85" w:type="dxa"/>
            </w:tcMar>
          </w:tcPr>
          <w:p w14:paraId="16C4FAC9" w14:textId="77777777" w:rsidR="00580746" w:rsidRDefault="00580746" w:rsidP="00580746">
            <w:pPr>
              <w:spacing w:after="120"/>
              <w:jc w:val="left"/>
            </w:pPr>
            <w:r>
              <w:t>-</w:t>
            </w:r>
          </w:p>
        </w:tc>
      </w:tr>
      <w:tr w:rsidR="00580746" w14:paraId="5F1C1FE0" w14:textId="77777777" w:rsidTr="00580746">
        <w:trPr>
          <w:cantSplit/>
        </w:trPr>
        <w:tc>
          <w:tcPr>
            <w:tcW w:w="523" w:type="pct"/>
            <w:tcMar>
              <w:top w:w="85" w:type="dxa"/>
              <w:left w:w="85" w:type="dxa"/>
              <w:bottom w:w="85" w:type="dxa"/>
              <w:right w:w="85" w:type="dxa"/>
            </w:tcMar>
          </w:tcPr>
          <w:p w14:paraId="273437E6" w14:textId="6B8AE2A2" w:rsidR="00580746" w:rsidRDefault="00580746" w:rsidP="00580746">
            <w:pPr>
              <w:spacing w:after="120"/>
              <w:jc w:val="left"/>
            </w:pPr>
            <w:r>
              <w:t>0</w:t>
            </w:r>
            <w:r w:rsidR="00F02C21">
              <w:t>.</w:t>
            </w:r>
            <w:r>
              <w:t>3</w:t>
            </w:r>
          </w:p>
        </w:tc>
        <w:tc>
          <w:tcPr>
            <w:tcW w:w="613" w:type="pct"/>
            <w:tcMar>
              <w:top w:w="85" w:type="dxa"/>
              <w:left w:w="85" w:type="dxa"/>
              <w:bottom w:w="85" w:type="dxa"/>
              <w:right w:w="85" w:type="dxa"/>
            </w:tcMar>
          </w:tcPr>
          <w:p w14:paraId="1951341F" w14:textId="77777777" w:rsidR="00580746" w:rsidRDefault="00580746" w:rsidP="00580746">
            <w:pPr>
              <w:spacing w:after="120"/>
              <w:jc w:val="left"/>
            </w:pPr>
          </w:p>
        </w:tc>
        <w:tc>
          <w:tcPr>
            <w:tcW w:w="2088" w:type="pct"/>
            <w:tcMar>
              <w:top w:w="85" w:type="dxa"/>
              <w:left w:w="85" w:type="dxa"/>
              <w:bottom w:w="85" w:type="dxa"/>
              <w:right w:w="85" w:type="dxa"/>
            </w:tcMar>
          </w:tcPr>
          <w:p w14:paraId="5B493A43" w14:textId="77777777" w:rsidR="00580746" w:rsidRDefault="00580746" w:rsidP="00580746">
            <w:pPr>
              <w:spacing w:after="120"/>
              <w:jc w:val="left"/>
            </w:pPr>
            <w:r>
              <w:t>Issue 101 Consultation</w:t>
            </w:r>
          </w:p>
        </w:tc>
        <w:tc>
          <w:tcPr>
            <w:tcW w:w="1777" w:type="pct"/>
            <w:tcMar>
              <w:top w:w="85" w:type="dxa"/>
              <w:left w:w="85" w:type="dxa"/>
              <w:bottom w:w="85" w:type="dxa"/>
              <w:right w:w="85" w:type="dxa"/>
            </w:tcMar>
          </w:tcPr>
          <w:p w14:paraId="234D149A" w14:textId="77777777" w:rsidR="00580746" w:rsidRDefault="00580746" w:rsidP="00580746">
            <w:pPr>
              <w:spacing w:after="120"/>
              <w:jc w:val="left"/>
            </w:pPr>
            <w:r>
              <w:t>-</w:t>
            </w:r>
          </w:p>
        </w:tc>
      </w:tr>
      <w:tr w:rsidR="00F02C21" w14:paraId="7E87659D" w14:textId="77777777" w:rsidTr="00580746">
        <w:trPr>
          <w:cantSplit/>
        </w:trPr>
        <w:tc>
          <w:tcPr>
            <w:tcW w:w="523" w:type="pct"/>
            <w:tcMar>
              <w:top w:w="85" w:type="dxa"/>
              <w:left w:w="85" w:type="dxa"/>
              <w:bottom w:w="85" w:type="dxa"/>
              <w:right w:w="85" w:type="dxa"/>
            </w:tcMar>
          </w:tcPr>
          <w:p w14:paraId="0D0AE489" w14:textId="0F63D760" w:rsidR="00F02C21" w:rsidRDefault="00F02C21" w:rsidP="00580746">
            <w:pPr>
              <w:spacing w:after="120"/>
              <w:jc w:val="left"/>
            </w:pPr>
            <w:r>
              <w:t>0.4</w:t>
            </w:r>
          </w:p>
        </w:tc>
        <w:tc>
          <w:tcPr>
            <w:tcW w:w="613" w:type="pct"/>
            <w:tcMar>
              <w:top w:w="85" w:type="dxa"/>
              <w:left w:w="85" w:type="dxa"/>
              <w:bottom w:w="85" w:type="dxa"/>
              <w:right w:w="85" w:type="dxa"/>
            </w:tcMar>
          </w:tcPr>
          <w:p w14:paraId="75EE05A7" w14:textId="77777777" w:rsidR="00F02C21" w:rsidRDefault="00F02C21" w:rsidP="00580746">
            <w:pPr>
              <w:spacing w:after="120"/>
              <w:jc w:val="left"/>
            </w:pPr>
          </w:p>
        </w:tc>
        <w:tc>
          <w:tcPr>
            <w:tcW w:w="2088" w:type="pct"/>
            <w:tcMar>
              <w:top w:w="85" w:type="dxa"/>
              <w:left w:w="85" w:type="dxa"/>
              <w:bottom w:w="85" w:type="dxa"/>
              <w:right w:w="85" w:type="dxa"/>
            </w:tcMar>
          </w:tcPr>
          <w:p w14:paraId="475BC61D" w14:textId="1EF1BB1A" w:rsidR="00F02C21" w:rsidRDefault="00F02C21" w:rsidP="00580746">
            <w:pPr>
              <w:spacing w:after="120"/>
              <w:jc w:val="left"/>
            </w:pPr>
            <w:r>
              <w:t>Issue 101 Report</w:t>
            </w:r>
          </w:p>
        </w:tc>
        <w:tc>
          <w:tcPr>
            <w:tcW w:w="1777" w:type="pct"/>
            <w:tcMar>
              <w:top w:w="85" w:type="dxa"/>
              <w:left w:w="85" w:type="dxa"/>
              <w:bottom w:w="85" w:type="dxa"/>
              <w:right w:w="85" w:type="dxa"/>
            </w:tcMar>
          </w:tcPr>
          <w:p w14:paraId="26CC167C" w14:textId="228C6C9F" w:rsidR="00F02C21" w:rsidRDefault="00F02C21" w:rsidP="00580746">
            <w:pPr>
              <w:spacing w:after="120"/>
              <w:jc w:val="left"/>
            </w:pPr>
            <w:r>
              <w:t>-</w:t>
            </w:r>
          </w:p>
        </w:tc>
      </w:tr>
      <w:tr w:rsidR="00B53D6A" w14:paraId="66DA5B3B" w14:textId="77777777" w:rsidTr="00580746">
        <w:trPr>
          <w:cantSplit/>
        </w:trPr>
        <w:tc>
          <w:tcPr>
            <w:tcW w:w="523" w:type="pct"/>
            <w:tcMar>
              <w:top w:w="85" w:type="dxa"/>
              <w:left w:w="85" w:type="dxa"/>
              <w:bottom w:w="85" w:type="dxa"/>
              <w:right w:w="85" w:type="dxa"/>
            </w:tcMar>
          </w:tcPr>
          <w:p w14:paraId="7003A32A" w14:textId="0988F8E6" w:rsidR="00B53D6A" w:rsidRDefault="00B53D6A" w:rsidP="00580746">
            <w:pPr>
              <w:spacing w:after="120"/>
              <w:jc w:val="left"/>
            </w:pPr>
            <w:r>
              <w:t>0.5</w:t>
            </w:r>
          </w:p>
        </w:tc>
        <w:tc>
          <w:tcPr>
            <w:tcW w:w="613" w:type="pct"/>
            <w:tcMar>
              <w:top w:w="85" w:type="dxa"/>
              <w:left w:w="85" w:type="dxa"/>
              <w:bottom w:w="85" w:type="dxa"/>
              <w:right w:w="85" w:type="dxa"/>
            </w:tcMar>
          </w:tcPr>
          <w:p w14:paraId="56976862" w14:textId="77777777" w:rsidR="00B53D6A" w:rsidRDefault="00B53D6A" w:rsidP="00580746">
            <w:pPr>
              <w:spacing w:after="120"/>
              <w:jc w:val="left"/>
            </w:pPr>
          </w:p>
        </w:tc>
        <w:tc>
          <w:tcPr>
            <w:tcW w:w="2088" w:type="pct"/>
            <w:tcMar>
              <w:top w:w="85" w:type="dxa"/>
              <w:left w:w="85" w:type="dxa"/>
              <w:bottom w:w="85" w:type="dxa"/>
              <w:right w:w="85" w:type="dxa"/>
            </w:tcMar>
          </w:tcPr>
          <w:p w14:paraId="098C679F" w14:textId="6B9E2156" w:rsidR="00B53D6A" w:rsidRDefault="00B53D6A" w:rsidP="00580746">
            <w:pPr>
              <w:spacing w:after="120"/>
              <w:jc w:val="left"/>
            </w:pPr>
            <w:r>
              <w:t xml:space="preserve">Shared with </w:t>
            </w:r>
            <w:proofErr w:type="spellStart"/>
            <w:r>
              <w:t>Ofgem</w:t>
            </w:r>
            <w:proofErr w:type="spellEnd"/>
          </w:p>
        </w:tc>
        <w:tc>
          <w:tcPr>
            <w:tcW w:w="1777" w:type="pct"/>
            <w:tcMar>
              <w:top w:w="85" w:type="dxa"/>
              <w:left w:w="85" w:type="dxa"/>
              <w:bottom w:w="85" w:type="dxa"/>
              <w:right w:w="85" w:type="dxa"/>
            </w:tcMar>
          </w:tcPr>
          <w:p w14:paraId="6A700771" w14:textId="77777777" w:rsidR="00B53D6A" w:rsidRDefault="00B53D6A" w:rsidP="00580746">
            <w:pPr>
              <w:spacing w:after="120"/>
              <w:jc w:val="left"/>
            </w:pPr>
          </w:p>
        </w:tc>
      </w:tr>
      <w:tr w:rsidR="00B53D6A" w14:paraId="08C74498" w14:textId="77777777" w:rsidTr="00580746">
        <w:trPr>
          <w:cantSplit/>
        </w:trPr>
        <w:tc>
          <w:tcPr>
            <w:tcW w:w="523" w:type="pct"/>
            <w:tcMar>
              <w:top w:w="85" w:type="dxa"/>
              <w:left w:w="85" w:type="dxa"/>
              <w:bottom w:w="85" w:type="dxa"/>
              <w:right w:w="85" w:type="dxa"/>
            </w:tcMar>
          </w:tcPr>
          <w:p w14:paraId="4C653638" w14:textId="101A5565" w:rsidR="00B53D6A" w:rsidRDefault="00B53D6A" w:rsidP="00580746">
            <w:pPr>
              <w:spacing w:after="120"/>
              <w:jc w:val="left"/>
            </w:pPr>
            <w:r>
              <w:t>0.6</w:t>
            </w:r>
          </w:p>
        </w:tc>
        <w:tc>
          <w:tcPr>
            <w:tcW w:w="613" w:type="pct"/>
            <w:tcMar>
              <w:top w:w="85" w:type="dxa"/>
              <w:left w:w="85" w:type="dxa"/>
              <w:bottom w:w="85" w:type="dxa"/>
              <w:right w:w="85" w:type="dxa"/>
            </w:tcMar>
          </w:tcPr>
          <w:p w14:paraId="61DDE399" w14:textId="77777777" w:rsidR="00B53D6A" w:rsidRDefault="00B53D6A" w:rsidP="00580746">
            <w:pPr>
              <w:spacing w:after="120"/>
              <w:jc w:val="left"/>
            </w:pPr>
          </w:p>
        </w:tc>
        <w:tc>
          <w:tcPr>
            <w:tcW w:w="2088" w:type="pct"/>
            <w:tcMar>
              <w:top w:w="85" w:type="dxa"/>
              <w:left w:w="85" w:type="dxa"/>
              <w:bottom w:w="85" w:type="dxa"/>
              <w:right w:w="85" w:type="dxa"/>
            </w:tcMar>
          </w:tcPr>
          <w:p w14:paraId="18715BF2" w14:textId="49EF2C38" w:rsidR="00B53D6A" w:rsidRDefault="00B53D6A" w:rsidP="00580746">
            <w:pPr>
              <w:spacing w:after="120"/>
              <w:jc w:val="left"/>
            </w:pPr>
            <w:r>
              <w:t>P474</w:t>
            </w:r>
          </w:p>
        </w:tc>
        <w:tc>
          <w:tcPr>
            <w:tcW w:w="1777" w:type="pct"/>
            <w:tcMar>
              <w:top w:w="85" w:type="dxa"/>
              <w:left w:w="85" w:type="dxa"/>
              <w:bottom w:w="85" w:type="dxa"/>
              <w:right w:w="85" w:type="dxa"/>
            </w:tcMar>
          </w:tcPr>
          <w:p w14:paraId="4FE113F4" w14:textId="77777777" w:rsidR="00B53D6A" w:rsidRDefault="00B53D6A" w:rsidP="00580746">
            <w:pPr>
              <w:spacing w:after="120"/>
              <w:jc w:val="left"/>
            </w:pPr>
          </w:p>
        </w:tc>
      </w:tr>
    </w:tbl>
    <w:p w14:paraId="54FFBC99" w14:textId="77777777" w:rsidR="00580746" w:rsidRPr="00CD2882" w:rsidRDefault="00580746" w:rsidP="00580746"/>
    <w:p w14:paraId="71F32CD2" w14:textId="77777777" w:rsidR="00580746" w:rsidRPr="00CD2882" w:rsidRDefault="00580746" w:rsidP="00580746"/>
    <w:p w14:paraId="3497AA19" w14:textId="77777777" w:rsidR="00CD2882" w:rsidRPr="00CD2882" w:rsidRDefault="00CD2882" w:rsidP="004C70AD"/>
    <w:p w14:paraId="396543FE" w14:textId="77777777" w:rsidR="00CD2882" w:rsidRPr="00CD2882" w:rsidRDefault="00CD2882" w:rsidP="004C70AD"/>
    <w:p w14:paraId="7CEE48FA" w14:textId="77777777" w:rsidR="00CD2882" w:rsidRPr="00CD2882" w:rsidRDefault="00CD2882" w:rsidP="004C70AD"/>
    <w:p w14:paraId="5C7299A0" w14:textId="77777777" w:rsidR="00CD2882" w:rsidRPr="00CD2882" w:rsidRDefault="00CD2882" w:rsidP="004C70AD"/>
    <w:p w14:paraId="337C843D" w14:textId="77777777" w:rsidR="00662A8D" w:rsidRDefault="00662A8D">
      <w:pPr>
        <w:spacing w:after="0"/>
        <w:jc w:val="left"/>
      </w:pPr>
      <w:r>
        <w:br w:type="page"/>
      </w:r>
    </w:p>
    <w:p w14:paraId="4C702B88" w14:textId="77777777" w:rsidR="00580746" w:rsidRPr="00C52B05" w:rsidRDefault="00580746" w:rsidP="00580746">
      <w:pPr>
        <w:pageBreakBefore/>
        <w:rPr>
          <w:b/>
          <w:sz w:val="32"/>
          <w:szCs w:val="32"/>
        </w:rPr>
      </w:pPr>
      <w:bookmarkStart w:id="3" w:name="_Toc137412324"/>
      <w:bookmarkStart w:id="4" w:name="_Toc137412529"/>
      <w:bookmarkStart w:id="5" w:name="_Toc137412609"/>
      <w:r w:rsidRPr="00C52B05">
        <w:rPr>
          <w:b/>
          <w:sz w:val="32"/>
          <w:szCs w:val="32"/>
        </w:rPr>
        <w:lastRenderedPageBreak/>
        <w:t>Contents</w:t>
      </w:r>
      <w:bookmarkEnd w:id="3"/>
      <w:bookmarkEnd w:id="4"/>
      <w:bookmarkEnd w:id="5"/>
    </w:p>
    <w:bookmarkStart w:id="6" w:name="_GoBack"/>
    <w:bookmarkEnd w:id="6"/>
    <w:p w14:paraId="35011C1F" w14:textId="1FBB04A4" w:rsidR="00B53D6A" w:rsidRDefault="00F21594">
      <w:pPr>
        <w:pStyle w:val="TOC1"/>
        <w:rPr>
          <w:rFonts w:asciiTheme="minorHAnsi" w:eastAsiaTheme="minorEastAsia" w:hAnsiTheme="minorHAnsi" w:cstheme="minorBidi"/>
          <w:b w:val="0"/>
          <w:noProof/>
          <w:sz w:val="22"/>
          <w:szCs w:val="22"/>
        </w:rPr>
      </w:pPr>
      <w:r>
        <w:rPr>
          <w:color w:val="2B579A"/>
          <w:shd w:val="clear" w:color="auto" w:fill="E6E6E6"/>
        </w:rPr>
        <w:fldChar w:fldCharType="begin"/>
      </w:r>
      <w:r>
        <w:instrText xml:space="preserve"> TOC \o "1-2" \h \z \u </w:instrText>
      </w:r>
      <w:r>
        <w:rPr>
          <w:color w:val="2B579A"/>
          <w:shd w:val="clear" w:color="auto" w:fill="E6E6E6"/>
        </w:rPr>
        <w:fldChar w:fldCharType="separate"/>
      </w:r>
      <w:hyperlink w:anchor="_Toc169521584" w:history="1">
        <w:r w:rsidR="00B53D6A" w:rsidRPr="00564736">
          <w:rPr>
            <w:rStyle w:val="Hyperlink"/>
            <w:noProof/>
          </w:rPr>
          <w:t>1</w:t>
        </w:r>
        <w:r w:rsidR="00B53D6A">
          <w:rPr>
            <w:rFonts w:asciiTheme="minorHAnsi" w:eastAsiaTheme="minorEastAsia" w:hAnsiTheme="minorHAnsi" w:cstheme="minorBidi"/>
            <w:b w:val="0"/>
            <w:noProof/>
            <w:sz w:val="22"/>
            <w:szCs w:val="22"/>
          </w:rPr>
          <w:tab/>
        </w:r>
        <w:r w:rsidR="00B53D6A" w:rsidRPr="00564736">
          <w:rPr>
            <w:rStyle w:val="Hyperlink"/>
            <w:noProof/>
          </w:rPr>
          <w:t>Introduction</w:t>
        </w:r>
        <w:r w:rsidR="00B53D6A">
          <w:rPr>
            <w:noProof/>
            <w:webHidden/>
          </w:rPr>
          <w:tab/>
        </w:r>
        <w:r w:rsidR="00B53D6A">
          <w:rPr>
            <w:noProof/>
            <w:webHidden/>
          </w:rPr>
          <w:fldChar w:fldCharType="begin"/>
        </w:r>
        <w:r w:rsidR="00B53D6A">
          <w:rPr>
            <w:noProof/>
            <w:webHidden/>
          </w:rPr>
          <w:instrText xml:space="preserve"> PAGEREF _Toc169521584 \h </w:instrText>
        </w:r>
        <w:r w:rsidR="00B53D6A">
          <w:rPr>
            <w:noProof/>
            <w:webHidden/>
          </w:rPr>
        </w:r>
        <w:r w:rsidR="00B53D6A">
          <w:rPr>
            <w:noProof/>
            <w:webHidden/>
          </w:rPr>
          <w:fldChar w:fldCharType="separate"/>
        </w:r>
        <w:r w:rsidR="00B53D6A">
          <w:rPr>
            <w:noProof/>
            <w:webHidden/>
          </w:rPr>
          <w:t>6</w:t>
        </w:r>
        <w:r w:rsidR="00B53D6A">
          <w:rPr>
            <w:noProof/>
            <w:webHidden/>
          </w:rPr>
          <w:fldChar w:fldCharType="end"/>
        </w:r>
      </w:hyperlink>
    </w:p>
    <w:p w14:paraId="06A0A8A2" w14:textId="35FB9FF3" w:rsidR="00B53D6A" w:rsidRDefault="00B53D6A">
      <w:pPr>
        <w:pStyle w:val="TOC2"/>
        <w:rPr>
          <w:rFonts w:asciiTheme="minorHAnsi" w:eastAsiaTheme="minorEastAsia" w:hAnsiTheme="minorHAnsi" w:cstheme="minorBidi"/>
          <w:b w:val="0"/>
          <w:noProof/>
          <w:sz w:val="22"/>
          <w:szCs w:val="22"/>
        </w:rPr>
      </w:pPr>
      <w:hyperlink w:anchor="_Toc169521585" w:history="1">
        <w:r w:rsidRPr="00564736">
          <w:rPr>
            <w:rStyle w:val="Hyperlink"/>
            <w:noProof/>
          </w:rPr>
          <w:t>1.1</w:t>
        </w:r>
        <w:r>
          <w:rPr>
            <w:rFonts w:asciiTheme="minorHAnsi" w:eastAsiaTheme="minorEastAsia" w:hAnsiTheme="minorHAnsi" w:cstheme="minorBidi"/>
            <w:b w:val="0"/>
            <w:noProof/>
            <w:sz w:val="22"/>
            <w:szCs w:val="22"/>
          </w:rPr>
          <w:tab/>
        </w:r>
        <w:r w:rsidRPr="00564736">
          <w:rPr>
            <w:rStyle w:val="Hyperlink"/>
            <w:noProof/>
          </w:rPr>
          <w:t>Scope and Purpose</w:t>
        </w:r>
        <w:r>
          <w:rPr>
            <w:noProof/>
            <w:webHidden/>
          </w:rPr>
          <w:tab/>
        </w:r>
        <w:r>
          <w:rPr>
            <w:noProof/>
            <w:webHidden/>
          </w:rPr>
          <w:fldChar w:fldCharType="begin"/>
        </w:r>
        <w:r>
          <w:rPr>
            <w:noProof/>
            <w:webHidden/>
          </w:rPr>
          <w:instrText xml:space="preserve"> PAGEREF _Toc169521585 \h </w:instrText>
        </w:r>
        <w:r>
          <w:rPr>
            <w:noProof/>
            <w:webHidden/>
          </w:rPr>
        </w:r>
        <w:r>
          <w:rPr>
            <w:noProof/>
            <w:webHidden/>
          </w:rPr>
          <w:fldChar w:fldCharType="separate"/>
        </w:r>
        <w:r>
          <w:rPr>
            <w:noProof/>
            <w:webHidden/>
          </w:rPr>
          <w:t>6</w:t>
        </w:r>
        <w:r>
          <w:rPr>
            <w:noProof/>
            <w:webHidden/>
          </w:rPr>
          <w:fldChar w:fldCharType="end"/>
        </w:r>
      </w:hyperlink>
    </w:p>
    <w:p w14:paraId="5C71FA62" w14:textId="509A4CDA" w:rsidR="00B53D6A" w:rsidRDefault="00B53D6A">
      <w:pPr>
        <w:pStyle w:val="TOC2"/>
        <w:rPr>
          <w:rFonts w:asciiTheme="minorHAnsi" w:eastAsiaTheme="minorEastAsia" w:hAnsiTheme="minorHAnsi" w:cstheme="minorBidi"/>
          <w:b w:val="0"/>
          <w:noProof/>
          <w:sz w:val="22"/>
          <w:szCs w:val="22"/>
        </w:rPr>
      </w:pPr>
      <w:hyperlink w:anchor="_Toc169521586" w:history="1">
        <w:r w:rsidRPr="00564736">
          <w:rPr>
            <w:rStyle w:val="Hyperlink"/>
            <w:noProof/>
          </w:rPr>
          <w:t>1.2</w:t>
        </w:r>
        <w:r>
          <w:rPr>
            <w:rFonts w:asciiTheme="minorHAnsi" w:eastAsiaTheme="minorEastAsia" w:hAnsiTheme="minorHAnsi" w:cstheme="minorBidi"/>
            <w:b w:val="0"/>
            <w:noProof/>
            <w:sz w:val="22"/>
            <w:szCs w:val="22"/>
          </w:rPr>
          <w:tab/>
        </w:r>
        <w:r w:rsidRPr="00564736">
          <w:rPr>
            <w:rStyle w:val="Hyperlink"/>
            <w:noProof/>
          </w:rPr>
          <w:t>Funding Principles</w:t>
        </w:r>
        <w:r>
          <w:rPr>
            <w:noProof/>
            <w:webHidden/>
          </w:rPr>
          <w:tab/>
        </w:r>
        <w:r>
          <w:rPr>
            <w:noProof/>
            <w:webHidden/>
          </w:rPr>
          <w:fldChar w:fldCharType="begin"/>
        </w:r>
        <w:r>
          <w:rPr>
            <w:noProof/>
            <w:webHidden/>
          </w:rPr>
          <w:instrText xml:space="preserve"> PAGEREF _Toc169521586 \h </w:instrText>
        </w:r>
        <w:r>
          <w:rPr>
            <w:noProof/>
            <w:webHidden/>
          </w:rPr>
        </w:r>
        <w:r>
          <w:rPr>
            <w:noProof/>
            <w:webHidden/>
          </w:rPr>
          <w:fldChar w:fldCharType="separate"/>
        </w:r>
        <w:r>
          <w:rPr>
            <w:noProof/>
            <w:webHidden/>
          </w:rPr>
          <w:t>6</w:t>
        </w:r>
        <w:r>
          <w:rPr>
            <w:noProof/>
            <w:webHidden/>
          </w:rPr>
          <w:fldChar w:fldCharType="end"/>
        </w:r>
      </w:hyperlink>
    </w:p>
    <w:p w14:paraId="1B9F6FE6" w14:textId="239E58F3" w:rsidR="00B53D6A" w:rsidRDefault="00B53D6A">
      <w:pPr>
        <w:pStyle w:val="TOC1"/>
        <w:rPr>
          <w:rFonts w:asciiTheme="minorHAnsi" w:eastAsiaTheme="minorEastAsia" w:hAnsiTheme="minorHAnsi" w:cstheme="minorBidi"/>
          <w:b w:val="0"/>
          <w:noProof/>
          <w:sz w:val="22"/>
          <w:szCs w:val="22"/>
        </w:rPr>
      </w:pPr>
      <w:hyperlink w:anchor="_Toc169521587" w:history="1">
        <w:r w:rsidRPr="00564736">
          <w:rPr>
            <w:rStyle w:val="Hyperlink"/>
            <w:noProof/>
          </w:rPr>
          <w:t>2</w:t>
        </w:r>
        <w:r>
          <w:rPr>
            <w:rFonts w:asciiTheme="minorHAnsi" w:eastAsiaTheme="minorEastAsia" w:hAnsiTheme="minorHAnsi" w:cstheme="minorBidi"/>
            <w:b w:val="0"/>
            <w:noProof/>
            <w:sz w:val="22"/>
            <w:szCs w:val="22"/>
          </w:rPr>
          <w:tab/>
        </w:r>
        <w:r w:rsidRPr="00564736">
          <w:rPr>
            <w:rStyle w:val="Hyperlink"/>
            <w:noProof/>
          </w:rPr>
          <w:t>DIP Budget</w:t>
        </w:r>
        <w:r>
          <w:rPr>
            <w:noProof/>
            <w:webHidden/>
          </w:rPr>
          <w:tab/>
        </w:r>
        <w:r>
          <w:rPr>
            <w:noProof/>
            <w:webHidden/>
          </w:rPr>
          <w:fldChar w:fldCharType="begin"/>
        </w:r>
        <w:r>
          <w:rPr>
            <w:noProof/>
            <w:webHidden/>
          </w:rPr>
          <w:instrText xml:space="preserve"> PAGEREF _Toc169521587 \h </w:instrText>
        </w:r>
        <w:r>
          <w:rPr>
            <w:noProof/>
            <w:webHidden/>
          </w:rPr>
        </w:r>
        <w:r>
          <w:rPr>
            <w:noProof/>
            <w:webHidden/>
          </w:rPr>
          <w:fldChar w:fldCharType="separate"/>
        </w:r>
        <w:r>
          <w:rPr>
            <w:noProof/>
            <w:webHidden/>
          </w:rPr>
          <w:t>7</w:t>
        </w:r>
        <w:r>
          <w:rPr>
            <w:noProof/>
            <w:webHidden/>
          </w:rPr>
          <w:fldChar w:fldCharType="end"/>
        </w:r>
      </w:hyperlink>
    </w:p>
    <w:p w14:paraId="4E948C6B" w14:textId="52500A83" w:rsidR="00B53D6A" w:rsidRDefault="00B53D6A">
      <w:pPr>
        <w:pStyle w:val="TOC2"/>
        <w:rPr>
          <w:rFonts w:asciiTheme="minorHAnsi" w:eastAsiaTheme="minorEastAsia" w:hAnsiTheme="minorHAnsi" w:cstheme="minorBidi"/>
          <w:b w:val="0"/>
          <w:noProof/>
          <w:sz w:val="22"/>
          <w:szCs w:val="22"/>
        </w:rPr>
      </w:pPr>
      <w:hyperlink w:anchor="_Toc169521588" w:history="1">
        <w:r w:rsidRPr="00564736">
          <w:rPr>
            <w:rStyle w:val="Hyperlink"/>
            <w:noProof/>
          </w:rPr>
          <w:t>2.1</w:t>
        </w:r>
        <w:r>
          <w:rPr>
            <w:rFonts w:asciiTheme="minorHAnsi" w:eastAsiaTheme="minorEastAsia" w:hAnsiTheme="minorHAnsi" w:cstheme="minorBidi"/>
            <w:b w:val="0"/>
            <w:noProof/>
            <w:sz w:val="22"/>
            <w:szCs w:val="22"/>
          </w:rPr>
          <w:tab/>
        </w:r>
        <w:r w:rsidRPr="00564736">
          <w:rPr>
            <w:rStyle w:val="Hyperlink"/>
            <w:noProof/>
          </w:rPr>
          <w:t>Budget composition</w:t>
        </w:r>
        <w:r>
          <w:rPr>
            <w:noProof/>
            <w:webHidden/>
          </w:rPr>
          <w:tab/>
        </w:r>
        <w:r>
          <w:rPr>
            <w:noProof/>
            <w:webHidden/>
          </w:rPr>
          <w:fldChar w:fldCharType="begin"/>
        </w:r>
        <w:r>
          <w:rPr>
            <w:noProof/>
            <w:webHidden/>
          </w:rPr>
          <w:instrText xml:space="preserve"> PAGEREF _Toc169521588 \h </w:instrText>
        </w:r>
        <w:r>
          <w:rPr>
            <w:noProof/>
            <w:webHidden/>
          </w:rPr>
        </w:r>
        <w:r>
          <w:rPr>
            <w:noProof/>
            <w:webHidden/>
          </w:rPr>
          <w:fldChar w:fldCharType="separate"/>
        </w:r>
        <w:r>
          <w:rPr>
            <w:noProof/>
            <w:webHidden/>
          </w:rPr>
          <w:t>7</w:t>
        </w:r>
        <w:r>
          <w:rPr>
            <w:noProof/>
            <w:webHidden/>
          </w:rPr>
          <w:fldChar w:fldCharType="end"/>
        </w:r>
      </w:hyperlink>
    </w:p>
    <w:p w14:paraId="33DBB1C0" w14:textId="5DF4FA95" w:rsidR="00B53D6A" w:rsidRDefault="00B53D6A">
      <w:pPr>
        <w:pStyle w:val="TOC2"/>
        <w:rPr>
          <w:rFonts w:asciiTheme="minorHAnsi" w:eastAsiaTheme="minorEastAsia" w:hAnsiTheme="minorHAnsi" w:cstheme="minorBidi"/>
          <w:b w:val="0"/>
          <w:noProof/>
          <w:sz w:val="22"/>
          <w:szCs w:val="22"/>
        </w:rPr>
      </w:pPr>
      <w:hyperlink w:anchor="_Toc169521589" w:history="1">
        <w:r w:rsidRPr="00564736">
          <w:rPr>
            <w:rStyle w:val="Hyperlink"/>
            <w:noProof/>
          </w:rPr>
          <w:t>2.2</w:t>
        </w:r>
        <w:r>
          <w:rPr>
            <w:rFonts w:asciiTheme="minorHAnsi" w:eastAsiaTheme="minorEastAsia" w:hAnsiTheme="minorHAnsi" w:cstheme="minorBidi"/>
            <w:b w:val="0"/>
            <w:noProof/>
            <w:sz w:val="22"/>
            <w:szCs w:val="22"/>
          </w:rPr>
          <w:tab/>
        </w:r>
        <w:r w:rsidRPr="00564736">
          <w:rPr>
            <w:rStyle w:val="Hyperlink"/>
            <w:noProof/>
          </w:rPr>
          <w:t>Budget consultation</w:t>
        </w:r>
        <w:r>
          <w:rPr>
            <w:noProof/>
            <w:webHidden/>
          </w:rPr>
          <w:tab/>
        </w:r>
        <w:r>
          <w:rPr>
            <w:noProof/>
            <w:webHidden/>
          </w:rPr>
          <w:fldChar w:fldCharType="begin"/>
        </w:r>
        <w:r>
          <w:rPr>
            <w:noProof/>
            <w:webHidden/>
          </w:rPr>
          <w:instrText xml:space="preserve"> PAGEREF _Toc169521589 \h </w:instrText>
        </w:r>
        <w:r>
          <w:rPr>
            <w:noProof/>
            <w:webHidden/>
          </w:rPr>
        </w:r>
        <w:r>
          <w:rPr>
            <w:noProof/>
            <w:webHidden/>
          </w:rPr>
          <w:fldChar w:fldCharType="separate"/>
        </w:r>
        <w:r>
          <w:rPr>
            <w:noProof/>
            <w:webHidden/>
          </w:rPr>
          <w:t>7</w:t>
        </w:r>
        <w:r>
          <w:rPr>
            <w:noProof/>
            <w:webHidden/>
          </w:rPr>
          <w:fldChar w:fldCharType="end"/>
        </w:r>
      </w:hyperlink>
    </w:p>
    <w:p w14:paraId="0E3ED42A" w14:textId="69368A8D" w:rsidR="00B53D6A" w:rsidRDefault="00B53D6A">
      <w:pPr>
        <w:pStyle w:val="TOC2"/>
        <w:rPr>
          <w:rFonts w:asciiTheme="minorHAnsi" w:eastAsiaTheme="minorEastAsia" w:hAnsiTheme="minorHAnsi" w:cstheme="minorBidi"/>
          <w:b w:val="0"/>
          <w:noProof/>
          <w:sz w:val="22"/>
          <w:szCs w:val="22"/>
        </w:rPr>
      </w:pPr>
      <w:hyperlink w:anchor="_Toc169521590" w:history="1">
        <w:r w:rsidRPr="00564736">
          <w:rPr>
            <w:rStyle w:val="Hyperlink"/>
            <w:noProof/>
          </w:rPr>
          <w:t>2.3</w:t>
        </w:r>
        <w:r>
          <w:rPr>
            <w:rFonts w:asciiTheme="minorHAnsi" w:eastAsiaTheme="minorEastAsia" w:hAnsiTheme="minorHAnsi" w:cstheme="minorBidi"/>
            <w:b w:val="0"/>
            <w:noProof/>
            <w:sz w:val="22"/>
            <w:szCs w:val="22"/>
          </w:rPr>
          <w:tab/>
        </w:r>
        <w:r w:rsidRPr="00564736">
          <w:rPr>
            <w:rStyle w:val="Hyperlink"/>
            <w:noProof/>
          </w:rPr>
          <w:t>Annual DIP Standing Charge</w:t>
        </w:r>
        <w:r>
          <w:rPr>
            <w:noProof/>
            <w:webHidden/>
          </w:rPr>
          <w:tab/>
        </w:r>
        <w:r>
          <w:rPr>
            <w:noProof/>
            <w:webHidden/>
          </w:rPr>
          <w:fldChar w:fldCharType="begin"/>
        </w:r>
        <w:r>
          <w:rPr>
            <w:noProof/>
            <w:webHidden/>
          </w:rPr>
          <w:instrText xml:space="preserve"> PAGEREF _Toc169521590 \h </w:instrText>
        </w:r>
        <w:r>
          <w:rPr>
            <w:noProof/>
            <w:webHidden/>
          </w:rPr>
        </w:r>
        <w:r>
          <w:rPr>
            <w:noProof/>
            <w:webHidden/>
          </w:rPr>
          <w:fldChar w:fldCharType="separate"/>
        </w:r>
        <w:r>
          <w:rPr>
            <w:noProof/>
            <w:webHidden/>
          </w:rPr>
          <w:t>7</w:t>
        </w:r>
        <w:r>
          <w:rPr>
            <w:noProof/>
            <w:webHidden/>
          </w:rPr>
          <w:fldChar w:fldCharType="end"/>
        </w:r>
      </w:hyperlink>
    </w:p>
    <w:p w14:paraId="1B5E18B1" w14:textId="247151C4" w:rsidR="00B53D6A" w:rsidRDefault="00B53D6A">
      <w:pPr>
        <w:pStyle w:val="TOC2"/>
        <w:rPr>
          <w:rFonts w:asciiTheme="minorHAnsi" w:eastAsiaTheme="minorEastAsia" w:hAnsiTheme="minorHAnsi" w:cstheme="minorBidi"/>
          <w:b w:val="0"/>
          <w:noProof/>
          <w:sz w:val="22"/>
          <w:szCs w:val="22"/>
        </w:rPr>
      </w:pPr>
      <w:hyperlink w:anchor="_Toc169521591" w:history="1">
        <w:r w:rsidRPr="00564736">
          <w:rPr>
            <w:rStyle w:val="Hyperlink"/>
            <w:noProof/>
          </w:rPr>
          <w:t>2.4</w:t>
        </w:r>
        <w:r>
          <w:rPr>
            <w:rFonts w:asciiTheme="minorHAnsi" w:eastAsiaTheme="minorEastAsia" w:hAnsiTheme="minorHAnsi" w:cstheme="minorBidi"/>
            <w:b w:val="0"/>
            <w:noProof/>
            <w:sz w:val="22"/>
            <w:szCs w:val="22"/>
          </w:rPr>
          <w:tab/>
        </w:r>
        <w:r w:rsidRPr="00564736">
          <w:rPr>
            <w:rStyle w:val="Hyperlink"/>
            <w:noProof/>
          </w:rPr>
          <w:t>DCAB Role in budget setting</w:t>
        </w:r>
        <w:r>
          <w:rPr>
            <w:noProof/>
            <w:webHidden/>
          </w:rPr>
          <w:tab/>
        </w:r>
        <w:r>
          <w:rPr>
            <w:noProof/>
            <w:webHidden/>
          </w:rPr>
          <w:fldChar w:fldCharType="begin"/>
        </w:r>
        <w:r>
          <w:rPr>
            <w:noProof/>
            <w:webHidden/>
          </w:rPr>
          <w:instrText xml:space="preserve"> PAGEREF _Toc169521591 \h </w:instrText>
        </w:r>
        <w:r>
          <w:rPr>
            <w:noProof/>
            <w:webHidden/>
          </w:rPr>
        </w:r>
        <w:r>
          <w:rPr>
            <w:noProof/>
            <w:webHidden/>
          </w:rPr>
          <w:fldChar w:fldCharType="separate"/>
        </w:r>
        <w:r>
          <w:rPr>
            <w:noProof/>
            <w:webHidden/>
          </w:rPr>
          <w:t>7</w:t>
        </w:r>
        <w:r>
          <w:rPr>
            <w:noProof/>
            <w:webHidden/>
          </w:rPr>
          <w:fldChar w:fldCharType="end"/>
        </w:r>
      </w:hyperlink>
    </w:p>
    <w:p w14:paraId="03E5F215" w14:textId="2FBB834C" w:rsidR="00B53D6A" w:rsidRDefault="00B53D6A">
      <w:pPr>
        <w:pStyle w:val="TOC2"/>
        <w:rPr>
          <w:rFonts w:asciiTheme="minorHAnsi" w:eastAsiaTheme="minorEastAsia" w:hAnsiTheme="minorHAnsi" w:cstheme="minorBidi"/>
          <w:b w:val="0"/>
          <w:noProof/>
          <w:sz w:val="22"/>
          <w:szCs w:val="22"/>
        </w:rPr>
      </w:pPr>
      <w:hyperlink w:anchor="_Toc169521592" w:history="1">
        <w:r w:rsidRPr="00564736">
          <w:rPr>
            <w:rStyle w:val="Hyperlink"/>
            <w:noProof/>
          </w:rPr>
          <w:t>2.5</w:t>
        </w:r>
        <w:r>
          <w:rPr>
            <w:rFonts w:asciiTheme="minorHAnsi" w:eastAsiaTheme="minorEastAsia" w:hAnsiTheme="minorHAnsi" w:cstheme="minorBidi"/>
            <w:b w:val="0"/>
            <w:noProof/>
            <w:sz w:val="22"/>
            <w:szCs w:val="22"/>
          </w:rPr>
          <w:tab/>
        </w:r>
        <w:r w:rsidRPr="00564736">
          <w:rPr>
            <w:rStyle w:val="Hyperlink"/>
            <w:noProof/>
          </w:rPr>
          <w:t>In year DIP Budget amendments</w:t>
        </w:r>
        <w:r>
          <w:rPr>
            <w:noProof/>
            <w:webHidden/>
          </w:rPr>
          <w:tab/>
        </w:r>
        <w:r>
          <w:rPr>
            <w:noProof/>
            <w:webHidden/>
          </w:rPr>
          <w:fldChar w:fldCharType="begin"/>
        </w:r>
        <w:r>
          <w:rPr>
            <w:noProof/>
            <w:webHidden/>
          </w:rPr>
          <w:instrText xml:space="preserve"> PAGEREF _Toc169521592 \h </w:instrText>
        </w:r>
        <w:r>
          <w:rPr>
            <w:noProof/>
            <w:webHidden/>
          </w:rPr>
        </w:r>
        <w:r>
          <w:rPr>
            <w:noProof/>
            <w:webHidden/>
          </w:rPr>
          <w:fldChar w:fldCharType="separate"/>
        </w:r>
        <w:r>
          <w:rPr>
            <w:noProof/>
            <w:webHidden/>
          </w:rPr>
          <w:t>8</w:t>
        </w:r>
        <w:r>
          <w:rPr>
            <w:noProof/>
            <w:webHidden/>
          </w:rPr>
          <w:fldChar w:fldCharType="end"/>
        </w:r>
      </w:hyperlink>
    </w:p>
    <w:p w14:paraId="2784B073" w14:textId="073F1970" w:rsidR="00B53D6A" w:rsidRDefault="00B53D6A">
      <w:pPr>
        <w:pStyle w:val="TOC1"/>
        <w:rPr>
          <w:rFonts w:asciiTheme="minorHAnsi" w:eastAsiaTheme="minorEastAsia" w:hAnsiTheme="minorHAnsi" w:cstheme="minorBidi"/>
          <w:b w:val="0"/>
          <w:noProof/>
          <w:sz w:val="22"/>
          <w:szCs w:val="22"/>
        </w:rPr>
      </w:pPr>
      <w:hyperlink w:anchor="_Toc169521593" w:history="1">
        <w:r w:rsidRPr="00564736">
          <w:rPr>
            <w:rStyle w:val="Hyperlink"/>
            <w:noProof/>
          </w:rPr>
          <w:t>3</w:t>
        </w:r>
        <w:r>
          <w:rPr>
            <w:rFonts w:asciiTheme="minorHAnsi" w:eastAsiaTheme="minorEastAsia" w:hAnsiTheme="minorHAnsi" w:cstheme="minorBidi"/>
            <w:b w:val="0"/>
            <w:noProof/>
            <w:sz w:val="22"/>
            <w:szCs w:val="22"/>
          </w:rPr>
          <w:tab/>
        </w:r>
        <w:r w:rsidRPr="00564736">
          <w:rPr>
            <w:rStyle w:val="Hyperlink"/>
            <w:noProof/>
          </w:rPr>
          <w:t>DIP Costs</w:t>
        </w:r>
        <w:r>
          <w:rPr>
            <w:noProof/>
            <w:webHidden/>
          </w:rPr>
          <w:tab/>
        </w:r>
        <w:r>
          <w:rPr>
            <w:noProof/>
            <w:webHidden/>
          </w:rPr>
          <w:fldChar w:fldCharType="begin"/>
        </w:r>
        <w:r>
          <w:rPr>
            <w:noProof/>
            <w:webHidden/>
          </w:rPr>
          <w:instrText xml:space="preserve"> PAGEREF _Toc169521593 \h </w:instrText>
        </w:r>
        <w:r>
          <w:rPr>
            <w:noProof/>
            <w:webHidden/>
          </w:rPr>
        </w:r>
        <w:r>
          <w:rPr>
            <w:noProof/>
            <w:webHidden/>
          </w:rPr>
          <w:fldChar w:fldCharType="separate"/>
        </w:r>
        <w:r>
          <w:rPr>
            <w:noProof/>
            <w:webHidden/>
          </w:rPr>
          <w:t>9</w:t>
        </w:r>
        <w:r>
          <w:rPr>
            <w:noProof/>
            <w:webHidden/>
          </w:rPr>
          <w:fldChar w:fldCharType="end"/>
        </w:r>
      </w:hyperlink>
    </w:p>
    <w:p w14:paraId="2871F4AF" w14:textId="6B07AB86" w:rsidR="00B53D6A" w:rsidRDefault="00B53D6A">
      <w:pPr>
        <w:pStyle w:val="TOC2"/>
        <w:rPr>
          <w:rFonts w:asciiTheme="minorHAnsi" w:eastAsiaTheme="minorEastAsia" w:hAnsiTheme="minorHAnsi" w:cstheme="minorBidi"/>
          <w:b w:val="0"/>
          <w:noProof/>
          <w:sz w:val="22"/>
          <w:szCs w:val="22"/>
        </w:rPr>
      </w:pPr>
      <w:hyperlink w:anchor="_Toc169521594" w:history="1">
        <w:r w:rsidRPr="00564736">
          <w:rPr>
            <w:rStyle w:val="Hyperlink"/>
            <w:noProof/>
          </w:rPr>
          <w:t>3.1</w:t>
        </w:r>
        <w:r>
          <w:rPr>
            <w:rFonts w:asciiTheme="minorHAnsi" w:eastAsiaTheme="minorEastAsia" w:hAnsiTheme="minorHAnsi" w:cstheme="minorBidi"/>
            <w:b w:val="0"/>
            <w:noProof/>
            <w:sz w:val="22"/>
            <w:szCs w:val="22"/>
          </w:rPr>
          <w:tab/>
        </w:r>
        <w:r w:rsidRPr="00564736">
          <w:rPr>
            <w:rStyle w:val="Hyperlink"/>
            <w:noProof/>
          </w:rPr>
          <w:t>DIP Costs elements</w:t>
        </w:r>
        <w:r>
          <w:rPr>
            <w:noProof/>
            <w:webHidden/>
          </w:rPr>
          <w:tab/>
        </w:r>
        <w:r>
          <w:rPr>
            <w:noProof/>
            <w:webHidden/>
          </w:rPr>
          <w:fldChar w:fldCharType="begin"/>
        </w:r>
        <w:r>
          <w:rPr>
            <w:noProof/>
            <w:webHidden/>
          </w:rPr>
          <w:instrText xml:space="preserve"> PAGEREF _Toc169521594 \h </w:instrText>
        </w:r>
        <w:r>
          <w:rPr>
            <w:noProof/>
            <w:webHidden/>
          </w:rPr>
        </w:r>
        <w:r>
          <w:rPr>
            <w:noProof/>
            <w:webHidden/>
          </w:rPr>
          <w:fldChar w:fldCharType="separate"/>
        </w:r>
        <w:r>
          <w:rPr>
            <w:noProof/>
            <w:webHidden/>
          </w:rPr>
          <w:t>9</w:t>
        </w:r>
        <w:r>
          <w:rPr>
            <w:noProof/>
            <w:webHidden/>
          </w:rPr>
          <w:fldChar w:fldCharType="end"/>
        </w:r>
      </w:hyperlink>
    </w:p>
    <w:p w14:paraId="36C4AD4C" w14:textId="4B355995" w:rsidR="00B53D6A" w:rsidRDefault="00B53D6A">
      <w:pPr>
        <w:pStyle w:val="TOC2"/>
        <w:rPr>
          <w:rFonts w:asciiTheme="minorHAnsi" w:eastAsiaTheme="minorEastAsia" w:hAnsiTheme="minorHAnsi" w:cstheme="minorBidi"/>
          <w:b w:val="0"/>
          <w:noProof/>
          <w:sz w:val="22"/>
          <w:szCs w:val="22"/>
        </w:rPr>
      </w:pPr>
      <w:hyperlink w:anchor="_Toc169521595" w:history="1">
        <w:r w:rsidRPr="00564736">
          <w:rPr>
            <w:rStyle w:val="Hyperlink"/>
            <w:noProof/>
          </w:rPr>
          <w:t>3.2</w:t>
        </w:r>
        <w:r>
          <w:rPr>
            <w:rFonts w:asciiTheme="minorHAnsi" w:eastAsiaTheme="minorEastAsia" w:hAnsiTheme="minorHAnsi" w:cstheme="minorBidi"/>
            <w:b w:val="0"/>
            <w:noProof/>
            <w:sz w:val="22"/>
            <w:szCs w:val="22"/>
          </w:rPr>
          <w:tab/>
        </w:r>
        <w:r w:rsidRPr="00564736">
          <w:rPr>
            <w:rStyle w:val="Hyperlink"/>
            <w:noProof/>
          </w:rPr>
          <w:t>Taxation</w:t>
        </w:r>
        <w:r>
          <w:rPr>
            <w:noProof/>
            <w:webHidden/>
          </w:rPr>
          <w:tab/>
        </w:r>
        <w:r>
          <w:rPr>
            <w:noProof/>
            <w:webHidden/>
          </w:rPr>
          <w:fldChar w:fldCharType="begin"/>
        </w:r>
        <w:r>
          <w:rPr>
            <w:noProof/>
            <w:webHidden/>
          </w:rPr>
          <w:instrText xml:space="preserve"> PAGEREF _Toc169521595 \h </w:instrText>
        </w:r>
        <w:r>
          <w:rPr>
            <w:noProof/>
            <w:webHidden/>
          </w:rPr>
        </w:r>
        <w:r>
          <w:rPr>
            <w:noProof/>
            <w:webHidden/>
          </w:rPr>
          <w:fldChar w:fldCharType="separate"/>
        </w:r>
        <w:r>
          <w:rPr>
            <w:noProof/>
            <w:webHidden/>
          </w:rPr>
          <w:t>10</w:t>
        </w:r>
        <w:r>
          <w:rPr>
            <w:noProof/>
            <w:webHidden/>
          </w:rPr>
          <w:fldChar w:fldCharType="end"/>
        </w:r>
      </w:hyperlink>
    </w:p>
    <w:p w14:paraId="323920A4" w14:textId="2E7BBEC3" w:rsidR="00B53D6A" w:rsidRDefault="00B53D6A">
      <w:pPr>
        <w:pStyle w:val="TOC2"/>
        <w:rPr>
          <w:rFonts w:asciiTheme="minorHAnsi" w:eastAsiaTheme="minorEastAsia" w:hAnsiTheme="minorHAnsi" w:cstheme="minorBidi"/>
          <w:b w:val="0"/>
          <w:noProof/>
          <w:sz w:val="22"/>
          <w:szCs w:val="22"/>
        </w:rPr>
      </w:pPr>
      <w:hyperlink w:anchor="_Toc169521596" w:history="1">
        <w:r w:rsidRPr="00564736">
          <w:rPr>
            <w:rStyle w:val="Hyperlink"/>
            <w:noProof/>
          </w:rPr>
          <w:t>3.3</w:t>
        </w:r>
        <w:r>
          <w:rPr>
            <w:rFonts w:asciiTheme="minorHAnsi" w:eastAsiaTheme="minorEastAsia" w:hAnsiTheme="minorHAnsi" w:cstheme="minorBidi"/>
            <w:b w:val="0"/>
            <w:noProof/>
            <w:sz w:val="22"/>
            <w:szCs w:val="22"/>
          </w:rPr>
          <w:tab/>
        </w:r>
        <w:r w:rsidRPr="00564736">
          <w:rPr>
            <w:rStyle w:val="Hyperlink"/>
            <w:noProof/>
          </w:rPr>
          <w:t>DIP Standing Charge</w:t>
        </w:r>
        <w:r>
          <w:rPr>
            <w:noProof/>
            <w:webHidden/>
          </w:rPr>
          <w:tab/>
        </w:r>
        <w:r>
          <w:rPr>
            <w:noProof/>
            <w:webHidden/>
          </w:rPr>
          <w:fldChar w:fldCharType="begin"/>
        </w:r>
        <w:r>
          <w:rPr>
            <w:noProof/>
            <w:webHidden/>
          </w:rPr>
          <w:instrText xml:space="preserve"> PAGEREF _Toc169521596 \h </w:instrText>
        </w:r>
        <w:r>
          <w:rPr>
            <w:noProof/>
            <w:webHidden/>
          </w:rPr>
        </w:r>
        <w:r>
          <w:rPr>
            <w:noProof/>
            <w:webHidden/>
          </w:rPr>
          <w:fldChar w:fldCharType="separate"/>
        </w:r>
        <w:r>
          <w:rPr>
            <w:noProof/>
            <w:webHidden/>
          </w:rPr>
          <w:t>10</w:t>
        </w:r>
        <w:r>
          <w:rPr>
            <w:noProof/>
            <w:webHidden/>
          </w:rPr>
          <w:fldChar w:fldCharType="end"/>
        </w:r>
      </w:hyperlink>
    </w:p>
    <w:p w14:paraId="54A5F9DC" w14:textId="2775154A" w:rsidR="00B53D6A" w:rsidRDefault="00B53D6A">
      <w:pPr>
        <w:pStyle w:val="TOC2"/>
        <w:rPr>
          <w:rFonts w:asciiTheme="minorHAnsi" w:eastAsiaTheme="minorEastAsia" w:hAnsiTheme="minorHAnsi" w:cstheme="minorBidi"/>
          <w:b w:val="0"/>
          <w:noProof/>
          <w:sz w:val="22"/>
          <w:szCs w:val="22"/>
        </w:rPr>
      </w:pPr>
      <w:hyperlink w:anchor="_Toc169521597" w:history="1">
        <w:r w:rsidRPr="00564736">
          <w:rPr>
            <w:rStyle w:val="Hyperlink"/>
            <w:noProof/>
          </w:rPr>
          <w:t>3.4</w:t>
        </w:r>
        <w:r>
          <w:rPr>
            <w:rFonts w:asciiTheme="minorHAnsi" w:eastAsiaTheme="minorEastAsia" w:hAnsiTheme="minorHAnsi" w:cstheme="minorBidi"/>
            <w:b w:val="0"/>
            <w:noProof/>
            <w:sz w:val="22"/>
            <w:szCs w:val="22"/>
          </w:rPr>
          <w:tab/>
        </w:r>
        <w:r w:rsidRPr="00564736">
          <w:rPr>
            <w:rStyle w:val="Hyperlink"/>
            <w:noProof/>
          </w:rPr>
          <w:t>Determination of Funding Shares</w:t>
        </w:r>
        <w:r>
          <w:rPr>
            <w:noProof/>
            <w:webHidden/>
          </w:rPr>
          <w:tab/>
        </w:r>
        <w:r>
          <w:rPr>
            <w:noProof/>
            <w:webHidden/>
          </w:rPr>
          <w:fldChar w:fldCharType="begin"/>
        </w:r>
        <w:r>
          <w:rPr>
            <w:noProof/>
            <w:webHidden/>
          </w:rPr>
          <w:instrText xml:space="preserve"> PAGEREF _Toc169521597 \h </w:instrText>
        </w:r>
        <w:r>
          <w:rPr>
            <w:noProof/>
            <w:webHidden/>
          </w:rPr>
        </w:r>
        <w:r>
          <w:rPr>
            <w:noProof/>
            <w:webHidden/>
          </w:rPr>
          <w:fldChar w:fldCharType="separate"/>
        </w:r>
        <w:r>
          <w:rPr>
            <w:noProof/>
            <w:webHidden/>
          </w:rPr>
          <w:t>12</w:t>
        </w:r>
        <w:r>
          <w:rPr>
            <w:noProof/>
            <w:webHidden/>
          </w:rPr>
          <w:fldChar w:fldCharType="end"/>
        </w:r>
      </w:hyperlink>
    </w:p>
    <w:p w14:paraId="7E6F554B" w14:textId="77F85B81" w:rsidR="00B53D6A" w:rsidRDefault="00B53D6A">
      <w:pPr>
        <w:pStyle w:val="TOC2"/>
        <w:rPr>
          <w:rFonts w:asciiTheme="minorHAnsi" w:eastAsiaTheme="minorEastAsia" w:hAnsiTheme="minorHAnsi" w:cstheme="minorBidi"/>
          <w:b w:val="0"/>
          <w:noProof/>
          <w:sz w:val="22"/>
          <w:szCs w:val="22"/>
        </w:rPr>
      </w:pPr>
      <w:hyperlink w:anchor="_Toc169521598" w:history="1">
        <w:r w:rsidRPr="00564736">
          <w:rPr>
            <w:rStyle w:val="Hyperlink"/>
            <w:noProof/>
          </w:rPr>
          <w:t>3.5</w:t>
        </w:r>
        <w:r>
          <w:rPr>
            <w:rFonts w:asciiTheme="minorHAnsi" w:eastAsiaTheme="minorEastAsia" w:hAnsiTheme="minorHAnsi" w:cstheme="minorBidi"/>
            <w:b w:val="0"/>
            <w:noProof/>
            <w:sz w:val="22"/>
            <w:szCs w:val="22"/>
          </w:rPr>
          <w:tab/>
        </w:r>
        <w:r w:rsidRPr="00564736">
          <w:rPr>
            <w:rStyle w:val="Hyperlink"/>
            <w:noProof/>
          </w:rPr>
          <w:t>DIP Non-Standing Charges (DNSC)</w:t>
        </w:r>
        <w:r>
          <w:rPr>
            <w:noProof/>
            <w:webHidden/>
          </w:rPr>
          <w:tab/>
        </w:r>
        <w:r>
          <w:rPr>
            <w:noProof/>
            <w:webHidden/>
          </w:rPr>
          <w:fldChar w:fldCharType="begin"/>
        </w:r>
        <w:r>
          <w:rPr>
            <w:noProof/>
            <w:webHidden/>
          </w:rPr>
          <w:instrText xml:space="preserve"> PAGEREF _Toc169521598 \h </w:instrText>
        </w:r>
        <w:r>
          <w:rPr>
            <w:noProof/>
            <w:webHidden/>
          </w:rPr>
        </w:r>
        <w:r>
          <w:rPr>
            <w:noProof/>
            <w:webHidden/>
          </w:rPr>
          <w:fldChar w:fldCharType="separate"/>
        </w:r>
        <w:r>
          <w:rPr>
            <w:noProof/>
            <w:webHidden/>
          </w:rPr>
          <w:t>12</w:t>
        </w:r>
        <w:r>
          <w:rPr>
            <w:noProof/>
            <w:webHidden/>
          </w:rPr>
          <w:fldChar w:fldCharType="end"/>
        </w:r>
      </w:hyperlink>
    </w:p>
    <w:p w14:paraId="10281F6D" w14:textId="51F79FA0" w:rsidR="00B53D6A" w:rsidRDefault="00B53D6A">
      <w:pPr>
        <w:pStyle w:val="TOC2"/>
        <w:rPr>
          <w:rFonts w:asciiTheme="minorHAnsi" w:eastAsiaTheme="minorEastAsia" w:hAnsiTheme="minorHAnsi" w:cstheme="minorBidi"/>
          <w:b w:val="0"/>
          <w:noProof/>
          <w:sz w:val="22"/>
          <w:szCs w:val="22"/>
        </w:rPr>
      </w:pPr>
      <w:hyperlink w:anchor="_Toc169521599" w:history="1">
        <w:r w:rsidRPr="00564736">
          <w:rPr>
            <w:rStyle w:val="Hyperlink"/>
            <w:noProof/>
          </w:rPr>
          <w:t>3.6</w:t>
        </w:r>
        <w:r>
          <w:rPr>
            <w:rFonts w:asciiTheme="minorHAnsi" w:eastAsiaTheme="minorEastAsia" w:hAnsiTheme="minorHAnsi" w:cstheme="minorBidi"/>
            <w:b w:val="0"/>
            <w:noProof/>
            <w:sz w:val="22"/>
            <w:szCs w:val="22"/>
          </w:rPr>
          <w:tab/>
        </w:r>
        <w:r w:rsidRPr="00564736">
          <w:rPr>
            <w:rStyle w:val="Hyperlink"/>
            <w:noProof/>
          </w:rPr>
          <w:t>DIP Non-Core Service costs</w:t>
        </w:r>
        <w:r>
          <w:rPr>
            <w:noProof/>
            <w:webHidden/>
          </w:rPr>
          <w:tab/>
        </w:r>
        <w:r>
          <w:rPr>
            <w:noProof/>
            <w:webHidden/>
          </w:rPr>
          <w:fldChar w:fldCharType="begin"/>
        </w:r>
        <w:r>
          <w:rPr>
            <w:noProof/>
            <w:webHidden/>
          </w:rPr>
          <w:instrText xml:space="preserve"> PAGEREF _Toc169521599 \h </w:instrText>
        </w:r>
        <w:r>
          <w:rPr>
            <w:noProof/>
            <w:webHidden/>
          </w:rPr>
        </w:r>
        <w:r>
          <w:rPr>
            <w:noProof/>
            <w:webHidden/>
          </w:rPr>
          <w:fldChar w:fldCharType="separate"/>
        </w:r>
        <w:r>
          <w:rPr>
            <w:noProof/>
            <w:webHidden/>
          </w:rPr>
          <w:t>14</w:t>
        </w:r>
        <w:r>
          <w:rPr>
            <w:noProof/>
            <w:webHidden/>
          </w:rPr>
          <w:fldChar w:fldCharType="end"/>
        </w:r>
      </w:hyperlink>
    </w:p>
    <w:p w14:paraId="6E4A51C4" w14:textId="18A4004C" w:rsidR="00B53D6A" w:rsidRDefault="00B53D6A">
      <w:pPr>
        <w:pStyle w:val="TOC2"/>
        <w:rPr>
          <w:rFonts w:asciiTheme="minorHAnsi" w:eastAsiaTheme="minorEastAsia" w:hAnsiTheme="minorHAnsi" w:cstheme="minorBidi"/>
          <w:b w:val="0"/>
          <w:noProof/>
          <w:sz w:val="22"/>
          <w:szCs w:val="22"/>
        </w:rPr>
      </w:pPr>
      <w:hyperlink w:anchor="_Toc169521600" w:history="1">
        <w:r w:rsidRPr="00564736">
          <w:rPr>
            <w:rStyle w:val="Hyperlink"/>
            <w:noProof/>
          </w:rPr>
          <w:t>3.7</w:t>
        </w:r>
        <w:r>
          <w:rPr>
            <w:rFonts w:asciiTheme="minorHAnsi" w:eastAsiaTheme="minorEastAsia" w:hAnsiTheme="minorHAnsi" w:cstheme="minorBidi"/>
            <w:b w:val="0"/>
            <w:noProof/>
            <w:sz w:val="22"/>
            <w:szCs w:val="22"/>
          </w:rPr>
          <w:tab/>
        </w:r>
        <w:r w:rsidRPr="00564736">
          <w:rPr>
            <w:rStyle w:val="Hyperlink"/>
            <w:noProof/>
          </w:rPr>
          <w:t>Monthly Invoices</w:t>
        </w:r>
        <w:r>
          <w:rPr>
            <w:noProof/>
            <w:webHidden/>
          </w:rPr>
          <w:tab/>
        </w:r>
        <w:r>
          <w:rPr>
            <w:noProof/>
            <w:webHidden/>
          </w:rPr>
          <w:fldChar w:fldCharType="begin"/>
        </w:r>
        <w:r>
          <w:rPr>
            <w:noProof/>
            <w:webHidden/>
          </w:rPr>
          <w:instrText xml:space="preserve"> PAGEREF _Toc169521600 \h </w:instrText>
        </w:r>
        <w:r>
          <w:rPr>
            <w:noProof/>
            <w:webHidden/>
          </w:rPr>
        </w:r>
        <w:r>
          <w:rPr>
            <w:noProof/>
            <w:webHidden/>
          </w:rPr>
          <w:fldChar w:fldCharType="separate"/>
        </w:r>
        <w:r>
          <w:rPr>
            <w:noProof/>
            <w:webHidden/>
          </w:rPr>
          <w:t>15</w:t>
        </w:r>
        <w:r>
          <w:rPr>
            <w:noProof/>
            <w:webHidden/>
          </w:rPr>
          <w:fldChar w:fldCharType="end"/>
        </w:r>
      </w:hyperlink>
    </w:p>
    <w:p w14:paraId="342FBCBF" w14:textId="1A6B46F5" w:rsidR="00B53D6A" w:rsidRDefault="00B53D6A">
      <w:pPr>
        <w:pStyle w:val="TOC2"/>
        <w:rPr>
          <w:rFonts w:asciiTheme="minorHAnsi" w:eastAsiaTheme="minorEastAsia" w:hAnsiTheme="minorHAnsi" w:cstheme="minorBidi"/>
          <w:b w:val="0"/>
          <w:noProof/>
          <w:sz w:val="22"/>
          <w:szCs w:val="22"/>
        </w:rPr>
      </w:pPr>
      <w:hyperlink w:anchor="_Toc169521601" w:history="1">
        <w:r w:rsidRPr="00564736">
          <w:rPr>
            <w:rStyle w:val="Hyperlink"/>
            <w:noProof/>
          </w:rPr>
          <w:t>3.8</w:t>
        </w:r>
        <w:r>
          <w:rPr>
            <w:rFonts w:asciiTheme="minorHAnsi" w:eastAsiaTheme="minorEastAsia" w:hAnsiTheme="minorHAnsi" w:cstheme="minorBidi"/>
            <w:b w:val="0"/>
            <w:noProof/>
            <w:sz w:val="22"/>
            <w:szCs w:val="22"/>
          </w:rPr>
          <w:tab/>
        </w:r>
        <w:r w:rsidRPr="00564736">
          <w:rPr>
            <w:rStyle w:val="Hyperlink"/>
            <w:noProof/>
          </w:rPr>
          <w:t>Annual reconciliation</w:t>
        </w:r>
        <w:r>
          <w:rPr>
            <w:noProof/>
            <w:webHidden/>
          </w:rPr>
          <w:tab/>
        </w:r>
        <w:r>
          <w:rPr>
            <w:noProof/>
            <w:webHidden/>
          </w:rPr>
          <w:fldChar w:fldCharType="begin"/>
        </w:r>
        <w:r>
          <w:rPr>
            <w:noProof/>
            <w:webHidden/>
          </w:rPr>
          <w:instrText xml:space="preserve"> PAGEREF _Toc169521601 \h </w:instrText>
        </w:r>
        <w:r>
          <w:rPr>
            <w:noProof/>
            <w:webHidden/>
          </w:rPr>
        </w:r>
        <w:r>
          <w:rPr>
            <w:noProof/>
            <w:webHidden/>
          </w:rPr>
          <w:fldChar w:fldCharType="separate"/>
        </w:r>
        <w:r>
          <w:rPr>
            <w:noProof/>
            <w:webHidden/>
          </w:rPr>
          <w:t>16</w:t>
        </w:r>
        <w:r>
          <w:rPr>
            <w:noProof/>
            <w:webHidden/>
          </w:rPr>
          <w:fldChar w:fldCharType="end"/>
        </w:r>
      </w:hyperlink>
    </w:p>
    <w:p w14:paraId="2668BEA2" w14:textId="6688786F" w:rsidR="00B53D6A" w:rsidRDefault="00B53D6A">
      <w:pPr>
        <w:pStyle w:val="TOC1"/>
        <w:rPr>
          <w:rFonts w:asciiTheme="minorHAnsi" w:eastAsiaTheme="minorEastAsia" w:hAnsiTheme="minorHAnsi" w:cstheme="minorBidi"/>
          <w:b w:val="0"/>
          <w:noProof/>
          <w:sz w:val="22"/>
          <w:szCs w:val="22"/>
        </w:rPr>
      </w:pPr>
      <w:hyperlink w:anchor="_Toc169521602" w:history="1">
        <w:r w:rsidRPr="00564736">
          <w:rPr>
            <w:rStyle w:val="Hyperlink"/>
            <w:noProof/>
          </w:rPr>
          <w:t>4</w:t>
        </w:r>
        <w:r>
          <w:rPr>
            <w:rFonts w:asciiTheme="minorHAnsi" w:eastAsiaTheme="minorEastAsia" w:hAnsiTheme="minorHAnsi" w:cstheme="minorBidi"/>
            <w:b w:val="0"/>
            <w:noProof/>
            <w:sz w:val="22"/>
            <w:szCs w:val="22"/>
          </w:rPr>
          <w:tab/>
        </w:r>
        <w:r w:rsidRPr="00564736">
          <w:rPr>
            <w:rStyle w:val="Hyperlink"/>
            <w:noProof/>
          </w:rPr>
          <w:t>Payment of DIP Charges</w:t>
        </w:r>
        <w:r>
          <w:rPr>
            <w:noProof/>
            <w:webHidden/>
          </w:rPr>
          <w:tab/>
        </w:r>
        <w:r>
          <w:rPr>
            <w:noProof/>
            <w:webHidden/>
          </w:rPr>
          <w:fldChar w:fldCharType="begin"/>
        </w:r>
        <w:r>
          <w:rPr>
            <w:noProof/>
            <w:webHidden/>
          </w:rPr>
          <w:instrText xml:space="preserve"> PAGEREF _Toc169521602 \h </w:instrText>
        </w:r>
        <w:r>
          <w:rPr>
            <w:noProof/>
            <w:webHidden/>
          </w:rPr>
        </w:r>
        <w:r>
          <w:rPr>
            <w:noProof/>
            <w:webHidden/>
          </w:rPr>
          <w:fldChar w:fldCharType="separate"/>
        </w:r>
        <w:r>
          <w:rPr>
            <w:noProof/>
            <w:webHidden/>
          </w:rPr>
          <w:t>18</w:t>
        </w:r>
        <w:r>
          <w:rPr>
            <w:noProof/>
            <w:webHidden/>
          </w:rPr>
          <w:fldChar w:fldCharType="end"/>
        </w:r>
      </w:hyperlink>
    </w:p>
    <w:p w14:paraId="1B661F20" w14:textId="5475C0CF" w:rsidR="00B53D6A" w:rsidRDefault="00B53D6A">
      <w:pPr>
        <w:pStyle w:val="TOC2"/>
        <w:rPr>
          <w:rFonts w:asciiTheme="minorHAnsi" w:eastAsiaTheme="minorEastAsia" w:hAnsiTheme="minorHAnsi" w:cstheme="minorBidi"/>
          <w:b w:val="0"/>
          <w:noProof/>
          <w:sz w:val="22"/>
          <w:szCs w:val="22"/>
        </w:rPr>
      </w:pPr>
      <w:hyperlink w:anchor="_Toc169521603" w:history="1">
        <w:r w:rsidRPr="00564736">
          <w:rPr>
            <w:rStyle w:val="Hyperlink"/>
            <w:noProof/>
          </w:rPr>
          <w:t>4.1</w:t>
        </w:r>
        <w:r>
          <w:rPr>
            <w:rFonts w:asciiTheme="minorHAnsi" w:eastAsiaTheme="minorEastAsia" w:hAnsiTheme="minorHAnsi" w:cstheme="minorBidi"/>
            <w:b w:val="0"/>
            <w:noProof/>
            <w:sz w:val="22"/>
            <w:szCs w:val="22"/>
          </w:rPr>
          <w:tab/>
        </w:r>
        <w:r w:rsidRPr="00564736">
          <w:rPr>
            <w:rStyle w:val="Hyperlink"/>
            <w:noProof/>
          </w:rPr>
          <w:t>Bank Accounts</w:t>
        </w:r>
        <w:r>
          <w:rPr>
            <w:noProof/>
            <w:webHidden/>
          </w:rPr>
          <w:tab/>
        </w:r>
        <w:r>
          <w:rPr>
            <w:noProof/>
            <w:webHidden/>
          </w:rPr>
          <w:fldChar w:fldCharType="begin"/>
        </w:r>
        <w:r>
          <w:rPr>
            <w:noProof/>
            <w:webHidden/>
          </w:rPr>
          <w:instrText xml:space="preserve"> PAGEREF _Toc169521603 \h </w:instrText>
        </w:r>
        <w:r>
          <w:rPr>
            <w:noProof/>
            <w:webHidden/>
          </w:rPr>
        </w:r>
        <w:r>
          <w:rPr>
            <w:noProof/>
            <w:webHidden/>
          </w:rPr>
          <w:fldChar w:fldCharType="separate"/>
        </w:r>
        <w:r>
          <w:rPr>
            <w:noProof/>
            <w:webHidden/>
          </w:rPr>
          <w:t>18</w:t>
        </w:r>
        <w:r>
          <w:rPr>
            <w:noProof/>
            <w:webHidden/>
          </w:rPr>
          <w:fldChar w:fldCharType="end"/>
        </w:r>
      </w:hyperlink>
    </w:p>
    <w:p w14:paraId="37C4D309" w14:textId="1C4AFF7E" w:rsidR="00B53D6A" w:rsidRDefault="00B53D6A">
      <w:pPr>
        <w:pStyle w:val="TOC2"/>
        <w:rPr>
          <w:rFonts w:asciiTheme="minorHAnsi" w:eastAsiaTheme="minorEastAsia" w:hAnsiTheme="minorHAnsi" w:cstheme="minorBidi"/>
          <w:b w:val="0"/>
          <w:noProof/>
          <w:sz w:val="22"/>
          <w:szCs w:val="22"/>
        </w:rPr>
      </w:pPr>
      <w:hyperlink w:anchor="_Toc169521604" w:history="1">
        <w:r w:rsidRPr="00564736">
          <w:rPr>
            <w:rStyle w:val="Hyperlink"/>
            <w:noProof/>
          </w:rPr>
          <w:t>4.2</w:t>
        </w:r>
        <w:r>
          <w:rPr>
            <w:rFonts w:asciiTheme="minorHAnsi" w:eastAsiaTheme="minorEastAsia" w:hAnsiTheme="minorHAnsi" w:cstheme="minorBidi"/>
            <w:b w:val="0"/>
            <w:noProof/>
            <w:sz w:val="22"/>
            <w:szCs w:val="22"/>
          </w:rPr>
          <w:tab/>
        </w:r>
        <w:r w:rsidRPr="00564736">
          <w:rPr>
            <w:rStyle w:val="Hyperlink"/>
            <w:noProof/>
          </w:rPr>
          <w:t>Credit Cover</w:t>
        </w:r>
        <w:r>
          <w:rPr>
            <w:noProof/>
            <w:webHidden/>
          </w:rPr>
          <w:tab/>
        </w:r>
        <w:r>
          <w:rPr>
            <w:noProof/>
            <w:webHidden/>
          </w:rPr>
          <w:fldChar w:fldCharType="begin"/>
        </w:r>
        <w:r>
          <w:rPr>
            <w:noProof/>
            <w:webHidden/>
          </w:rPr>
          <w:instrText xml:space="preserve"> PAGEREF _Toc169521604 \h </w:instrText>
        </w:r>
        <w:r>
          <w:rPr>
            <w:noProof/>
            <w:webHidden/>
          </w:rPr>
        </w:r>
        <w:r>
          <w:rPr>
            <w:noProof/>
            <w:webHidden/>
          </w:rPr>
          <w:fldChar w:fldCharType="separate"/>
        </w:r>
        <w:r>
          <w:rPr>
            <w:noProof/>
            <w:webHidden/>
          </w:rPr>
          <w:t>18</w:t>
        </w:r>
        <w:r>
          <w:rPr>
            <w:noProof/>
            <w:webHidden/>
          </w:rPr>
          <w:fldChar w:fldCharType="end"/>
        </w:r>
      </w:hyperlink>
    </w:p>
    <w:p w14:paraId="14E0D3E4" w14:textId="1FB817E4" w:rsidR="00B53D6A" w:rsidRDefault="00B53D6A">
      <w:pPr>
        <w:pStyle w:val="TOC2"/>
        <w:rPr>
          <w:rFonts w:asciiTheme="minorHAnsi" w:eastAsiaTheme="minorEastAsia" w:hAnsiTheme="minorHAnsi" w:cstheme="minorBidi"/>
          <w:b w:val="0"/>
          <w:noProof/>
          <w:sz w:val="22"/>
          <w:szCs w:val="22"/>
        </w:rPr>
      </w:pPr>
      <w:hyperlink w:anchor="_Toc169521605" w:history="1">
        <w:r w:rsidRPr="00564736">
          <w:rPr>
            <w:rStyle w:val="Hyperlink"/>
            <w:noProof/>
          </w:rPr>
          <w:t>4.3</w:t>
        </w:r>
        <w:r>
          <w:rPr>
            <w:rFonts w:asciiTheme="minorHAnsi" w:eastAsiaTheme="minorEastAsia" w:hAnsiTheme="minorHAnsi" w:cstheme="minorBidi"/>
            <w:b w:val="0"/>
            <w:noProof/>
            <w:sz w:val="22"/>
            <w:szCs w:val="22"/>
          </w:rPr>
          <w:tab/>
        </w:r>
        <w:r w:rsidRPr="00564736">
          <w:rPr>
            <w:rStyle w:val="Hyperlink"/>
            <w:noProof/>
          </w:rPr>
          <w:t>Payment by DIP Payees</w:t>
        </w:r>
        <w:r>
          <w:rPr>
            <w:noProof/>
            <w:webHidden/>
          </w:rPr>
          <w:tab/>
        </w:r>
        <w:r>
          <w:rPr>
            <w:noProof/>
            <w:webHidden/>
          </w:rPr>
          <w:fldChar w:fldCharType="begin"/>
        </w:r>
        <w:r>
          <w:rPr>
            <w:noProof/>
            <w:webHidden/>
          </w:rPr>
          <w:instrText xml:space="preserve"> PAGEREF _Toc169521605 \h </w:instrText>
        </w:r>
        <w:r>
          <w:rPr>
            <w:noProof/>
            <w:webHidden/>
          </w:rPr>
        </w:r>
        <w:r>
          <w:rPr>
            <w:noProof/>
            <w:webHidden/>
          </w:rPr>
          <w:fldChar w:fldCharType="separate"/>
        </w:r>
        <w:r>
          <w:rPr>
            <w:noProof/>
            <w:webHidden/>
          </w:rPr>
          <w:t>18</w:t>
        </w:r>
        <w:r>
          <w:rPr>
            <w:noProof/>
            <w:webHidden/>
          </w:rPr>
          <w:fldChar w:fldCharType="end"/>
        </w:r>
      </w:hyperlink>
    </w:p>
    <w:p w14:paraId="102DA095" w14:textId="28916237" w:rsidR="00B53D6A" w:rsidRDefault="00B53D6A">
      <w:pPr>
        <w:pStyle w:val="TOC2"/>
        <w:rPr>
          <w:rFonts w:asciiTheme="minorHAnsi" w:eastAsiaTheme="minorEastAsia" w:hAnsiTheme="minorHAnsi" w:cstheme="minorBidi"/>
          <w:b w:val="0"/>
          <w:noProof/>
          <w:sz w:val="22"/>
          <w:szCs w:val="22"/>
        </w:rPr>
      </w:pPr>
      <w:hyperlink w:anchor="_Toc169521606" w:history="1">
        <w:r w:rsidRPr="00564736">
          <w:rPr>
            <w:rStyle w:val="Hyperlink"/>
            <w:noProof/>
          </w:rPr>
          <w:t>4.4</w:t>
        </w:r>
        <w:r>
          <w:rPr>
            <w:rFonts w:asciiTheme="minorHAnsi" w:eastAsiaTheme="minorEastAsia" w:hAnsiTheme="minorHAnsi" w:cstheme="minorBidi"/>
            <w:b w:val="0"/>
            <w:noProof/>
            <w:sz w:val="22"/>
            <w:szCs w:val="22"/>
          </w:rPr>
          <w:tab/>
        </w:r>
        <w:r w:rsidRPr="00564736">
          <w:rPr>
            <w:rStyle w:val="Hyperlink"/>
            <w:noProof/>
          </w:rPr>
          <w:t>Disputes</w:t>
        </w:r>
        <w:r>
          <w:rPr>
            <w:noProof/>
            <w:webHidden/>
          </w:rPr>
          <w:tab/>
        </w:r>
        <w:r>
          <w:rPr>
            <w:noProof/>
            <w:webHidden/>
          </w:rPr>
          <w:fldChar w:fldCharType="begin"/>
        </w:r>
        <w:r>
          <w:rPr>
            <w:noProof/>
            <w:webHidden/>
          </w:rPr>
          <w:instrText xml:space="preserve"> PAGEREF _Toc169521606 \h </w:instrText>
        </w:r>
        <w:r>
          <w:rPr>
            <w:noProof/>
            <w:webHidden/>
          </w:rPr>
        </w:r>
        <w:r>
          <w:rPr>
            <w:noProof/>
            <w:webHidden/>
          </w:rPr>
          <w:fldChar w:fldCharType="separate"/>
        </w:r>
        <w:r>
          <w:rPr>
            <w:noProof/>
            <w:webHidden/>
          </w:rPr>
          <w:t>18</w:t>
        </w:r>
        <w:r>
          <w:rPr>
            <w:noProof/>
            <w:webHidden/>
          </w:rPr>
          <w:fldChar w:fldCharType="end"/>
        </w:r>
      </w:hyperlink>
    </w:p>
    <w:p w14:paraId="417623EF" w14:textId="34CFD02D" w:rsidR="00B53D6A" w:rsidRDefault="00B53D6A">
      <w:pPr>
        <w:pStyle w:val="TOC2"/>
        <w:rPr>
          <w:rFonts w:asciiTheme="minorHAnsi" w:eastAsiaTheme="minorEastAsia" w:hAnsiTheme="minorHAnsi" w:cstheme="minorBidi"/>
          <w:b w:val="0"/>
          <w:noProof/>
          <w:sz w:val="22"/>
          <w:szCs w:val="22"/>
        </w:rPr>
      </w:pPr>
      <w:hyperlink w:anchor="_Toc169521607" w:history="1">
        <w:r w:rsidRPr="00564736">
          <w:rPr>
            <w:rStyle w:val="Hyperlink"/>
            <w:noProof/>
          </w:rPr>
          <w:t>4.5</w:t>
        </w:r>
        <w:r>
          <w:rPr>
            <w:rFonts w:asciiTheme="minorHAnsi" w:eastAsiaTheme="minorEastAsia" w:hAnsiTheme="minorHAnsi" w:cstheme="minorBidi"/>
            <w:b w:val="0"/>
            <w:noProof/>
            <w:sz w:val="22"/>
            <w:szCs w:val="22"/>
          </w:rPr>
          <w:tab/>
        </w:r>
        <w:r w:rsidRPr="00564736">
          <w:rPr>
            <w:rStyle w:val="Hyperlink"/>
            <w:noProof/>
          </w:rPr>
          <w:t>Late Payments and Bad Debt</w:t>
        </w:r>
        <w:r>
          <w:rPr>
            <w:noProof/>
            <w:webHidden/>
          </w:rPr>
          <w:tab/>
        </w:r>
        <w:r>
          <w:rPr>
            <w:noProof/>
            <w:webHidden/>
          </w:rPr>
          <w:fldChar w:fldCharType="begin"/>
        </w:r>
        <w:r>
          <w:rPr>
            <w:noProof/>
            <w:webHidden/>
          </w:rPr>
          <w:instrText xml:space="preserve"> PAGEREF _Toc169521607 \h </w:instrText>
        </w:r>
        <w:r>
          <w:rPr>
            <w:noProof/>
            <w:webHidden/>
          </w:rPr>
        </w:r>
        <w:r>
          <w:rPr>
            <w:noProof/>
            <w:webHidden/>
          </w:rPr>
          <w:fldChar w:fldCharType="separate"/>
        </w:r>
        <w:r>
          <w:rPr>
            <w:noProof/>
            <w:webHidden/>
          </w:rPr>
          <w:t>19</w:t>
        </w:r>
        <w:r>
          <w:rPr>
            <w:noProof/>
            <w:webHidden/>
          </w:rPr>
          <w:fldChar w:fldCharType="end"/>
        </w:r>
      </w:hyperlink>
    </w:p>
    <w:p w14:paraId="6C4D5D51" w14:textId="1486B685" w:rsidR="00B53D6A" w:rsidRDefault="00B53D6A">
      <w:pPr>
        <w:pStyle w:val="TOC2"/>
        <w:rPr>
          <w:rFonts w:asciiTheme="minorHAnsi" w:eastAsiaTheme="minorEastAsia" w:hAnsiTheme="minorHAnsi" w:cstheme="minorBidi"/>
          <w:b w:val="0"/>
          <w:noProof/>
          <w:sz w:val="22"/>
          <w:szCs w:val="22"/>
        </w:rPr>
      </w:pPr>
      <w:hyperlink w:anchor="_Toc169521608" w:history="1">
        <w:r w:rsidRPr="00564736">
          <w:rPr>
            <w:rStyle w:val="Hyperlink"/>
            <w:noProof/>
          </w:rPr>
          <w:t>4.6</w:t>
        </w:r>
        <w:r>
          <w:rPr>
            <w:rFonts w:asciiTheme="minorHAnsi" w:eastAsiaTheme="minorEastAsia" w:hAnsiTheme="minorHAnsi" w:cstheme="minorBidi"/>
            <w:b w:val="0"/>
            <w:noProof/>
            <w:sz w:val="22"/>
            <w:szCs w:val="22"/>
          </w:rPr>
          <w:tab/>
        </w:r>
        <w:r w:rsidRPr="00564736">
          <w:rPr>
            <w:rStyle w:val="Hyperlink"/>
            <w:noProof/>
          </w:rPr>
          <w:t>Late Payment Default Funding Share</w:t>
        </w:r>
        <w:r>
          <w:rPr>
            <w:noProof/>
            <w:webHidden/>
          </w:rPr>
          <w:tab/>
        </w:r>
        <w:r>
          <w:rPr>
            <w:noProof/>
            <w:webHidden/>
          </w:rPr>
          <w:fldChar w:fldCharType="begin"/>
        </w:r>
        <w:r>
          <w:rPr>
            <w:noProof/>
            <w:webHidden/>
          </w:rPr>
          <w:instrText xml:space="preserve"> PAGEREF _Toc169521608 \h </w:instrText>
        </w:r>
        <w:r>
          <w:rPr>
            <w:noProof/>
            <w:webHidden/>
          </w:rPr>
        </w:r>
        <w:r>
          <w:rPr>
            <w:noProof/>
            <w:webHidden/>
          </w:rPr>
          <w:fldChar w:fldCharType="separate"/>
        </w:r>
        <w:r>
          <w:rPr>
            <w:noProof/>
            <w:webHidden/>
          </w:rPr>
          <w:t>20</w:t>
        </w:r>
        <w:r>
          <w:rPr>
            <w:noProof/>
            <w:webHidden/>
          </w:rPr>
          <w:fldChar w:fldCharType="end"/>
        </w:r>
      </w:hyperlink>
    </w:p>
    <w:p w14:paraId="6F01CFEE" w14:textId="12DA982A" w:rsidR="00B53D6A" w:rsidRDefault="00B53D6A">
      <w:pPr>
        <w:pStyle w:val="TOC2"/>
        <w:rPr>
          <w:rFonts w:asciiTheme="minorHAnsi" w:eastAsiaTheme="minorEastAsia" w:hAnsiTheme="minorHAnsi" w:cstheme="minorBidi"/>
          <w:b w:val="0"/>
          <w:noProof/>
          <w:sz w:val="22"/>
          <w:szCs w:val="22"/>
        </w:rPr>
      </w:pPr>
      <w:hyperlink w:anchor="_Toc169521609" w:history="1">
        <w:r w:rsidRPr="00564736">
          <w:rPr>
            <w:rStyle w:val="Hyperlink"/>
            <w:noProof/>
          </w:rPr>
          <w:t>4.7</w:t>
        </w:r>
        <w:r>
          <w:rPr>
            <w:rFonts w:asciiTheme="minorHAnsi" w:eastAsiaTheme="minorEastAsia" w:hAnsiTheme="minorHAnsi" w:cstheme="minorBidi"/>
            <w:b w:val="0"/>
            <w:noProof/>
            <w:sz w:val="22"/>
            <w:szCs w:val="22"/>
          </w:rPr>
          <w:tab/>
        </w:r>
        <w:r w:rsidRPr="00564736">
          <w:rPr>
            <w:rStyle w:val="Hyperlink"/>
            <w:noProof/>
          </w:rPr>
          <w:t>Repayment of recovered bad debt</w:t>
        </w:r>
        <w:r>
          <w:rPr>
            <w:noProof/>
            <w:webHidden/>
          </w:rPr>
          <w:tab/>
        </w:r>
        <w:r>
          <w:rPr>
            <w:noProof/>
            <w:webHidden/>
          </w:rPr>
          <w:fldChar w:fldCharType="begin"/>
        </w:r>
        <w:r>
          <w:rPr>
            <w:noProof/>
            <w:webHidden/>
          </w:rPr>
          <w:instrText xml:space="preserve"> PAGEREF _Toc169521609 \h </w:instrText>
        </w:r>
        <w:r>
          <w:rPr>
            <w:noProof/>
            <w:webHidden/>
          </w:rPr>
        </w:r>
        <w:r>
          <w:rPr>
            <w:noProof/>
            <w:webHidden/>
          </w:rPr>
          <w:fldChar w:fldCharType="separate"/>
        </w:r>
        <w:r>
          <w:rPr>
            <w:noProof/>
            <w:webHidden/>
          </w:rPr>
          <w:t>21</w:t>
        </w:r>
        <w:r>
          <w:rPr>
            <w:noProof/>
            <w:webHidden/>
          </w:rPr>
          <w:fldChar w:fldCharType="end"/>
        </w:r>
      </w:hyperlink>
    </w:p>
    <w:p w14:paraId="3392BFB1" w14:textId="0061D6C9" w:rsidR="00B53D6A" w:rsidRDefault="00B53D6A">
      <w:pPr>
        <w:pStyle w:val="TOC2"/>
        <w:rPr>
          <w:rFonts w:asciiTheme="minorHAnsi" w:eastAsiaTheme="minorEastAsia" w:hAnsiTheme="minorHAnsi" w:cstheme="minorBidi"/>
          <w:b w:val="0"/>
          <w:noProof/>
          <w:sz w:val="22"/>
          <w:szCs w:val="22"/>
        </w:rPr>
      </w:pPr>
      <w:hyperlink w:anchor="_Toc169521610" w:history="1">
        <w:r w:rsidRPr="00564736">
          <w:rPr>
            <w:rStyle w:val="Hyperlink"/>
            <w:noProof/>
          </w:rPr>
          <w:t>4.8</w:t>
        </w:r>
        <w:r>
          <w:rPr>
            <w:rFonts w:asciiTheme="minorHAnsi" w:eastAsiaTheme="minorEastAsia" w:hAnsiTheme="minorHAnsi" w:cstheme="minorBidi"/>
            <w:b w:val="0"/>
            <w:noProof/>
            <w:sz w:val="22"/>
            <w:szCs w:val="22"/>
          </w:rPr>
          <w:tab/>
        </w:r>
        <w:r w:rsidRPr="00564736">
          <w:rPr>
            <w:rStyle w:val="Hyperlink"/>
            <w:noProof/>
          </w:rPr>
          <w:t>Late payment interest</w:t>
        </w:r>
        <w:r>
          <w:rPr>
            <w:noProof/>
            <w:webHidden/>
          </w:rPr>
          <w:tab/>
        </w:r>
        <w:r>
          <w:rPr>
            <w:noProof/>
            <w:webHidden/>
          </w:rPr>
          <w:fldChar w:fldCharType="begin"/>
        </w:r>
        <w:r>
          <w:rPr>
            <w:noProof/>
            <w:webHidden/>
          </w:rPr>
          <w:instrText xml:space="preserve"> PAGEREF _Toc169521610 \h </w:instrText>
        </w:r>
        <w:r>
          <w:rPr>
            <w:noProof/>
            <w:webHidden/>
          </w:rPr>
        </w:r>
        <w:r>
          <w:rPr>
            <w:noProof/>
            <w:webHidden/>
          </w:rPr>
          <w:fldChar w:fldCharType="separate"/>
        </w:r>
        <w:r>
          <w:rPr>
            <w:noProof/>
            <w:webHidden/>
          </w:rPr>
          <w:t>21</w:t>
        </w:r>
        <w:r>
          <w:rPr>
            <w:noProof/>
            <w:webHidden/>
          </w:rPr>
          <w:fldChar w:fldCharType="end"/>
        </w:r>
      </w:hyperlink>
    </w:p>
    <w:p w14:paraId="1FD0C83D" w14:textId="17ABC5E9" w:rsidR="00B53D6A" w:rsidRDefault="00B53D6A">
      <w:pPr>
        <w:pStyle w:val="TOC2"/>
        <w:rPr>
          <w:rFonts w:asciiTheme="minorHAnsi" w:eastAsiaTheme="minorEastAsia" w:hAnsiTheme="minorHAnsi" w:cstheme="minorBidi"/>
          <w:b w:val="0"/>
          <w:noProof/>
          <w:sz w:val="22"/>
          <w:szCs w:val="22"/>
        </w:rPr>
      </w:pPr>
      <w:hyperlink w:anchor="_Toc169521611" w:history="1">
        <w:r w:rsidRPr="00564736">
          <w:rPr>
            <w:rStyle w:val="Hyperlink"/>
            <w:noProof/>
          </w:rPr>
          <w:t>4.9</w:t>
        </w:r>
        <w:r>
          <w:rPr>
            <w:rFonts w:asciiTheme="minorHAnsi" w:eastAsiaTheme="minorEastAsia" w:hAnsiTheme="minorHAnsi" w:cstheme="minorBidi"/>
            <w:b w:val="0"/>
            <w:noProof/>
            <w:sz w:val="22"/>
            <w:szCs w:val="22"/>
          </w:rPr>
          <w:tab/>
        </w:r>
        <w:r w:rsidRPr="00564736">
          <w:rPr>
            <w:rStyle w:val="Hyperlink"/>
            <w:noProof/>
          </w:rPr>
          <w:t>Emergency Funding</w:t>
        </w:r>
        <w:r>
          <w:rPr>
            <w:noProof/>
            <w:webHidden/>
          </w:rPr>
          <w:tab/>
        </w:r>
        <w:r>
          <w:rPr>
            <w:noProof/>
            <w:webHidden/>
          </w:rPr>
          <w:fldChar w:fldCharType="begin"/>
        </w:r>
        <w:r>
          <w:rPr>
            <w:noProof/>
            <w:webHidden/>
          </w:rPr>
          <w:instrText xml:space="preserve"> PAGEREF _Toc169521611 \h </w:instrText>
        </w:r>
        <w:r>
          <w:rPr>
            <w:noProof/>
            <w:webHidden/>
          </w:rPr>
        </w:r>
        <w:r>
          <w:rPr>
            <w:noProof/>
            <w:webHidden/>
          </w:rPr>
          <w:fldChar w:fldCharType="separate"/>
        </w:r>
        <w:r>
          <w:rPr>
            <w:noProof/>
            <w:webHidden/>
          </w:rPr>
          <w:t>21</w:t>
        </w:r>
        <w:r>
          <w:rPr>
            <w:noProof/>
            <w:webHidden/>
          </w:rPr>
          <w:fldChar w:fldCharType="end"/>
        </w:r>
      </w:hyperlink>
    </w:p>
    <w:p w14:paraId="0CC1DBB2" w14:textId="3DB71DDA" w:rsidR="00F21594" w:rsidRPr="00F21594" w:rsidRDefault="00F21594" w:rsidP="00F21594">
      <w:r>
        <w:rPr>
          <w:color w:val="2B579A"/>
          <w:shd w:val="clear" w:color="auto" w:fill="E6E6E6"/>
        </w:rPr>
        <w:fldChar w:fldCharType="end"/>
      </w:r>
    </w:p>
    <w:p w14:paraId="0415F477" w14:textId="77777777" w:rsidR="009071A0" w:rsidRPr="008B02B9" w:rsidRDefault="00893101" w:rsidP="00C510BB">
      <w:pPr>
        <w:pStyle w:val="Heading1"/>
      </w:pPr>
      <w:bookmarkStart w:id="7" w:name="_Toc137412325"/>
      <w:bookmarkStart w:id="8" w:name="_Toc137412530"/>
      <w:bookmarkStart w:id="9" w:name="_Toc137412610"/>
      <w:bookmarkStart w:id="10" w:name="_Toc169521584"/>
      <w:r w:rsidRPr="008B02B9">
        <w:lastRenderedPageBreak/>
        <w:t>Introduction</w:t>
      </w:r>
      <w:bookmarkEnd w:id="7"/>
      <w:bookmarkEnd w:id="8"/>
      <w:bookmarkEnd w:id="9"/>
      <w:bookmarkEnd w:id="10"/>
    </w:p>
    <w:p w14:paraId="59502091" w14:textId="77777777" w:rsidR="00F3390A" w:rsidRDefault="00893101" w:rsidP="009B1CB2">
      <w:pPr>
        <w:pStyle w:val="Heading2"/>
      </w:pPr>
      <w:bookmarkStart w:id="11" w:name="_Toc137412326"/>
      <w:bookmarkStart w:id="12" w:name="_Toc137412531"/>
      <w:bookmarkStart w:id="13" w:name="_Toc137412611"/>
      <w:bookmarkStart w:id="14" w:name="_Toc169521585"/>
      <w:r>
        <w:t>Scope and Purpose</w:t>
      </w:r>
      <w:bookmarkEnd w:id="11"/>
      <w:bookmarkEnd w:id="12"/>
      <w:bookmarkEnd w:id="13"/>
      <w:bookmarkEnd w:id="14"/>
    </w:p>
    <w:p w14:paraId="71FE4260" w14:textId="77777777" w:rsidR="00893101" w:rsidRPr="00C518FB" w:rsidRDefault="00893101" w:rsidP="00C04307">
      <w:pPr>
        <w:pStyle w:val="Paragraph"/>
      </w:pPr>
      <w:bookmarkStart w:id="15" w:name="_Toc137412327"/>
      <w:bookmarkStart w:id="16" w:name="_Toc137412612"/>
      <w:r w:rsidRPr="00C518FB">
        <w:t xml:space="preserve">The purpose of this DSD is to set out the </w:t>
      </w:r>
      <w:r w:rsidR="00814DEA" w:rsidRPr="00C518FB">
        <w:t xml:space="preserve">rules and processes the DIP </w:t>
      </w:r>
      <w:r w:rsidR="001A7006" w:rsidRPr="00C518FB">
        <w:t xml:space="preserve">Participants </w:t>
      </w:r>
      <w:r w:rsidR="00814DEA" w:rsidRPr="00C518FB">
        <w:t xml:space="preserve">are expected to adhere to in </w:t>
      </w:r>
      <w:r w:rsidR="00862837" w:rsidRPr="00C04307">
        <w:t>relation</w:t>
      </w:r>
      <w:r w:rsidR="00814DEA" w:rsidRPr="00C518FB">
        <w:t xml:space="preserve"> to the DIP</w:t>
      </w:r>
      <w:r w:rsidRPr="00C518FB">
        <w:t>.</w:t>
      </w:r>
      <w:bookmarkEnd w:id="15"/>
      <w:bookmarkEnd w:id="16"/>
      <w:r w:rsidRPr="00C518FB">
        <w:t xml:space="preserve"> </w:t>
      </w:r>
    </w:p>
    <w:p w14:paraId="6C1CDCE5" w14:textId="36FA9C9A" w:rsidR="00BB6659" w:rsidRPr="00C518FB" w:rsidRDefault="00BB6659" w:rsidP="00C04307">
      <w:pPr>
        <w:pStyle w:val="Paragraph"/>
      </w:pPr>
      <w:r w:rsidRPr="00C518FB">
        <w:t xml:space="preserve">The budgeting arrangements cover the process by which the DIP </w:t>
      </w:r>
      <w:r w:rsidR="00C32FE9" w:rsidRPr="00C518FB">
        <w:t xml:space="preserve">Manager </w:t>
      </w:r>
      <w:r w:rsidRPr="00C518FB">
        <w:t>shall set the forthcoming DIP Budget, consult with DIP Users and interested stakeholder</w:t>
      </w:r>
      <w:r w:rsidR="00C518FB" w:rsidRPr="00C518FB">
        <w:t>s</w:t>
      </w:r>
      <w:r w:rsidRPr="00C518FB">
        <w:t xml:space="preserve"> and finalise the DIP Budget following consultation.</w:t>
      </w:r>
    </w:p>
    <w:p w14:paraId="424545B3" w14:textId="134C8B72" w:rsidR="00D61547" w:rsidRPr="00C518FB" w:rsidRDefault="6B00000F" w:rsidP="00C04307">
      <w:pPr>
        <w:pStyle w:val="Paragraph"/>
      </w:pPr>
      <w:r>
        <w:t xml:space="preserve">The funding arrangements are set to ensure all DIP Costs are </w:t>
      </w:r>
      <w:r w:rsidR="41FAF69B">
        <w:t>met</w:t>
      </w:r>
      <w:r w:rsidR="659CF707">
        <w:t xml:space="preserve"> by DIP Payees</w:t>
      </w:r>
      <w:r w:rsidR="41FAF69B">
        <w:t xml:space="preserve">, while ensuring that the DIP Manager does not </w:t>
      </w:r>
      <w:r w:rsidR="3CEDBDF3">
        <w:t>make a profit or a loss in any DIP Year</w:t>
      </w:r>
      <w:r w:rsidR="28F5F9F8">
        <w:t xml:space="preserve"> (but may retain funds for multi-year investments where part of the DIP Budget)</w:t>
      </w:r>
      <w:r w:rsidR="41FAF69B">
        <w:t>.</w:t>
      </w:r>
    </w:p>
    <w:p w14:paraId="587B405B" w14:textId="77777777" w:rsidR="00C518FB" w:rsidRPr="00C518FB" w:rsidRDefault="00BE58CE" w:rsidP="00C04307">
      <w:pPr>
        <w:pStyle w:val="Paragraph"/>
      </w:pPr>
      <w:r w:rsidRPr="00C518FB">
        <w:t xml:space="preserve">DIP Costs shall be payable by </w:t>
      </w:r>
      <w:r w:rsidR="00AC4FAF" w:rsidRPr="00C518FB">
        <w:t xml:space="preserve">DIP Payees. </w:t>
      </w:r>
      <w:r w:rsidR="009A29D5" w:rsidRPr="00C518FB">
        <w:t xml:space="preserve">A </w:t>
      </w:r>
      <w:r w:rsidR="00AC4FAF" w:rsidRPr="00C518FB">
        <w:t xml:space="preserve">DIP Payee </w:t>
      </w:r>
      <w:r w:rsidR="009A29D5" w:rsidRPr="00C518FB">
        <w:t>is a</w:t>
      </w:r>
      <w:r w:rsidRPr="00C518FB">
        <w:t xml:space="preserve"> DIP User that </w:t>
      </w:r>
      <w:r w:rsidR="3ADA4832" w:rsidRPr="00C518FB">
        <w:t xml:space="preserve">is required </w:t>
      </w:r>
      <w:r w:rsidR="009A29D5" w:rsidRPr="00C518FB">
        <w:t xml:space="preserve">to pay a share of DIP Costs. </w:t>
      </w:r>
      <w:r w:rsidR="00FD58E8" w:rsidRPr="00C518FB">
        <w:t>DIP Payees are</w:t>
      </w:r>
      <w:r w:rsidR="00C518FB" w:rsidRPr="00C518FB">
        <w:t>:</w:t>
      </w:r>
    </w:p>
    <w:p w14:paraId="1F33ECD9" w14:textId="5CFA537B" w:rsidR="00AC4FAF" w:rsidRPr="00C04307" w:rsidRDefault="00FD58E8" w:rsidP="00C04307">
      <w:pPr>
        <w:pStyle w:val="ListParagraph"/>
        <w:numPr>
          <w:ilvl w:val="0"/>
          <w:numId w:val="116"/>
        </w:numPr>
      </w:pPr>
      <w:r w:rsidRPr="00C04307">
        <w:t xml:space="preserve">Suppliers </w:t>
      </w:r>
      <w:r w:rsidR="009A29D5" w:rsidRPr="00C04307">
        <w:t>that</w:t>
      </w:r>
      <w:r w:rsidR="00AC4FAF" w:rsidRPr="00C04307">
        <w:t xml:space="preserve"> have at least one </w:t>
      </w:r>
      <w:r w:rsidR="004142AB" w:rsidRPr="00C04307">
        <w:t>Metering Point Administration Number (</w:t>
      </w:r>
      <w:r w:rsidR="00AC4FAF" w:rsidRPr="00C04307">
        <w:t>MPAN</w:t>
      </w:r>
      <w:r w:rsidR="004142AB" w:rsidRPr="00C04307">
        <w:t>)</w:t>
      </w:r>
      <w:r w:rsidR="00AC4FAF" w:rsidRPr="00C04307">
        <w:t xml:space="preserve"> registered in </w:t>
      </w:r>
      <w:r w:rsidR="00620A73" w:rsidRPr="00C04307">
        <w:t>DIP MPAN Address Maintenance Service</w:t>
      </w:r>
      <w:r w:rsidR="00620A73" w:rsidRPr="00C04307" w:rsidDel="00620A73">
        <w:t xml:space="preserve"> </w:t>
      </w:r>
      <w:r w:rsidR="00620A73" w:rsidRPr="00C04307">
        <w:t xml:space="preserve">(DIP MAMS) </w:t>
      </w:r>
      <w:r w:rsidR="00A87DF0" w:rsidRPr="00C04307">
        <w:t>and have completed DIP On-B</w:t>
      </w:r>
      <w:r w:rsidR="00093F5B" w:rsidRPr="00C04307">
        <w:t>oarding in accordance with DSD00</w:t>
      </w:r>
      <w:r w:rsidR="00A87DF0" w:rsidRPr="00C04307">
        <w:t xml:space="preserve">2 ‘DIP Connection </w:t>
      </w:r>
      <w:r w:rsidR="003D5FB0">
        <w:t>and Operation’</w:t>
      </w:r>
      <w:r w:rsidR="00093F5B" w:rsidRPr="00C04307">
        <w:t>.</w:t>
      </w:r>
    </w:p>
    <w:p w14:paraId="253BBF11" w14:textId="77777777" w:rsidR="002220A2" w:rsidRDefault="002220A2" w:rsidP="009B1CB2">
      <w:pPr>
        <w:pStyle w:val="Heading2"/>
      </w:pPr>
      <w:bookmarkStart w:id="17" w:name="_Toc169521586"/>
      <w:r>
        <w:t>Funding Principles</w:t>
      </w:r>
      <w:bookmarkEnd w:id="17"/>
    </w:p>
    <w:p w14:paraId="176D1A00" w14:textId="77777777" w:rsidR="00C518FB" w:rsidRDefault="002220A2" w:rsidP="00C04307">
      <w:pPr>
        <w:pStyle w:val="Paragraph"/>
      </w:pPr>
      <w:r>
        <w:t>The amount to be paid by DIP Payees shall be based on</w:t>
      </w:r>
      <w:r w:rsidR="00C518FB">
        <w:t>:</w:t>
      </w:r>
      <w:r>
        <w:t xml:space="preserve"> </w:t>
      </w:r>
    </w:p>
    <w:p w14:paraId="001DC772" w14:textId="68360978" w:rsidR="002220A2" w:rsidRDefault="00A87DF0" w:rsidP="00A87DF0">
      <w:pPr>
        <w:pStyle w:val="Bullets-letters"/>
        <w:numPr>
          <w:ilvl w:val="0"/>
          <w:numId w:val="113"/>
        </w:numPr>
        <w:ind w:left="709" w:hanging="425"/>
      </w:pPr>
      <w:r>
        <w:t>t</w:t>
      </w:r>
      <w:r w:rsidR="002220A2">
        <w:t>he number of MPANs each DIP Payee has registered in the DIP</w:t>
      </w:r>
      <w:r w:rsidR="00620A73">
        <w:t xml:space="preserve"> MAMS</w:t>
      </w:r>
      <w:r w:rsidR="00C518FB">
        <w:t xml:space="preserve"> in the case of Suppliers</w:t>
      </w:r>
      <w:r w:rsidR="002220A2">
        <w:t>.</w:t>
      </w:r>
    </w:p>
    <w:p w14:paraId="117912D8" w14:textId="28EC9370" w:rsidR="002220A2" w:rsidRPr="00A87DF0" w:rsidRDefault="002220A2" w:rsidP="00C04307">
      <w:pPr>
        <w:pStyle w:val="Paragraph"/>
      </w:pPr>
      <w:r>
        <w:t xml:space="preserve">In order to minimise the costs incurred by the DIP Manager (and therefore DIP Payees), DIP </w:t>
      </w:r>
      <w:r w:rsidR="00FC7263">
        <w:t xml:space="preserve">Costs </w:t>
      </w:r>
      <w:r>
        <w:t xml:space="preserve">will be recovered using </w:t>
      </w:r>
      <w:r w:rsidR="004A1776">
        <w:t xml:space="preserve">the </w:t>
      </w:r>
      <w:r w:rsidR="004A1776" w:rsidRPr="00A87DF0">
        <w:t xml:space="preserve">provisions </w:t>
      </w:r>
      <w:r w:rsidR="00A87DF0">
        <w:t>in the DIP Supplement</w:t>
      </w:r>
      <w:r w:rsidR="004A1776" w:rsidRPr="00A87DF0">
        <w:t xml:space="preserve"> </w:t>
      </w:r>
      <w:r w:rsidR="00E870D3" w:rsidRPr="00A87DF0">
        <w:t>chapter 6</w:t>
      </w:r>
      <w:r w:rsidR="00A87DF0" w:rsidRPr="00A87DF0">
        <w:t xml:space="preserve"> ‘Cost Recovery’</w:t>
      </w:r>
      <w:r w:rsidRPr="00A87DF0">
        <w:t>.</w:t>
      </w:r>
    </w:p>
    <w:p w14:paraId="34D6C2CA" w14:textId="2FBFCB05" w:rsidR="002220A2" w:rsidRPr="00A87DF0" w:rsidRDefault="002220A2" w:rsidP="00C04307">
      <w:pPr>
        <w:pStyle w:val="Paragraph"/>
      </w:pPr>
      <w:r>
        <w:t xml:space="preserve">The DIP Manager </w:t>
      </w:r>
      <w:r w:rsidR="001A2DF1">
        <w:t xml:space="preserve">is </w:t>
      </w:r>
      <w:r>
        <w:t xml:space="preserve">not </w:t>
      </w:r>
      <w:r w:rsidR="001A2DF1">
        <w:t xml:space="preserve">intended to make a </w:t>
      </w:r>
      <w:r>
        <w:t xml:space="preserve">profit </w:t>
      </w:r>
      <w:r w:rsidR="001A2DF1">
        <w:t xml:space="preserve">or loss </w:t>
      </w:r>
      <w:r>
        <w:t xml:space="preserve">from the operation of the DIP. </w:t>
      </w:r>
      <w:r w:rsidR="00FD58E8">
        <w:t>T</w:t>
      </w:r>
      <w:r>
        <w:t xml:space="preserve">he sum of all money the DIP Manager receives from DIP Payees </w:t>
      </w:r>
      <w:r w:rsidR="00FD58E8">
        <w:t>in respect of a DIP Year (including any reconciliation) s</w:t>
      </w:r>
      <w:r>
        <w:t xml:space="preserve">hall be equal to the sum of all costs incurred by the DIP </w:t>
      </w:r>
      <w:r w:rsidRPr="00A87DF0">
        <w:t>Manager</w:t>
      </w:r>
      <w:r w:rsidR="001A2DF1" w:rsidRPr="00A87DF0">
        <w:t xml:space="preserve"> in relation to that DIP Year</w:t>
      </w:r>
      <w:r w:rsidRPr="00A87DF0">
        <w:t>.</w:t>
      </w:r>
    </w:p>
    <w:p w14:paraId="20DB422B" w14:textId="0DDEE35F" w:rsidR="002220A2" w:rsidRPr="00A87DF0" w:rsidRDefault="002220A2" w:rsidP="00C04307">
      <w:pPr>
        <w:pStyle w:val="Paragraph"/>
      </w:pPr>
      <w:r w:rsidRPr="00A87DF0">
        <w:t>All values used in the DIP Budget and in relation to DIP Costs shall be Pounds Sterling (£).</w:t>
      </w:r>
      <w:r w:rsidR="006C71DB" w:rsidRPr="00A87DF0">
        <w:t xml:space="preserve"> </w:t>
      </w:r>
      <w:r w:rsidR="00631826" w:rsidRPr="00A87DF0">
        <w:t xml:space="preserve">Amounts </w:t>
      </w:r>
      <w:r w:rsidR="006C71DB" w:rsidRPr="00A87DF0">
        <w:t>shall be calculated to 2 decimal places (i.e. the nearest penny) for invoice amounts.</w:t>
      </w:r>
    </w:p>
    <w:p w14:paraId="6C6AC890" w14:textId="3C57FF85" w:rsidR="006545B3" w:rsidRDefault="00E84E14" w:rsidP="006545B3">
      <w:pPr>
        <w:pStyle w:val="Heading1"/>
      </w:pPr>
      <w:bookmarkStart w:id="18" w:name="_Toc146577511"/>
      <w:bookmarkStart w:id="19" w:name="_Toc146119657"/>
      <w:bookmarkStart w:id="20" w:name="_Toc146122442"/>
      <w:bookmarkStart w:id="21" w:name="_Toc146577512"/>
      <w:bookmarkStart w:id="22" w:name="_Toc146119658"/>
      <w:bookmarkStart w:id="23" w:name="_Toc146122443"/>
      <w:bookmarkStart w:id="24" w:name="_Toc146577513"/>
      <w:bookmarkStart w:id="25" w:name="_Toc146119660"/>
      <w:bookmarkStart w:id="26" w:name="_Toc146122445"/>
      <w:bookmarkStart w:id="27" w:name="_Toc146577515"/>
      <w:bookmarkStart w:id="28" w:name="_Toc146119661"/>
      <w:bookmarkStart w:id="29" w:name="_Toc146122446"/>
      <w:bookmarkStart w:id="30" w:name="_Toc146577516"/>
      <w:bookmarkStart w:id="31" w:name="_Toc146119666"/>
      <w:bookmarkStart w:id="32" w:name="_Toc146122451"/>
      <w:bookmarkStart w:id="33" w:name="_Toc146577521"/>
      <w:bookmarkStart w:id="34" w:name="_Toc146119667"/>
      <w:bookmarkStart w:id="35" w:name="_Toc146122452"/>
      <w:bookmarkStart w:id="36" w:name="_Toc146577522"/>
      <w:bookmarkStart w:id="37" w:name="_Toc146119672"/>
      <w:bookmarkStart w:id="38" w:name="_Toc146122457"/>
      <w:bookmarkStart w:id="39" w:name="_Toc146577527"/>
      <w:bookmarkStart w:id="40" w:name="_Toc146119675"/>
      <w:bookmarkStart w:id="41" w:name="_Toc146122460"/>
      <w:bookmarkStart w:id="42" w:name="_Toc146577530"/>
      <w:bookmarkStart w:id="43" w:name="_Toc16952158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lastRenderedPageBreak/>
        <w:t xml:space="preserve">DIP </w:t>
      </w:r>
      <w:r w:rsidR="006545B3">
        <w:t>Budget</w:t>
      </w:r>
      <w:bookmarkEnd w:id="43"/>
    </w:p>
    <w:p w14:paraId="579D3698" w14:textId="77777777" w:rsidR="00F96676" w:rsidRDefault="003B08F2" w:rsidP="009B1CB2">
      <w:pPr>
        <w:pStyle w:val="Heading2"/>
      </w:pPr>
      <w:bookmarkStart w:id="44" w:name="_Toc169521588"/>
      <w:r>
        <w:t>Budget</w:t>
      </w:r>
      <w:r w:rsidR="00943B7A">
        <w:t xml:space="preserve"> </w:t>
      </w:r>
      <w:r w:rsidR="00E84E14">
        <w:t>composition</w:t>
      </w:r>
      <w:bookmarkEnd w:id="44"/>
    </w:p>
    <w:p w14:paraId="45444FD7" w14:textId="77777777" w:rsidR="00F96676" w:rsidRDefault="00F96676" w:rsidP="00C04307">
      <w:pPr>
        <w:pStyle w:val="Paragraph"/>
      </w:pPr>
      <w:r>
        <w:t>The DIP Budget shall consist of at least the following:</w:t>
      </w:r>
    </w:p>
    <w:p w14:paraId="286DEFCB" w14:textId="2CA9F2A7" w:rsidR="0005093A" w:rsidRDefault="00106C2B" w:rsidP="0005093A">
      <w:pPr>
        <w:pStyle w:val="Bullets-letters"/>
        <w:numPr>
          <w:ilvl w:val="0"/>
          <w:numId w:val="114"/>
        </w:numPr>
        <w:ind w:left="709" w:hanging="425"/>
      </w:pPr>
      <w:r>
        <w:t xml:space="preserve">DIP Core Service Costs as described in </w:t>
      </w:r>
      <w:r w:rsidRPr="0005093A">
        <w:t>paragraph 3.1</w:t>
      </w:r>
      <w:r w:rsidR="0005093A" w:rsidRPr="0005093A">
        <w:t>;</w:t>
      </w:r>
    </w:p>
    <w:p w14:paraId="3436496A" w14:textId="05AF12B9" w:rsidR="00F96676" w:rsidRDefault="00F96676" w:rsidP="0005093A">
      <w:pPr>
        <w:pStyle w:val="Bullets-letters"/>
        <w:numPr>
          <w:ilvl w:val="0"/>
          <w:numId w:val="114"/>
        </w:numPr>
        <w:ind w:left="709" w:hanging="425"/>
      </w:pPr>
      <w:r>
        <w:t>Other costs</w:t>
      </w:r>
      <w:r w:rsidR="00DB00D2">
        <w:t>, expenses and other outgoings for which the DIP manager may be liable in the performance of its functions</w:t>
      </w:r>
      <w:r w:rsidR="00E0662A">
        <w:t>.</w:t>
      </w:r>
    </w:p>
    <w:p w14:paraId="045BA610" w14:textId="4AB05D6F" w:rsidR="005823E1" w:rsidRDefault="005823E1" w:rsidP="009B1CB2">
      <w:pPr>
        <w:pStyle w:val="Heading2"/>
      </w:pPr>
      <w:bookmarkStart w:id="45" w:name="_Toc147173880"/>
      <w:bookmarkStart w:id="46" w:name="_Toc147913884"/>
      <w:bookmarkStart w:id="47" w:name="_Toc147913920"/>
      <w:bookmarkStart w:id="48" w:name="_Toc147173881"/>
      <w:bookmarkStart w:id="49" w:name="_Toc147913885"/>
      <w:bookmarkStart w:id="50" w:name="_Toc147913921"/>
      <w:bookmarkStart w:id="51" w:name="_Toc147173882"/>
      <w:bookmarkStart w:id="52" w:name="_Toc147913886"/>
      <w:bookmarkStart w:id="53" w:name="_Toc147913922"/>
      <w:bookmarkStart w:id="54" w:name="_Toc169521589"/>
      <w:bookmarkEnd w:id="45"/>
      <w:bookmarkEnd w:id="46"/>
      <w:bookmarkEnd w:id="47"/>
      <w:bookmarkEnd w:id="48"/>
      <w:bookmarkEnd w:id="49"/>
      <w:bookmarkEnd w:id="50"/>
      <w:bookmarkEnd w:id="51"/>
      <w:bookmarkEnd w:id="52"/>
      <w:bookmarkEnd w:id="53"/>
      <w:r>
        <w:t>Budget consultation</w:t>
      </w:r>
      <w:bookmarkEnd w:id="54"/>
    </w:p>
    <w:p w14:paraId="178DFBA9" w14:textId="113100F3" w:rsidR="005E1416" w:rsidRDefault="00B722EA" w:rsidP="00C04307">
      <w:pPr>
        <w:pStyle w:val="Paragraph"/>
      </w:pPr>
      <w:r>
        <w:t>T</w:t>
      </w:r>
      <w:r w:rsidR="005E1416">
        <w:t xml:space="preserve">he forthcoming DIP Year budget (the DIP Budget) shall be published no later than one calendar month prior to the start of the DIP Year. </w:t>
      </w:r>
      <w:r w:rsidR="00B60AD6">
        <w:t>T</w:t>
      </w:r>
      <w:r w:rsidR="005E1416">
        <w:t>he DIP Manager shall work backwards from that point to determine when best to publish the proposed DIP Budget to allow reasonable time for stakeholders to review the proposed budget and respond, and for the DIP Manager to consider their responses and follow-up (if required) before publishing the final budget</w:t>
      </w:r>
      <w:r w:rsidR="00C01E01">
        <w:t>.</w:t>
      </w:r>
    </w:p>
    <w:p w14:paraId="3B07935B" w14:textId="77777777" w:rsidR="00A67768" w:rsidRDefault="005823E1" w:rsidP="00C04307">
      <w:pPr>
        <w:pStyle w:val="Paragraph"/>
      </w:pPr>
      <w:r>
        <w:t xml:space="preserve">The DIP Budget may be included in any </w:t>
      </w:r>
      <w:r w:rsidR="007E6D21">
        <w:t xml:space="preserve">owning </w:t>
      </w:r>
      <w:r>
        <w:t>Code Body’s annual business plan and</w:t>
      </w:r>
      <w:r w:rsidR="00C425FE">
        <w:t>,</w:t>
      </w:r>
      <w:r>
        <w:t xml:space="preserve"> for the sake of efficiency, this shall be considered to be the default option. </w:t>
      </w:r>
    </w:p>
    <w:p w14:paraId="1F7974C7" w14:textId="3AF29C1D" w:rsidR="005823E1" w:rsidRDefault="00A67768" w:rsidP="00C04307">
      <w:pPr>
        <w:pStyle w:val="Paragraph"/>
      </w:pPr>
      <w:r>
        <w:t xml:space="preserve">If </w:t>
      </w:r>
      <w:r w:rsidR="005823E1">
        <w:t xml:space="preserve">the DIP </w:t>
      </w:r>
      <w:r>
        <w:t>Budget</w:t>
      </w:r>
      <w:r w:rsidR="005823E1">
        <w:t xml:space="preserve"> </w:t>
      </w:r>
      <w:r>
        <w:t xml:space="preserve">is </w:t>
      </w:r>
      <w:r w:rsidR="005823E1">
        <w:t>not include</w:t>
      </w:r>
      <w:r>
        <w:t>d</w:t>
      </w:r>
      <w:r w:rsidR="005823E1">
        <w:t xml:space="preserve"> in </w:t>
      </w:r>
      <w:r w:rsidR="00F36CAD">
        <w:t xml:space="preserve">the </w:t>
      </w:r>
      <w:r w:rsidR="00F5404D">
        <w:t xml:space="preserve">owning </w:t>
      </w:r>
      <w:r w:rsidR="005823E1">
        <w:t>Code Body</w:t>
      </w:r>
      <w:r w:rsidR="00165451">
        <w:t>’</w:t>
      </w:r>
      <w:r w:rsidR="00F5404D">
        <w:t>s</w:t>
      </w:r>
      <w:r w:rsidR="005823E1">
        <w:t xml:space="preserve"> </w:t>
      </w:r>
      <w:r w:rsidR="00341CD3">
        <w:t xml:space="preserve">annual </w:t>
      </w:r>
      <w:r w:rsidR="005823E1">
        <w:t>business plan</w:t>
      </w:r>
      <w:r>
        <w:t xml:space="preserve"> for whatever reason</w:t>
      </w:r>
      <w:r w:rsidR="005823E1">
        <w:t xml:space="preserve">, then the DIP Manager </w:t>
      </w:r>
      <w:r w:rsidR="00464012">
        <w:t xml:space="preserve">shall </w:t>
      </w:r>
      <w:r w:rsidR="005823E1">
        <w:t>issue a stand-alone consultation.</w:t>
      </w:r>
    </w:p>
    <w:p w14:paraId="009174D6" w14:textId="35224818" w:rsidR="000753D3" w:rsidRDefault="000753D3" w:rsidP="00C04307">
      <w:pPr>
        <w:pStyle w:val="Paragraph"/>
      </w:pPr>
      <w:r>
        <w:t xml:space="preserve">Where the DIP Budget proposal is included in the owning Code Body’s annual business plan, the DIP Manager will consider all </w:t>
      </w:r>
      <w:r w:rsidR="00C01E01">
        <w:t xml:space="preserve">stakeholder </w:t>
      </w:r>
      <w:r>
        <w:t>responses regardless of whether the respondent is entitled to respond to the wider consultation.</w:t>
      </w:r>
      <w:r w:rsidR="00C01E01">
        <w:t xml:space="preserve"> </w:t>
      </w:r>
    </w:p>
    <w:p w14:paraId="72ADD256" w14:textId="2E614931" w:rsidR="00D92FE9" w:rsidRDefault="00191B23" w:rsidP="009B1CB2">
      <w:pPr>
        <w:pStyle w:val="Heading2"/>
      </w:pPr>
      <w:bookmarkStart w:id="55" w:name="_Toc169521590"/>
      <w:r>
        <w:t xml:space="preserve">Annual </w:t>
      </w:r>
      <w:r w:rsidR="00D92FE9">
        <w:t>DIP Standing Charge</w:t>
      </w:r>
      <w:bookmarkEnd w:id="55"/>
    </w:p>
    <w:p w14:paraId="15D0B9A7" w14:textId="1A751884" w:rsidR="005823E1" w:rsidRDefault="005823E1" w:rsidP="00C04307">
      <w:pPr>
        <w:pStyle w:val="Paragraph"/>
      </w:pPr>
      <w:r>
        <w:t xml:space="preserve">The </w:t>
      </w:r>
      <w:r w:rsidR="00495693">
        <w:t xml:space="preserve">DIP Budget shall include the DIP Manager’s proposed </w:t>
      </w:r>
      <w:r>
        <w:t xml:space="preserve">Annual </w:t>
      </w:r>
      <w:r w:rsidRPr="003F63C4">
        <w:t>DIP Standing Charge</w:t>
      </w:r>
      <w:r w:rsidR="004F40CE">
        <w:t xml:space="preserve"> (ADSC)</w:t>
      </w:r>
      <w:r w:rsidRPr="003F63C4">
        <w:t xml:space="preserve"> for the forthcoming DIP Year</w:t>
      </w:r>
      <w:r w:rsidR="00495693">
        <w:t xml:space="preserve">, being </w:t>
      </w:r>
      <w:r w:rsidRPr="003F63C4">
        <w:t xml:space="preserve">a </w:t>
      </w:r>
      <w:r>
        <w:t>f</w:t>
      </w:r>
      <w:r w:rsidRPr="003F63C4">
        <w:t>ixed amount</w:t>
      </w:r>
      <w:r>
        <w:t xml:space="preserve"> </w:t>
      </w:r>
      <w:r w:rsidR="00495693">
        <w:t>expressed as</w:t>
      </w:r>
      <w:r>
        <w:t xml:space="preserve"> a </w:t>
      </w:r>
      <w:r w:rsidR="00495693">
        <w:t xml:space="preserve">number and as a </w:t>
      </w:r>
      <w:r>
        <w:t xml:space="preserve">percentage of the total estimated Annual DIP Costs. </w:t>
      </w:r>
    </w:p>
    <w:p w14:paraId="38955F96" w14:textId="1463E516" w:rsidR="00DC53BF" w:rsidRDefault="00495693" w:rsidP="00C04307">
      <w:pPr>
        <w:pStyle w:val="Paragraph"/>
      </w:pPr>
      <w:r>
        <w:t xml:space="preserve">The actual amounts to be paid by DIP Payees in relation to the ADSC on a monthly basis </w:t>
      </w:r>
      <w:r w:rsidR="00DC53BF">
        <w:t xml:space="preserve">shall be calculated in accordance with </w:t>
      </w:r>
      <w:r w:rsidR="00A87DF0" w:rsidRPr="00B60AD6">
        <w:t>paragraph</w:t>
      </w:r>
      <w:r w:rsidR="00DC53BF" w:rsidRPr="00B60AD6">
        <w:t xml:space="preserve"> </w:t>
      </w:r>
      <w:r w:rsidR="00470C69">
        <w:t xml:space="preserve">3 </w:t>
      </w:r>
      <w:r w:rsidR="00DC53BF">
        <w:t>of this DSD.</w:t>
      </w:r>
    </w:p>
    <w:p w14:paraId="636A26F5" w14:textId="6A995C56" w:rsidR="003B08F2" w:rsidRDefault="003B08F2" w:rsidP="009B1CB2">
      <w:pPr>
        <w:pStyle w:val="Heading2"/>
      </w:pPr>
      <w:bookmarkStart w:id="56" w:name="_Toc146119680"/>
      <w:bookmarkStart w:id="57" w:name="_Toc146122465"/>
      <w:bookmarkStart w:id="58" w:name="_Toc146577540"/>
      <w:bookmarkStart w:id="59" w:name="_Toc169521591"/>
      <w:bookmarkEnd w:id="56"/>
      <w:bookmarkEnd w:id="57"/>
      <w:bookmarkEnd w:id="58"/>
      <w:r>
        <w:t>DCAB Role</w:t>
      </w:r>
      <w:r w:rsidR="00117FBE">
        <w:t xml:space="preserve"> in budget setting</w:t>
      </w:r>
      <w:bookmarkEnd w:id="59"/>
    </w:p>
    <w:p w14:paraId="7A657EAF" w14:textId="04740A07" w:rsidR="00E0662A" w:rsidRDefault="00F96676" w:rsidP="00C04307">
      <w:pPr>
        <w:pStyle w:val="Paragraph"/>
      </w:pPr>
      <w:r>
        <w:t xml:space="preserve">The </w:t>
      </w:r>
      <w:r w:rsidR="003B08F2">
        <w:t xml:space="preserve">DIP Change and </w:t>
      </w:r>
      <w:r w:rsidR="00470C69">
        <w:t xml:space="preserve">Advisory </w:t>
      </w:r>
      <w:r w:rsidR="003B08F2">
        <w:t>Board (</w:t>
      </w:r>
      <w:r>
        <w:t>DCAB</w:t>
      </w:r>
      <w:r w:rsidR="003B08F2">
        <w:t>)</w:t>
      </w:r>
      <w:r>
        <w:t xml:space="preserve"> shall review the</w:t>
      </w:r>
      <w:r w:rsidR="00B9319F">
        <w:t xml:space="preserve"> proposed</w:t>
      </w:r>
      <w:r>
        <w:t xml:space="preserve"> DIP </w:t>
      </w:r>
      <w:r w:rsidR="00D93056">
        <w:t xml:space="preserve">Budget </w:t>
      </w:r>
      <w:r>
        <w:t xml:space="preserve">at the next normal DCAB meeting following </w:t>
      </w:r>
      <w:r w:rsidR="006B73D1">
        <w:t xml:space="preserve">its </w:t>
      </w:r>
      <w:r>
        <w:t>publication</w:t>
      </w:r>
      <w:r w:rsidR="00D93056">
        <w:t xml:space="preserve"> </w:t>
      </w:r>
      <w:r>
        <w:t xml:space="preserve">and shall </w:t>
      </w:r>
      <w:r w:rsidR="00E0662A">
        <w:t>provide comment</w:t>
      </w:r>
      <w:r w:rsidR="001A2DF1">
        <w:t>s</w:t>
      </w:r>
      <w:r w:rsidR="00E0662A">
        <w:t xml:space="preserve"> </w:t>
      </w:r>
      <w:r>
        <w:t>within the same timelines as other correspondents</w:t>
      </w:r>
      <w:r w:rsidR="003B08F2">
        <w:t xml:space="preserve">. </w:t>
      </w:r>
    </w:p>
    <w:p w14:paraId="22B9FF2E" w14:textId="71875111" w:rsidR="003B08F2" w:rsidRDefault="00E0662A" w:rsidP="00C04307">
      <w:pPr>
        <w:pStyle w:val="Paragraph"/>
      </w:pPr>
      <w:r>
        <w:t>DCAB comments can be provided in writing or verbally to the DIP Manager</w:t>
      </w:r>
      <w:r w:rsidR="00982E14">
        <w:t>’s</w:t>
      </w:r>
      <w:r>
        <w:t xml:space="preserve"> representative at DCAB. Where verbal comments are provided, they shall be captured in DCAB meeting minutes.</w:t>
      </w:r>
    </w:p>
    <w:p w14:paraId="547F4813" w14:textId="28DF153D" w:rsidR="00F96676" w:rsidRDefault="006B62DC" w:rsidP="00C04307">
      <w:pPr>
        <w:pStyle w:val="Paragraph"/>
      </w:pPr>
      <w:r>
        <w:lastRenderedPageBreak/>
        <w:t>When making its final budget setting determination, t</w:t>
      </w:r>
      <w:r w:rsidR="00B60AD6">
        <w:t>he</w:t>
      </w:r>
      <w:r w:rsidR="003B08F2">
        <w:t xml:space="preserve"> DIP Manager should give consideration to the DCAB’s comments</w:t>
      </w:r>
      <w:r w:rsidR="00A67768">
        <w:t xml:space="preserve"> </w:t>
      </w:r>
      <w:r w:rsidR="00754923">
        <w:t xml:space="preserve">(while </w:t>
      </w:r>
      <w:r w:rsidR="003B08F2">
        <w:t>being mindful of the purpose and composition of the DCAB</w:t>
      </w:r>
      <w:r w:rsidR="00754923">
        <w:t>)</w:t>
      </w:r>
      <w:r w:rsidR="003B08F2">
        <w:t xml:space="preserve">. </w:t>
      </w:r>
      <w:r w:rsidR="00F37F7F">
        <w:t>However, the DIP Manager is not obliged to adhere to the DCAB’s recommendations.</w:t>
      </w:r>
      <w:r w:rsidR="00155840">
        <w:t xml:space="preserve"> </w:t>
      </w:r>
    </w:p>
    <w:p w14:paraId="4EF6564F" w14:textId="3ECE584D" w:rsidR="00815A6C" w:rsidRDefault="00815A6C" w:rsidP="009B1CB2">
      <w:pPr>
        <w:pStyle w:val="Heading2"/>
      </w:pPr>
      <w:bookmarkStart w:id="60" w:name="_Toc169521592"/>
      <w:r>
        <w:t>In year DIP Budget amendments</w:t>
      </w:r>
      <w:bookmarkEnd w:id="60"/>
    </w:p>
    <w:p w14:paraId="12DC1AAC" w14:textId="3D36BD1F" w:rsidR="00815A6C" w:rsidRDefault="005321F1" w:rsidP="00C04307">
      <w:pPr>
        <w:pStyle w:val="Paragraph"/>
      </w:pPr>
      <w:r>
        <w:t xml:space="preserve">The </w:t>
      </w:r>
      <w:r w:rsidR="00815A6C">
        <w:t xml:space="preserve">DIP </w:t>
      </w:r>
      <w:r w:rsidR="00B42DDE">
        <w:t xml:space="preserve">Budget </w:t>
      </w:r>
      <w:r w:rsidR="00815A6C">
        <w:t xml:space="preserve">is an estimate </w:t>
      </w:r>
      <w:r w:rsidR="00B42DDE">
        <w:t xml:space="preserve">of future costs </w:t>
      </w:r>
      <w:r w:rsidR="00815A6C">
        <w:t xml:space="preserve">and </w:t>
      </w:r>
      <w:r w:rsidR="0061519B">
        <w:t xml:space="preserve">DIP Payees acknowledge that </w:t>
      </w:r>
      <w:r w:rsidR="00815A6C">
        <w:t xml:space="preserve">actual costs may not necessarily </w:t>
      </w:r>
      <w:r>
        <w:t>match</w:t>
      </w:r>
      <w:r w:rsidR="00815A6C">
        <w:t xml:space="preserve"> </w:t>
      </w:r>
      <w:r w:rsidR="006B73D1">
        <w:t xml:space="preserve">estimated </w:t>
      </w:r>
      <w:r w:rsidR="00815A6C">
        <w:t xml:space="preserve">costs. </w:t>
      </w:r>
      <w:r w:rsidR="001A2DF1">
        <w:t>T</w:t>
      </w:r>
      <w:r w:rsidR="00815A6C">
        <w:t xml:space="preserve">he DIP Manager shall </w:t>
      </w:r>
      <w:r w:rsidR="0061519B">
        <w:t xml:space="preserve">nevertheless </w:t>
      </w:r>
      <w:r w:rsidR="00815A6C">
        <w:t xml:space="preserve">endeavour to </w:t>
      </w:r>
      <w:r w:rsidR="001A2DF1">
        <w:t>manage the delivery of the DIP within the DIP Budget</w:t>
      </w:r>
      <w:r w:rsidR="00815A6C">
        <w:t>.</w:t>
      </w:r>
    </w:p>
    <w:p w14:paraId="0D3E4A22" w14:textId="532BDBB5" w:rsidR="00014CC4" w:rsidRDefault="00014CC4" w:rsidP="00C04307">
      <w:pPr>
        <w:pStyle w:val="Paragraph"/>
      </w:pPr>
      <w:r>
        <w:t xml:space="preserve">Any change to the predicted </w:t>
      </w:r>
      <w:r w:rsidR="0092120D">
        <w:t xml:space="preserve">Annual </w:t>
      </w:r>
      <w:r>
        <w:t xml:space="preserve">DIP Costs (ADC) shall be noted on the monthly invoice with no further action if the </w:t>
      </w:r>
      <w:r w:rsidR="00521ED6">
        <w:t xml:space="preserve">variation between the </w:t>
      </w:r>
      <w:r w:rsidR="0092120D">
        <w:t xml:space="preserve">Revised Annual </w:t>
      </w:r>
      <w:r>
        <w:t>DIP Costs (RADC)</w:t>
      </w:r>
      <w:r w:rsidR="00827DDA">
        <w:t xml:space="preserve"> and ADC </w:t>
      </w:r>
      <w:r>
        <w:t xml:space="preserve">is </w:t>
      </w:r>
      <w:r w:rsidR="005321F1">
        <w:t>less than or equal to</w:t>
      </w:r>
      <w:r>
        <w:t xml:space="preserve"> </w:t>
      </w:r>
      <w:r w:rsidR="005321F1">
        <w:t>10</w:t>
      </w:r>
      <w:r w:rsidRPr="00A87DF0">
        <w:t>%</w:t>
      </w:r>
      <w:r w:rsidR="008D6E61" w:rsidRPr="00A87DF0">
        <w:t>. F</w:t>
      </w:r>
      <w:r w:rsidR="008D6E61">
        <w:t>or example,</w:t>
      </w:r>
      <w:r>
        <w:t xml:space="preserve"> if the ADC is £4,800,000 and the RADC is £4,680,000, this shall be noted </w:t>
      </w:r>
      <w:r w:rsidR="0092120D">
        <w:t xml:space="preserve">because </w:t>
      </w:r>
      <w:r>
        <w:t>the difference is 2.5%.</w:t>
      </w:r>
    </w:p>
    <w:p w14:paraId="38300AFF" w14:textId="6757370C" w:rsidR="008D6E61" w:rsidRDefault="54ED10DD" w:rsidP="00C04307">
      <w:pPr>
        <w:pStyle w:val="Paragraph"/>
      </w:pPr>
      <w:r>
        <w:t xml:space="preserve">If the RADC is </w:t>
      </w:r>
      <w:r w:rsidR="289C571E">
        <w:t xml:space="preserve">more than </w:t>
      </w:r>
      <w:r>
        <w:t xml:space="preserve">10% </w:t>
      </w:r>
      <w:r w:rsidR="049B72C8">
        <w:t xml:space="preserve">different from the </w:t>
      </w:r>
      <w:r>
        <w:t>ADC</w:t>
      </w:r>
      <w:r w:rsidR="049B72C8">
        <w:t xml:space="preserve">, the DIP Manager shall inform DIP Payees directly via </w:t>
      </w:r>
      <w:r w:rsidR="527DC02E">
        <w:t xml:space="preserve">an </w:t>
      </w:r>
      <w:r w:rsidR="049B72C8">
        <w:t>addition to the monthly invoice (e.g. by letter) explaining why there has been a change more than 10% in the RADC compared to the predicted ADC</w:t>
      </w:r>
      <w:r w:rsidR="075CDD04">
        <w:t>. In this case, the DCAB shall also be informed at the next scheduled DCAB meeting. For example,</w:t>
      </w:r>
      <w:r w:rsidR="049B72C8">
        <w:t xml:space="preserve"> </w:t>
      </w:r>
      <w:r w:rsidR="527DC02E">
        <w:t xml:space="preserve">using the same </w:t>
      </w:r>
      <w:r w:rsidR="7FE71C68">
        <w:t>figures for</w:t>
      </w:r>
      <w:r w:rsidR="527DC02E">
        <w:t xml:space="preserve"> ADC as above, </w:t>
      </w:r>
      <w:r w:rsidR="049B72C8">
        <w:t>if the RADC is £4,250</w:t>
      </w:r>
      <w:r w:rsidR="527DC02E">
        <w:t>.</w:t>
      </w:r>
      <w:r w:rsidR="049B72C8">
        <w:t>00 (an 11.4583% difference)</w:t>
      </w:r>
      <w:r w:rsidR="075CDD04">
        <w:t xml:space="preserve"> </w:t>
      </w:r>
      <w:r w:rsidR="29CA0C20">
        <w:t>DIP Payees and DCAB shall be informed.</w:t>
      </w:r>
    </w:p>
    <w:p w14:paraId="646E1833" w14:textId="0C5AD81C" w:rsidR="00030429" w:rsidRDefault="00030429" w:rsidP="00C04307">
      <w:pPr>
        <w:pStyle w:val="Paragraph"/>
      </w:pPr>
      <w:r>
        <w:t xml:space="preserve">If the RADC is more than 15% different from the ADC, then the DIP Manager shall consult all DIP Payees and the DCAB as soon as is practicable </w:t>
      </w:r>
      <w:r w:rsidR="008D6E61">
        <w:t xml:space="preserve">after determining the discrepancy (and no later than the next monthly invoice) </w:t>
      </w:r>
      <w:r>
        <w:t xml:space="preserve">as to </w:t>
      </w:r>
      <w:r w:rsidR="008D6E61">
        <w:t>whether</w:t>
      </w:r>
      <w:r>
        <w:t xml:space="preserve"> they are willing to allow the </w:t>
      </w:r>
      <w:r w:rsidR="008D6E61">
        <w:t>difference to carry forward. For example,</w:t>
      </w:r>
      <w:r w:rsidR="00AC62B5">
        <w:t xml:space="preserve"> using the same ADC as above, </w:t>
      </w:r>
      <w:r w:rsidR="008D6E61">
        <w:t>if the RADC is £5,550,000 (a 15.625% difference)</w:t>
      </w:r>
      <w:r w:rsidR="00B364C4">
        <w:t xml:space="preserve">, the DIP Manager shall consult DIP Payees and </w:t>
      </w:r>
      <w:r w:rsidR="00827DDA">
        <w:t xml:space="preserve">the </w:t>
      </w:r>
      <w:r w:rsidR="00B364C4">
        <w:t>DCAB.</w:t>
      </w:r>
    </w:p>
    <w:p w14:paraId="5C053D2B" w14:textId="60C7EAB5" w:rsidR="008D6E61" w:rsidRDefault="00B364C4" w:rsidP="00C04307">
      <w:pPr>
        <w:pStyle w:val="Paragraph"/>
      </w:pPr>
      <w:r>
        <w:t>The requirements in t</w:t>
      </w:r>
      <w:r w:rsidR="00A87DF0">
        <w:t>his paragraph</w:t>
      </w:r>
      <w:r>
        <w:t xml:space="preserve"> shall apply equally whether the RADC is above or below the ADC, as demonstrated by the examples given.</w:t>
      </w:r>
      <w:r w:rsidR="00827DDA">
        <w:t xml:space="preserve"> </w:t>
      </w:r>
    </w:p>
    <w:p w14:paraId="0C8595FE" w14:textId="45596B26" w:rsidR="006770A3" w:rsidRPr="00FC116D" w:rsidRDefault="00B364C4" w:rsidP="006770A3">
      <w:pPr>
        <w:pStyle w:val="Bullets-letters"/>
        <w:ind w:left="709"/>
      </w:pPr>
      <w:r w:rsidRPr="00601899">
        <w:rPr>
          <w:b/>
          <w:i/>
          <w:u w:val="single"/>
        </w:rPr>
        <w:t>These figures are for illustrative purposes only and are not to be taken as indicative DIP Costs etc.</w:t>
      </w:r>
    </w:p>
    <w:p w14:paraId="31FCDBDE" w14:textId="37A57948" w:rsidR="006545B3" w:rsidRDefault="006545B3" w:rsidP="006770A3">
      <w:pPr>
        <w:pStyle w:val="Heading1"/>
      </w:pPr>
      <w:bookmarkStart w:id="61" w:name="_Toc169521593"/>
      <w:r w:rsidRPr="00FC116D">
        <w:lastRenderedPageBreak/>
        <w:t>DIP</w:t>
      </w:r>
      <w:r>
        <w:t xml:space="preserve"> Costs</w:t>
      </w:r>
      <w:bookmarkEnd w:id="61"/>
      <w:r w:rsidR="001210D9" w:rsidRPr="001210D9">
        <w:t xml:space="preserve"> </w:t>
      </w:r>
    </w:p>
    <w:p w14:paraId="236A1A02" w14:textId="77777777" w:rsidR="00D71D83" w:rsidRPr="00D71D83" w:rsidRDefault="00D71D83" w:rsidP="009B1CB2">
      <w:pPr>
        <w:pStyle w:val="Heading2"/>
      </w:pPr>
      <w:bookmarkStart w:id="62" w:name="_Toc169521594"/>
      <w:r w:rsidRPr="00D71D83">
        <w:t>DIP Costs elements</w:t>
      </w:r>
      <w:bookmarkEnd w:id="62"/>
    </w:p>
    <w:p w14:paraId="38747E0B" w14:textId="0D59093C" w:rsidR="00D71D83" w:rsidRPr="00D71D83" w:rsidRDefault="00D71D83" w:rsidP="00C04307">
      <w:pPr>
        <w:pStyle w:val="Paragraph"/>
      </w:pPr>
      <w:r w:rsidRPr="00D71D83">
        <w:t xml:space="preserve">DIP Costs shall either be DIP Core Service Costs or DIP Non-Core Service Costs. </w:t>
      </w:r>
    </w:p>
    <w:p w14:paraId="68143220" w14:textId="1AEC3AEE" w:rsidR="00D71D83" w:rsidRPr="00D71D83" w:rsidRDefault="00D71D83" w:rsidP="00C04307">
      <w:pPr>
        <w:pStyle w:val="Paragraph"/>
      </w:pPr>
      <w:r w:rsidRPr="00D71D83">
        <w:t xml:space="preserve">DIP Core </w:t>
      </w:r>
      <w:r w:rsidR="0092120D">
        <w:t xml:space="preserve">Service </w:t>
      </w:r>
      <w:r w:rsidRPr="00D71D83">
        <w:t xml:space="preserve">Costs are </w:t>
      </w:r>
      <w:r w:rsidR="00382D05">
        <w:t xml:space="preserve">all of </w:t>
      </w:r>
      <w:r w:rsidRPr="00D71D83">
        <w:t xml:space="preserve">the costs </w:t>
      </w:r>
      <w:r w:rsidR="00382D05">
        <w:t>incurred by the DIP Manager in delivering the</w:t>
      </w:r>
      <w:r w:rsidRPr="00D71D83">
        <w:t xml:space="preserve"> DIP Core Services</w:t>
      </w:r>
      <w:r w:rsidR="00382D05">
        <w:t xml:space="preserve"> </w:t>
      </w:r>
      <w:r w:rsidR="006E1EB5">
        <w:t xml:space="preserve">(further detail is in DSD002 Annex Two) </w:t>
      </w:r>
      <w:r w:rsidR="00382D05">
        <w:t>including</w:t>
      </w:r>
      <w:r w:rsidRPr="00D71D83">
        <w:t>:</w:t>
      </w:r>
    </w:p>
    <w:p w14:paraId="69D3F66D" w14:textId="5755450D" w:rsidR="00D71D83" w:rsidRDefault="00342828" w:rsidP="00CC6F47">
      <w:pPr>
        <w:pStyle w:val="Bullets-letters"/>
        <w:numPr>
          <w:ilvl w:val="0"/>
          <w:numId w:val="52"/>
        </w:numPr>
        <w:ind w:left="709" w:hanging="425"/>
      </w:pPr>
      <w:r>
        <w:t>DIP Service Provider Costs</w:t>
      </w:r>
      <w:r w:rsidR="00A87DF0">
        <w:t>;</w:t>
      </w:r>
    </w:p>
    <w:p w14:paraId="40A5CD21" w14:textId="77777777" w:rsidR="0005093A" w:rsidRDefault="0080558A" w:rsidP="0005093A">
      <w:pPr>
        <w:pStyle w:val="Bullets-letters"/>
        <w:numPr>
          <w:ilvl w:val="0"/>
          <w:numId w:val="52"/>
        </w:numPr>
        <w:ind w:left="709" w:hanging="425"/>
      </w:pPr>
      <w:r>
        <w:t>DIP Manager’s operating costs</w:t>
      </w:r>
      <w:r w:rsidR="00A87DF0">
        <w:t>;</w:t>
      </w:r>
    </w:p>
    <w:p w14:paraId="44D33FEA" w14:textId="601A4221" w:rsidR="0005093A" w:rsidRDefault="00A87DF0" w:rsidP="0005093A">
      <w:pPr>
        <w:pStyle w:val="Bullets-letters"/>
        <w:numPr>
          <w:ilvl w:val="0"/>
          <w:numId w:val="52"/>
        </w:numPr>
        <w:ind w:left="709" w:hanging="425"/>
      </w:pPr>
      <w:r w:rsidRPr="0005093A">
        <w:rPr>
          <w:rFonts w:cs="Arial"/>
          <w:bCs/>
          <w:szCs w:val="26"/>
        </w:rPr>
        <w:t>c</w:t>
      </w:r>
      <w:r w:rsidR="00342828" w:rsidRPr="0005093A">
        <w:rPr>
          <w:rFonts w:cs="Arial"/>
          <w:bCs/>
          <w:szCs w:val="26"/>
        </w:rPr>
        <w:t xml:space="preserve">osts relating to </w:t>
      </w:r>
      <w:r w:rsidR="00144CA3" w:rsidRPr="0005093A">
        <w:rPr>
          <w:rFonts w:cs="Arial"/>
          <w:bCs/>
          <w:szCs w:val="26"/>
        </w:rPr>
        <w:t xml:space="preserve">DIP </w:t>
      </w:r>
      <w:r w:rsidR="00342828" w:rsidRPr="0005093A">
        <w:rPr>
          <w:rFonts w:cs="Arial"/>
          <w:bCs/>
          <w:szCs w:val="26"/>
        </w:rPr>
        <w:t>On-</w:t>
      </w:r>
      <w:r w:rsidR="00144CA3" w:rsidRPr="0005093A">
        <w:rPr>
          <w:rFonts w:cs="Arial"/>
          <w:bCs/>
          <w:szCs w:val="26"/>
        </w:rPr>
        <w:t xml:space="preserve">Boarding </w:t>
      </w:r>
      <w:r w:rsidR="00342828" w:rsidRPr="0005093A">
        <w:rPr>
          <w:rFonts w:cs="Arial"/>
          <w:bCs/>
          <w:szCs w:val="26"/>
        </w:rPr>
        <w:t xml:space="preserve">and </w:t>
      </w:r>
      <w:r w:rsidR="00144CA3" w:rsidRPr="0005093A">
        <w:rPr>
          <w:rFonts w:cs="Arial"/>
          <w:bCs/>
          <w:szCs w:val="26"/>
        </w:rPr>
        <w:t xml:space="preserve">DIP </w:t>
      </w:r>
      <w:r w:rsidR="00342828" w:rsidRPr="0005093A">
        <w:rPr>
          <w:rFonts w:cs="Arial"/>
          <w:bCs/>
          <w:szCs w:val="26"/>
        </w:rPr>
        <w:t>Off-Boarding as described in DSD002</w:t>
      </w:r>
      <w:r w:rsidR="005A7A33" w:rsidRPr="0005093A">
        <w:rPr>
          <w:rFonts w:cs="Arial"/>
          <w:bCs/>
          <w:szCs w:val="26"/>
        </w:rPr>
        <w:t xml:space="preserve"> ‘DIP Connection </w:t>
      </w:r>
      <w:r w:rsidR="003D5FB0">
        <w:rPr>
          <w:rFonts w:cs="Arial"/>
          <w:bCs/>
          <w:szCs w:val="26"/>
        </w:rPr>
        <w:t>and Operation’.</w:t>
      </w:r>
      <w:r w:rsidR="003D5FB0" w:rsidRPr="0005093A">
        <w:rPr>
          <w:rFonts w:cs="Arial"/>
          <w:bCs/>
          <w:szCs w:val="26"/>
        </w:rPr>
        <w:t xml:space="preserve"> </w:t>
      </w:r>
    </w:p>
    <w:p w14:paraId="0ED8C68E" w14:textId="77777777" w:rsidR="0005093A" w:rsidRDefault="005A7A33" w:rsidP="0005093A">
      <w:pPr>
        <w:pStyle w:val="Bullets-letters"/>
        <w:numPr>
          <w:ilvl w:val="0"/>
          <w:numId w:val="52"/>
        </w:numPr>
        <w:ind w:left="709" w:hanging="425"/>
      </w:pPr>
      <w:r w:rsidRPr="0005093A">
        <w:rPr>
          <w:rFonts w:cs="Arial"/>
          <w:bCs/>
          <w:szCs w:val="26"/>
        </w:rPr>
        <w:t>c</w:t>
      </w:r>
      <w:r w:rsidR="00D71D83" w:rsidRPr="0005093A">
        <w:rPr>
          <w:rFonts w:cs="Arial"/>
          <w:bCs/>
          <w:szCs w:val="26"/>
        </w:rPr>
        <w:t xml:space="preserve">osts relating to Assurance and </w:t>
      </w:r>
      <w:r w:rsidR="00332EF6" w:rsidRPr="0005093A">
        <w:rPr>
          <w:rFonts w:cs="Arial"/>
          <w:bCs/>
          <w:szCs w:val="26"/>
        </w:rPr>
        <w:t xml:space="preserve">reporting </w:t>
      </w:r>
      <w:r w:rsidR="00D71D83" w:rsidRPr="0005093A">
        <w:rPr>
          <w:rFonts w:cs="Arial"/>
          <w:bCs/>
          <w:szCs w:val="26"/>
        </w:rPr>
        <w:t>activities as described in DSD003</w:t>
      </w:r>
      <w:r w:rsidRPr="0005093A">
        <w:rPr>
          <w:rFonts w:cs="Arial"/>
          <w:bCs/>
          <w:szCs w:val="26"/>
        </w:rPr>
        <w:t xml:space="preserve"> ‘Assurance and Reporting’;</w:t>
      </w:r>
      <w:r w:rsidR="00D71D83" w:rsidRPr="0005093A">
        <w:rPr>
          <w:rFonts w:cs="Arial"/>
          <w:bCs/>
          <w:szCs w:val="26"/>
        </w:rPr>
        <w:t xml:space="preserve"> </w:t>
      </w:r>
    </w:p>
    <w:p w14:paraId="60A3B834" w14:textId="77777777" w:rsidR="0005093A" w:rsidRDefault="005A7A33" w:rsidP="0005093A">
      <w:pPr>
        <w:pStyle w:val="Bullets-letters"/>
        <w:numPr>
          <w:ilvl w:val="0"/>
          <w:numId w:val="52"/>
        </w:numPr>
        <w:ind w:left="709" w:hanging="425"/>
      </w:pPr>
      <w:r w:rsidRPr="0005093A">
        <w:rPr>
          <w:rFonts w:cs="Arial"/>
          <w:bCs/>
          <w:szCs w:val="26"/>
        </w:rPr>
        <w:t>c</w:t>
      </w:r>
      <w:r w:rsidR="00342828" w:rsidRPr="0005093A">
        <w:rPr>
          <w:rFonts w:cs="Arial"/>
          <w:bCs/>
          <w:szCs w:val="26"/>
        </w:rPr>
        <w:t xml:space="preserve">osts relating to </w:t>
      </w:r>
      <w:r w:rsidRPr="0005093A">
        <w:rPr>
          <w:rFonts w:cs="Arial"/>
          <w:bCs/>
          <w:szCs w:val="26"/>
        </w:rPr>
        <w:t>c</w:t>
      </w:r>
      <w:r w:rsidR="00342828" w:rsidRPr="0005093A">
        <w:rPr>
          <w:rFonts w:cs="Arial"/>
          <w:bCs/>
          <w:szCs w:val="26"/>
        </w:rPr>
        <w:t>han</w:t>
      </w:r>
      <w:r w:rsidRPr="0005093A">
        <w:rPr>
          <w:rFonts w:cs="Arial"/>
          <w:bCs/>
          <w:szCs w:val="26"/>
        </w:rPr>
        <w:t>ge management and document m</w:t>
      </w:r>
      <w:r w:rsidR="00342828" w:rsidRPr="0005093A">
        <w:rPr>
          <w:rFonts w:cs="Arial"/>
          <w:bCs/>
          <w:szCs w:val="26"/>
        </w:rPr>
        <w:t>anagement as described in DSD004</w:t>
      </w:r>
      <w:r w:rsidRPr="0005093A">
        <w:rPr>
          <w:rFonts w:cs="Arial"/>
          <w:bCs/>
          <w:szCs w:val="26"/>
        </w:rPr>
        <w:t xml:space="preserve"> ‘DIP Change and Document Management’;</w:t>
      </w:r>
      <w:r w:rsidR="00342828" w:rsidRPr="0005093A">
        <w:rPr>
          <w:rFonts w:cs="Arial"/>
          <w:bCs/>
          <w:szCs w:val="26"/>
        </w:rPr>
        <w:t xml:space="preserve"> </w:t>
      </w:r>
    </w:p>
    <w:p w14:paraId="4A93BC5A" w14:textId="77777777" w:rsidR="0005093A" w:rsidRDefault="005A7A33" w:rsidP="0005093A">
      <w:pPr>
        <w:pStyle w:val="Bullets-letters"/>
        <w:numPr>
          <w:ilvl w:val="0"/>
          <w:numId w:val="52"/>
        </w:numPr>
        <w:ind w:left="709" w:hanging="425"/>
      </w:pPr>
      <w:r w:rsidRPr="0005093A">
        <w:rPr>
          <w:rFonts w:cs="Arial"/>
          <w:bCs/>
          <w:szCs w:val="26"/>
        </w:rPr>
        <w:t>c</w:t>
      </w:r>
      <w:r w:rsidR="00342828" w:rsidRPr="0005093A">
        <w:rPr>
          <w:rFonts w:cs="Arial"/>
          <w:bCs/>
          <w:szCs w:val="26"/>
        </w:rPr>
        <w:t>osts relating to the recovery of DIP Costs as described in this DSD005</w:t>
      </w:r>
      <w:r w:rsidRPr="0005093A">
        <w:rPr>
          <w:rFonts w:cs="Arial"/>
          <w:bCs/>
          <w:szCs w:val="26"/>
        </w:rPr>
        <w:t xml:space="preserve"> ‘DIP Funding and Budget’; and</w:t>
      </w:r>
    </w:p>
    <w:p w14:paraId="390C4B2F" w14:textId="22AB8E64" w:rsidR="00D71D83" w:rsidRPr="0005093A" w:rsidRDefault="005A7A33" w:rsidP="0005093A">
      <w:pPr>
        <w:pStyle w:val="Bullets-letters"/>
        <w:numPr>
          <w:ilvl w:val="0"/>
          <w:numId w:val="52"/>
        </w:numPr>
        <w:ind w:left="709" w:hanging="425"/>
      </w:pPr>
      <w:r w:rsidRPr="0005093A">
        <w:rPr>
          <w:rFonts w:cs="Arial"/>
          <w:bCs/>
          <w:szCs w:val="26"/>
        </w:rPr>
        <w:t>c</w:t>
      </w:r>
      <w:r w:rsidR="00D71D83" w:rsidRPr="0005093A">
        <w:rPr>
          <w:rFonts w:cs="Arial"/>
          <w:bCs/>
          <w:szCs w:val="26"/>
        </w:rPr>
        <w:t>osts relating to the sharing of open data where it has been determined that there is industry benefit, as described in DSD006</w:t>
      </w:r>
      <w:r w:rsidRPr="0005093A">
        <w:rPr>
          <w:rFonts w:cs="Arial"/>
          <w:bCs/>
          <w:szCs w:val="26"/>
        </w:rPr>
        <w:t xml:space="preserve"> ‘DIP Data Management’.</w:t>
      </w:r>
    </w:p>
    <w:p w14:paraId="6A2213DD" w14:textId="15E4F7C9" w:rsidR="00106C2B" w:rsidRPr="00893044" w:rsidRDefault="00106C2B" w:rsidP="00C04307">
      <w:pPr>
        <w:pStyle w:val="Paragraph"/>
      </w:pPr>
      <w:r>
        <w:t xml:space="preserve">The </w:t>
      </w:r>
      <w:r w:rsidRPr="00893044">
        <w:t xml:space="preserve">DIP Service Provider’s Costs shall be the total </w:t>
      </w:r>
      <w:r>
        <w:t xml:space="preserve">anticipated </w:t>
      </w:r>
      <w:r w:rsidRPr="00893044">
        <w:t>costs</w:t>
      </w:r>
      <w:r>
        <w:t>,</w:t>
      </w:r>
      <w:r w:rsidRPr="00893044">
        <w:t xml:space="preserve"> expected </w:t>
      </w:r>
      <w:r>
        <w:t xml:space="preserve">to be chargeable by the DIP Service Provider to the DIP Manager </w:t>
      </w:r>
      <w:r w:rsidRPr="00893044">
        <w:t xml:space="preserve">for the forthcoming DIP Year. </w:t>
      </w:r>
    </w:p>
    <w:p w14:paraId="386101E4" w14:textId="6A1D5976" w:rsidR="00106C2B" w:rsidRPr="00893044" w:rsidRDefault="00106C2B" w:rsidP="00C04307">
      <w:pPr>
        <w:pStyle w:val="Paragraph"/>
      </w:pPr>
      <w:r w:rsidRPr="00893044">
        <w:t xml:space="preserve">The DIP Manager’s </w:t>
      </w:r>
      <w:r>
        <w:t xml:space="preserve">operating </w:t>
      </w:r>
      <w:r w:rsidRPr="00893044">
        <w:t xml:space="preserve">costs shall be </w:t>
      </w:r>
      <w:r w:rsidR="00983580" w:rsidRPr="00983580">
        <w:t>the admin</w:t>
      </w:r>
      <w:r w:rsidR="00827DDA">
        <w:t>istration</w:t>
      </w:r>
      <w:r w:rsidR="00983580" w:rsidRPr="00983580">
        <w:t xml:space="preserve"> costs of fulfilling the DIP Manager's obligations under the DIP Rules. These costs shall include but not be limited to</w:t>
      </w:r>
      <w:r w:rsidRPr="00893044">
        <w:t>:</w:t>
      </w:r>
    </w:p>
    <w:p w14:paraId="181BD1CD" w14:textId="77777777" w:rsidR="0005093A" w:rsidRDefault="005A7A33" w:rsidP="0005093A">
      <w:pPr>
        <w:pStyle w:val="Bullets-letters"/>
        <w:numPr>
          <w:ilvl w:val="0"/>
          <w:numId w:val="5"/>
        </w:numPr>
        <w:ind w:left="709" w:hanging="425"/>
      </w:pPr>
      <w:r>
        <w:t>p</w:t>
      </w:r>
      <w:r w:rsidR="00342828">
        <w:t xml:space="preserve">ersonnel </w:t>
      </w:r>
      <w:r w:rsidR="00106C2B">
        <w:t xml:space="preserve">costs (including </w:t>
      </w:r>
      <w:r w:rsidR="00144CA3">
        <w:t xml:space="preserve">DIP </w:t>
      </w:r>
      <w:r w:rsidR="00106C2B">
        <w:t xml:space="preserve">Change, Assurance and </w:t>
      </w:r>
      <w:r w:rsidR="00144CA3">
        <w:t xml:space="preserve">DIP </w:t>
      </w:r>
      <w:r w:rsidR="00106C2B">
        <w:t>On-</w:t>
      </w:r>
      <w:r w:rsidR="00144CA3">
        <w:t xml:space="preserve">Boarding </w:t>
      </w:r>
      <w:r w:rsidR="00342828">
        <w:t>personnel</w:t>
      </w:r>
      <w:r w:rsidR="00106C2B">
        <w:t>)</w:t>
      </w:r>
      <w:r>
        <w:t>;</w:t>
      </w:r>
    </w:p>
    <w:p w14:paraId="4C589FD1" w14:textId="77777777" w:rsidR="0005093A" w:rsidRDefault="005A7A33" w:rsidP="0005093A">
      <w:pPr>
        <w:pStyle w:val="Bullets-letters"/>
        <w:numPr>
          <w:ilvl w:val="0"/>
          <w:numId w:val="5"/>
        </w:numPr>
        <w:ind w:left="709" w:hanging="425"/>
      </w:pPr>
      <w:r>
        <w:t>o</w:t>
      </w:r>
      <w:r w:rsidR="00106C2B">
        <w:t>ffice overhead costs</w:t>
      </w:r>
      <w:r>
        <w:t>;</w:t>
      </w:r>
    </w:p>
    <w:p w14:paraId="6D9ADFC7" w14:textId="77777777" w:rsidR="0005093A" w:rsidRDefault="005A7A33" w:rsidP="0005093A">
      <w:pPr>
        <w:pStyle w:val="Bullets-letters"/>
        <w:numPr>
          <w:ilvl w:val="0"/>
          <w:numId w:val="5"/>
        </w:numPr>
        <w:ind w:left="709" w:hanging="425"/>
      </w:pPr>
      <w:r>
        <w:t>a</w:t>
      </w:r>
      <w:r w:rsidR="00106C2B">
        <w:t xml:space="preserve">mounts payable to any </w:t>
      </w:r>
      <w:r w:rsidR="0022771F">
        <w:t xml:space="preserve">owning </w:t>
      </w:r>
      <w:r w:rsidR="00106C2B">
        <w:t xml:space="preserve">Code Body </w:t>
      </w:r>
      <w:r>
        <w:t>for shared resource;</w:t>
      </w:r>
    </w:p>
    <w:p w14:paraId="1F5AD6B0" w14:textId="72385D7F" w:rsidR="0005093A" w:rsidRDefault="005A7A33" w:rsidP="0005093A">
      <w:pPr>
        <w:pStyle w:val="Bullets-letters"/>
        <w:numPr>
          <w:ilvl w:val="0"/>
          <w:numId w:val="5"/>
        </w:numPr>
        <w:ind w:left="709" w:hanging="425"/>
      </w:pPr>
      <w:r>
        <w:t>c</w:t>
      </w:r>
      <w:r w:rsidR="00106C2B">
        <w:t>osts expected to be incurred by DCAB e.g. travelling and expenses</w:t>
      </w:r>
      <w:r>
        <w:t>;</w:t>
      </w:r>
      <w:r w:rsidR="003F6179">
        <w:t xml:space="preserve"> </w:t>
      </w:r>
    </w:p>
    <w:p w14:paraId="3E66C63C" w14:textId="77777777" w:rsidR="0005093A" w:rsidRDefault="005A7A33" w:rsidP="0005093A">
      <w:pPr>
        <w:pStyle w:val="Bullets-letters"/>
        <w:numPr>
          <w:ilvl w:val="0"/>
          <w:numId w:val="5"/>
        </w:numPr>
        <w:ind w:left="709" w:hanging="425"/>
      </w:pPr>
      <w:r>
        <w:t>c</w:t>
      </w:r>
      <w:r w:rsidR="00106C2B">
        <w:t xml:space="preserve">osts incurred in respect of </w:t>
      </w:r>
      <w:r w:rsidR="0080558A">
        <w:t>any indemnity given by the DIP M</w:t>
      </w:r>
      <w:r w:rsidR="00106C2B">
        <w:t>anager in accordance with the DIP Rules</w:t>
      </w:r>
      <w:r>
        <w:t>;</w:t>
      </w:r>
    </w:p>
    <w:p w14:paraId="3A6D6550" w14:textId="77777777" w:rsidR="0005093A" w:rsidRDefault="005A7A33" w:rsidP="0005093A">
      <w:pPr>
        <w:pStyle w:val="Bullets-letters"/>
        <w:numPr>
          <w:ilvl w:val="0"/>
          <w:numId w:val="5"/>
        </w:numPr>
        <w:ind w:left="709" w:hanging="425"/>
      </w:pPr>
      <w:r w:rsidRPr="0005093A">
        <w:rPr>
          <w:rFonts w:cs="Arial"/>
          <w:bCs/>
          <w:szCs w:val="26"/>
        </w:rPr>
        <w:t>c</w:t>
      </w:r>
      <w:r w:rsidR="0080558A" w:rsidRPr="0005093A">
        <w:rPr>
          <w:rFonts w:cs="Arial"/>
          <w:bCs/>
          <w:szCs w:val="26"/>
        </w:rPr>
        <w:t>osts incurred by the DIP Manager relating to the contracting of the DIP Service Manager</w:t>
      </w:r>
      <w:r w:rsidRPr="0005093A">
        <w:rPr>
          <w:rFonts w:cs="Arial"/>
          <w:bCs/>
          <w:szCs w:val="26"/>
        </w:rPr>
        <w:t>; and</w:t>
      </w:r>
    </w:p>
    <w:p w14:paraId="2BF45D9D" w14:textId="19A3C29B" w:rsidR="00983580" w:rsidRPr="0005093A" w:rsidRDefault="005A7A33" w:rsidP="0005093A">
      <w:pPr>
        <w:pStyle w:val="Bullets-letters"/>
        <w:numPr>
          <w:ilvl w:val="0"/>
          <w:numId w:val="5"/>
        </w:numPr>
        <w:ind w:left="709" w:hanging="425"/>
      </w:pPr>
      <w:r w:rsidRPr="0005093A">
        <w:rPr>
          <w:rFonts w:cs="Arial"/>
          <w:bCs/>
          <w:szCs w:val="26"/>
        </w:rPr>
        <w:t>a</w:t>
      </w:r>
      <w:r w:rsidR="00983580" w:rsidRPr="0005093A">
        <w:rPr>
          <w:rFonts w:cs="Arial"/>
          <w:bCs/>
          <w:szCs w:val="26"/>
        </w:rPr>
        <w:t>mounts associated with multi-year investments in the DIP</w:t>
      </w:r>
      <w:r w:rsidRPr="0005093A">
        <w:rPr>
          <w:rFonts w:cs="Arial"/>
          <w:bCs/>
          <w:szCs w:val="26"/>
        </w:rPr>
        <w:t>.</w:t>
      </w:r>
    </w:p>
    <w:p w14:paraId="288CDC1C" w14:textId="4E60F2C1" w:rsidR="0080558A" w:rsidRPr="0057209B" w:rsidRDefault="0080558A" w:rsidP="00C04307">
      <w:pPr>
        <w:pStyle w:val="Paragraph"/>
      </w:pPr>
      <w:r w:rsidRPr="0057209B">
        <w:lastRenderedPageBreak/>
        <w:t>Assurance costs shall be proposed by the DIP Manager as an estimate of the cost of carrying out Assurance activities</w:t>
      </w:r>
      <w:r w:rsidR="00983580">
        <w:t xml:space="preserve">. Such costs shall </w:t>
      </w:r>
      <w:r w:rsidRPr="0057209B">
        <w:t>include, but not be limited</w:t>
      </w:r>
      <w:r w:rsidR="00983580">
        <w:t xml:space="preserve"> to</w:t>
      </w:r>
      <w:r w:rsidRPr="0057209B">
        <w:t>:</w:t>
      </w:r>
    </w:p>
    <w:p w14:paraId="3EE4F7C9" w14:textId="566DAD14" w:rsidR="0080558A" w:rsidRDefault="005A7A33" w:rsidP="0080558A">
      <w:pPr>
        <w:pStyle w:val="Bullets-letters"/>
        <w:numPr>
          <w:ilvl w:val="0"/>
          <w:numId w:val="7"/>
        </w:numPr>
        <w:ind w:left="709" w:hanging="425"/>
      </w:pPr>
      <w:r>
        <w:t>c</w:t>
      </w:r>
      <w:r w:rsidR="0080558A">
        <w:t>osts payable to a third-party consultancy for carrying out Assurance activity</w:t>
      </w:r>
      <w:r>
        <w:t>; and</w:t>
      </w:r>
    </w:p>
    <w:p w14:paraId="7102BD26" w14:textId="05548B4D" w:rsidR="0080558A" w:rsidRDefault="005A7A33" w:rsidP="0080558A">
      <w:pPr>
        <w:pStyle w:val="Bullets-letters"/>
        <w:numPr>
          <w:ilvl w:val="0"/>
          <w:numId w:val="7"/>
        </w:numPr>
        <w:ind w:left="709" w:hanging="425"/>
      </w:pPr>
      <w:r>
        <w:t>c</w:t>
      </w:r>
      <w:r w:rsidR="0080558A">
        <w:t>osts payable for any software licences or similar that may be required to carry out data audits or similar</w:t>
      </w:r>
      <w:r>
        <w:t>.</w:t>
      </w:r>
    </w:p>
    <w:p w14:paraId="671B77E5" w14:textId="7FBD3E08" w:rsidR="00106C2B" w:rsidRDefault="00106C2B" w:rsidP="00C04307">
      <w:pPr>
        <w:pStyle w:val="Paragraph"/>
      </w:pPr>
      <w:r w:rsidRPr="0057209B">
        <w:t xml:space="preserve">DIP Change </w:t>
      </w:r>
      <w:r w:rsidR="00144CA3">
        <w:t>p</w:t>
      </w:r>
      <w:r w:rsidR="00144CA3" w:rsidRPr="0057209B">
        <w:t xml:space="preserve">rocess </w:t>
      </w:r>
      <w:r w:rsidRPr="0057209B">
        <w:t>costs</w:t>
      </w:r>
      <w:r>
        <w:t xml:space="preserve"> shall be proposed by the DIP Manager as an estimate of the cost of implementing changes. </w:t>
      </w:r>
      <w:r w:rsidR="00983580">
        <w:t xml:space="preserve">Such costs </w:t>
      </w:r>
      <w:r>
        <w:t>shall include, but not be limited to:</w:t>
      </w:r>
    </w:p>
    <w:p w14:paraId="23D37F22" w14:textId="30436A84" w:rsidR="00106C2B" w:rsidRDefault="005A7A33" w:rsidP="00106C2B">
      <w:pPr>
        <w:pStyle w:val="Bullets-letters"/>
        <w:numPr>
          <w:ilvl w:val="0"/>
          <w:numId w:val="6"/>
        </w:numPr>
        <w:ind w:left="709" w:hanging="425"/>
      </w:pPr>
      <w:r>
        <w:t>c</w:t>
      </w:r>
      <w:r w:rsidR="00106C2B">
        <w:t>osts payable to the DIP Service Provider for changes to the DIP</w:t>
      </w:r>
      <w:r>
        <w:t>; and</w:t>
      </w:r>
    </w:p>
    <w:p w14:paraId="03C10742" w14:textId="104287F5" w:rsidR="00106C2B" w:rsidRDefault="005A7A33" w:rsidP="00106C2B">
      <w:pPr>
        <w:pStyle w:val="Bullets-letters"/>
        <w:numPr>
          <w:ilvl w:val="0"/>
          <w:numId w:val="6"/>
        </w:numPr>
        <w:ind w:left="709" w:hanging="425"/>
      </w:pPr>
      <w:r>
        <w:t>a</w:t>
      </w:r>
      <w:r w:rsidR="00106C2B">
        <w:t xml:space="preserve"> reserve amount for third party assistance with DIP Changes</w:t>
      </w:r>
      <w:r>
        <w:t>.</w:t>
      </w:r>
    </w:p>
    <w:p w14:paraId="27AD2B2F" w14:textId="3A40485D" w:rsidR="00D71D83" w:rsidRPr="00D71D83" w:rsidRDefault="00BB6F4B" w:rsidP="00C04307">
      <w:pPr>
        <w:pStyle w:val="Paragraph"/>
      </w:pPr>
      <w:r>
        <w:t xml:space="preserve">DIP </w:t>
      </w:r>
      <w:r w:rsidR="00D71D83" w:rsidRPr="00D71D83">
        <w:t>Non-</w:t>
      </w:r>
      <w:r>
        <w:t>C</w:t>
      </w:r>
      <w:r w:rsidRPr="00D71D83">
        <w:t xml:space="preserve">ore </w:t>
      </w:r>
      <w:r>
        <w:t>S</w:t>
      </w:r>
      <w:r w:rsidRPr="00D71D83">
        <w:t xml:space="preserve">ervices </w:t>
      </w:r>
      <w:r w:rsidR="000D2DF7">
        <w:t xml:space="preserve">Costs are costs incurred by the DIP Manager in </w:t>
      </w:r>
      <w:r w:rsidR="000D2DF7" w:rsidRPr="000D2DF7">
        <w:t>provid</w:t>
      </w:r>
      <w:r w:rsidR="000D2DF7">
        <w:t>ing services</w:t>
      </w:r>
      <w:r w:rsidR="000D2DF7" w:rsidRPr="000D2DF7">
        <w:t xml:space="preserve"> at the request of and to or for a particular person </w:t>
      </w:r>
      <w:r w:rsidR="000D2DF7">
        <w:t>which are</w:t>
      </w:r>
      <w:r w:rsidR="000D2DF7" w:rsidRPr="000D2DF7">
        <w:t xml:space="preserve"> not provided to </w:t>
      </w:r>
      <w:r w:rsidR="000D2DF7">
        <w:t xml:space="preserve">DIP Users as a DIP Core Service. The DIP Manager </w:t>
      </w:r>
      <w:r w:rsidR="00D71D83" w:rsidRPr="00D71D83">
        <w:t xml:space="preserve">shall </w:t>
      </w:r>
      <w:r w:rsidR="000D2DF7">
        <w:t xml:space="preserve">be entitled to recover DIP </w:t>
      </w:r>
      <w:r w:rsidR="000D2DF7" w:rsidRPr="00D71D83">
        <w:t>Non-</w:t>
      </w:r>
      <w:r w:rsidR="000D2DF7">
        <w:t>C</w:t>
      </w:r>
      <w:r w:rsidR="000D2DF7" w:rsidRPr="00D71D83">
        <w:t xml:space="preserve">ore </w:t>
      </w:r>
      <w:r w:rsidR="000D2DF7">
        <w:t>S</w:t>
      </w:r>
      <w:r w:rsidR="000D2DF7" w:rsidRPr="00D71D83">
        <w:t xml:space="preserve">ervices </w:t>
      </w:r>
      <w:r w:rsidR="000D2DF7">
        <w:t>Costs</w:t>
      </w:r>
      <w:r w:rsidR="000D2DF7" w:rsidRPr="00D71D83">
        <w:t xml:space="preserve"> </w:t>
      </w:r>
      <w:r w:rsidR="00D71D83" w:rsidRPr="00D71D83">
        <w:t>on a ‘pay-per-use’ basis</w:t>
      </w:r>
      <w:r w:rsidR="000D2DF7">
        <w:t xml:space="preserve"> in accordance with </w:t>
      </w:r>
      <w:r w:rsidR="00B60AD6">
        <w:t>this DSD</w:t>
      </w:r>
      <w:r w:rsidR="0080558A">
        <w:t>.</w:t>
      </w:r>
    </w:p>
    <w:p w14:paraId="6F170F44" w14:textId="1E7F5D0C" w:rsidR="00EF6E38" w:rsidRPr="00D71D83" w:rsidRDefault="00EF6E38" w:rsidP="00C04307">
      <w:pPr>
        <w:pStyle w:val="Paragraph"/>
      </w:pPr>
      <w:r>
        <w:t xml:space="preserve">DIP Costs will be charged in advance to ensure </w:t>
      </w:r>
      <w:r w:rsidR="00BB6F4B">
        <w:t>the DIP Manager has</w:t>
      </w:r>
      <w:r>
        <w:t xml:space="preserve"> sufficien</w:t>
      </w:r>
      <w:r w:rsidR="005A7A33">
        <w:t>t funds to meet costs incurred.</w:t>
      </w:r>
    </w:p>
    <w:p w14:paraId="53E266F5" w14:textId="30A48CCB" w:rsidR="00D13EF2" w:rsidRDefault="00D13EF2" w:rsidP="009B1CB2">
      <w:pPr>
        <w:pStyle w:val="Heading2"/>
      </w:pPr>
      <w:bookmarkStart w:id="63" w:name="_Toc169521595"/>
      <w:r>
        <w:t>Taxation</w:t>
      </w:r>
      <w:bookmarkEnd w:id="63"/>
    </w:p>
    <w:p w14:paraId="213B5393" w14:textId="08B9DDB9" w:rsidR="00D13EF2" w:rsidRPr="00D13EF2" w:rsidRDefault="00D13EF2" w:rsidP="00C04307">
      <w:pPr>
        <w:pStyle w:val="Paragraph"/>
      </w:pPr>
      <w:r w:rsidRPr="00D13EF2">
        <w:t xml:space="preserve">Each </w:t>
      </w:r>
      <w:r>
        <w:t>DIP Payee</w:t>
      </w:r>
      <w:r w:rsidRPr="00D13EF2">
        <w:t xml:space="preserve"> agrees that it will be bound by any agreement made (whether before or after the entry into force of the </w:t>
      </w:r>
      <w:r>
        <w:t>DIP Rules</w:t>
      </w:r>
      <w:r w:rsidRPr="00D13EF2">
        <w:t xml:space="preserve">) between </w:t>
      </w:r>
      <w:r>
        <w:t>the DIP Manager</w:t>
      </w:r>
      <w:r w:rsidRPr="00D13EF2">
        <w:t xml:space="preserve"> and any tax authority as to the treatment for taxation purposes of any transactions envisaged by the </w:t>
      </w:r>
      <w:r>
        <w:t>DIP Rules</w:t>
      </w:r>
      <w:r w:rsidRPr="00D13EF2">
        <w:t xml:space="preserve"> between </w:t>
      </w:r>
      <w:r>
        <w:t>the DIP Manager</w:t>
      </w:r>
      <w:r w:rsidRPr="00D13EF2">
        <w:t xml:space="preserve"> and any other </w:t>
      </w:r>
      <w:r>
        <w:t>DIP Payee</w:t>
      </w:r>
      <w:r w:rsidRPr="00D13EF2">
        <w:t>.</w:t>
      </w:r>
    </w:p>
    <w:p w14:paraId="7C01E060" w14:textId="77F965BB" w:rsidR="00D13EF2" w:rsidRPr="00D13EF2" w:rsidRDefault="00D13EF2" w:rsidP="00C04307">
      <w:pPr>
        <w:pStyle w:val="Paragraph"/>
      </w:pPr>
      <w:r w:rsidRPr="00D13EF2">
        <w:t xml:space="preserve">Each </w:t>
      </w:r>
      <w:r w:rsidR="00D63B68">
        <w:t>DIP Payee</w:t>
      </w:r>
      <w:r w:rsidRPr="00D13EF2">
        <w:t xml:space="preserve"> further undertakes that it will not act in any way prejudicial to such agreement, including acting on the basis of, assuming, seeking or making any application or request to any tax authority for, any conflicting treatment.</w:t>
      </w:r>
    </w:p>
    <w:p w14:paraId="5586EAF9" w14:textId="490F6DC5" w:rsidR="00D13EF2" w:rsidRDefault="00D63B68" w:rsidP="00C04307">
      <w:pPr>
        <w:pStyle w:val="Paragraph"/>
      </w:pPr>
      <w:r>
        <w:t>The DIP Manager</w:t>
      </w:r>
      <w:r w:rsidR="00D13EF2" w:rsidRPr="00D13EF2">
        <w:t xml:space="preserve"> shall ensure that details of each such agreement as is referred to in this </w:t>
      </w:r>
      <w:r w:rsidR="00D13EF2" w:rsidRPr="005A7A33">
        <w:t xml:space="preserve">paragraph </w:t>
      </w:r>
      <w:r w:rsidR="00D13EF2" w:rsidRPr="00D13EF2">
        <w:t xml:space="preserve">are provided to each </w:t>
      </w:r>
      <w:r>
        <w:t>DIP Payee</w:t>
      </w:r>
      <w:r w:rsidR="00D13EF2" w:rsidRPr="00D13EF2">
        <w:t xml:space="preserve"> upon its becoming a </w:t>
      </w:r>
      <w:r>
        <w:t>DIP Payee</w:t>
      </w:r>
      <w:r w:rsidR="00D13EF2" w:rsidRPr="00D13EF2">
        <w:t xml:space="preserve"> and upon any change in such agreement</w:t>
      </w:r>
      <w:r>
        <w:t>.</w:t>
      </w:r>
    </w:p>
    <w:p w14:paraId="768DA0FE" w14:textId="06AFCF83" w:rsidR="00D71D83" w:rsidRPr="00D71D83" w:rsidRDefault="00D71D83" w:rsidP="009B1CB2">
      <w:pPr>
        <w:pStyle w:val="Heading2"/>
      </w:pPr>
      <w:bookmarkStart w:id="64" w:name="_Toc169521596"/>
      <w:r w:rsidRPr="00D71D83">
        <w:t>DIP Standing Charge</w:t>
      </w:r>
      <w:bookmarkEnd w:id="64"/>
    </w:p>
    <w:p w14:paraId="5AC3063D" w14:textId="0C693C9C" w:rsidR="000D2DF7" w:rsidRDefault="000D2DF7" w:rsidP="00C04307">
      <w:pPr>
        <w:pStyle w:val="Paragraph"/>
      </w:pPr>
      <w:r w:rsidRPr="000D2DF7">
        <w:t xml:space="preserve">The DSC shall be a fixed amount to be charged to DIP </w:t>
      </w:r>
      <w:r w:rsidRPr="00C07835">
        <w:t xml:space="preserve">Payees </w:t>
      </w:r>
      <w:r w:rsidR="00C07835" w:rsidRPr="00C07835">
        <w:rPr>
          <w:iCs/>
        </w:rPr>
        <w:t xml:space="preserve">and which </w:t>
      </w:r>
      <w:r w:rsidRPr="00C07835">
        <w:t>shall be determined by the DIP Manager on an annual basis as part of the budgeting process</w:t>
      </w:r>
      <w:r w:rsidR="00C07835" w:rsidRPr="00C07835">
        <w:rPr>
          <w:iCs/>
        </w:rPr>
        <w:t xml:space="preserve"> and recovered in</w:t>
      </w:r>
      <w:r w:rsidR="00C07835">
        <w:rPr>
          <w:iCs/>
        </w:rPr>
        <w:t xml:space="preserve"> accordance with this paragraph</w:t>
      </w:r>
      <w:r w:rsidRPr="000D2DF7">
        <w:t>.</w:t>
      </w:r>
    </w:p>
    <w:p w14:paraId="326622D7" w14:textId="2A58D4F5" w:rsidR="00D71D83" w:rsidRPr="00D71D83" w:rsidRDefault="0047250B" w:rsidP="00C04307">
      <w:pPr>
        <w:pStyle w:val="Paragraph"/>
      </w:pPr>
      <w:r>
        <w:t xml:space="preserve">The DIP Manager shall, on an annual basis, determine the Annual DIP Standing Charge </w:t>
      </w:r>
      <w:r w:rsidR="00105FF5">
        <w:t xml:space="preserve">(ADSC) and Monthly DIP Standing Charge (MDSC) </w:t>
      </w:r>
      <w:r>
        <w:t>as follows:</w:t>
      </w:r>
    </w:p>
    <w:p w14:paraId="1353619C" w14:textId="2128C371" w:rsidR="00D71D83" w:rsidRPr="00D71D83" w:rsidRDefault="00C04307" w:rsidP="00CC6F47">
      <w:pPr>
        <w:pStyle w:val="Bullets-letters"/>
        <w:numPr>
          <w:ilvl w:val="0"/>
          <w:numId w:val="53"/>
        </w:numPr>
        <w:ind w:left="709" w:hanging="425"/>
      </w:pPr>
      <w:r>
        <w:t>d</w:t>
      </w:r>
      <w:r w:rsidR="00D71D83" w:rsidRPr="00D71D83">
        <w:t>etermine the total A</w:t>
      </w:r>
      <w:r w:rsidR="0047250B">
        <w:t xml:space="preserve">nnual </w:t>
      </w:r>
      <w:r w:rsidR="00D71D83" w:rsidRPr="00D71D83">
        <w:t>D</w:t>
      </w:r>
      <w:r w:rsidR="0047250B">
        <w:t xml:space="preserve">IP </w:t>
      </w:r>
      <w:r w:rsidR="00D71D83" w:rsidRPr="00D71D83">
        <w:t>C</w:t>
      </w:r>
      <w:r w:rsidR="0047250B">
        <w:t>osts (ADC)</w:t>
      </w:r>
      <w:r w:rsidR="00D71D83" w:rsidRPr="00D71D83">
        <w:t xml:space="preserve"> for the forthcoming DIP Year</w:t>
      </w:r>
      <w:r w:rsidR="0047250B">
        <w:t xml:space="preserve"> in accordance with </w:t>
      </w:r>
      <w:r w:rsidR="00105FF5">
        <w:t xml:space="preserve">the budgeting process set out in </w:t>
      </w:r>
      <w:r w:rsidR="00B60AD6">
        <w:t>this DSD</w:t>
      </w:r>
      <w:r w:rsidR="0047250B">
        <w:t>;</w:t>
      </w:r>
    </w:p>
    <w:p w14:paraId="00D44670" w14:textId="70722414" w:rsidR="00D71D83" w:rsidRPr="00D71D83" w:rsidRDefault="00C04307" w:rsidP="00CC6F47">
      <w:pPr>
        <w:pStyle w:val="Bullets-letters"/>
        <w:numPr>
          <w:ilvl w:val="0"/>
          <w:numId w:val="53"/>
        </w:numPr>
        <w:ind w:left="709" w:hanging="425"/>
      </w:pPr>
      <w:r>
        <w:lastRenderedPageBreak/>
        <w:t>d</w:t>
      </w:r>
      <w:r w:rsidR="00D71D83" w:rsidRPr="00D71D83">
        <w:t xml:space="preserve">etermine what percentage of the </w:t>
      </w:r>
      <w:r w:rsidR="0047250B">
        <w:t>ADC</w:t>
      </w:r>
      <w:r w:rsidR="00D71D83" w:rsidRPr="00D71D83">
        <w:t xml:space="preserve"> shall </w:t>
      </w:r>
      <w:r w:rsidR="00183C01">
        <w:t xml:space="preserve">recovered through </w:t>
      </w:r>
      <w:r w:rsidR="00D71D83" w:rsidRPr="00D71D83">
        <w:t>the Annual DIP Standing Charge (ADSC%)</w:t>
      </w:r>
      <w:r>
        <w:t>;</w:t>
      </w:r>
    </w:p>
    <w:p w14:paraId="6A9EE2F8" w14:textId="52FC7BB7" w:rsidR="00D71D83" w:rsidRPr="00D71D83" w:rsidRDefault="00C04307" w:rsidP="00CC6F47">
      <w:pPr>
        <w:pStyle w:val="Bullets-letters"/>
        <w:numPr>
          <w:ilvl w:val="0"/>
          <w:numId w:val="53"/>
        </w:numPr>
        <w:ind w:left="709" w:hanging="425"/>
      </w:pPr>
      <w:r>
        <w:t>a</w:t>
      </w:r>
      <w:r w:rsidR="00D71D83" w:rsidRPr="00D71D83">
        <w:t>pply the percentage amount to calculate the ADSC as a value in pounds</w:t>
      </w:r>
      <w:r>
        <w:t>:</w:t>
      </w:r>
    </w:p>
    <w:p w14:paraId="6C762B58" w14:textId="77777777" w:rsidR="00D71D83" w:rsidRPr="00D71D83" w:rsidRDefault="00D71D83" w:rsidP="00CC6F47">
      <w:pPr>
        <w:pStyle w:val="Bullets-letters"/>
        <w:ind w:left="709"/>
      </w:pPr>
      <m:oMathPara>
        <m:oMath>
          <m:r>
            <w:rPr>
              <w:rFonts w:ascii="Cambria Math" w:hAnsi="Cambria Math"/>
            </w:rPr>
            <m:t>ADC</m:t>
          </m:r>
          <m:r>
            <m:rPr>
              <m:sty m:val="p"/>
            </m:rPr>
            <w:rPr>
              <w:rFonts w:ascii="Cambria Math" w:hAnsi="Cambria Math"/>
            </w:rPr>
            <m:t xml:space="preserve"> ×</m:t>
          </m:r>
          <m:r>
            <w:rPr>
              <w:rFonts w:ascii="Cambria Math" w:hAnsi="Cambria Math"/>
            </w:rPr>
            <m:t>ADSC</m:t>
          </m:r>
          <m:r>
            <m:rPr>
              <m:sty m:val="p"/>
            </m:rPr>
            <w:rPr>
              <w:rFonts w:ascii="Cambria Math" w:hAnsi="Cambria Math"/>
            </w:rPr>
            <m:t>%=</m:t>
          </m:r>
          <m:r>
            <w:rPr>
              <w:rFonts w:ascii="Cambria Math" w:hAnsi="Cambria Math"/>
            </w:rPr>
            <m:t>ADSC</m:t>
          </m:r>
        </m:oMath>
      </m:oMathPara>
    </w:p>
    <w:p w14:paraId="0C69BFD0" w14:textId="00A78938" w:rsidR="00D71D83" w:rsidRPr="00D71D83" w:rsidRDefault="00C04307" w:rsidP="00CC6F47">
      <w:pPr>
        <w:pStyle w:val="Bullets-letters"/>
        <w:numPr>
          <w:ilvl w:val="0"/>
          <w:numId w:val="53"/>
        </w:numPr>
        <w:ind w:left="709" w:hanging="425"/>
      </w:pPr>
      <w:r>
        <w:t>d</w:t>
      </w:r>
      <w:r w:rsidR="00D71D83" w:rsidRPr="00D71D83">
        <w:t xml:space="preserve">ivide the </w:t>
      </w:r>
      <w:r w:rsidR="0044514A">
        <w:t>ADSC</w:t>
      </w:r>
      <w:r w:rsidR="00D71D83" w:rsidRPr="00D71D83">
        <w:t xml:space="preserve"> by twelve to give an amount that will be the total amount recovered from </w:t>
      </w:r>
      <w:r w:rsidR="00105FF5">
        <w:t xml:space="preserve">all </w:t>
      </w:r>
      <w:r w:rsidR="00D71D83" w:rsidRPr="00D71D83">
        <w:t xml:space="preserve">DIP Payees each calendar month – </w:t>
      </w:r>
      <w:r w:rsidR="00183C01">
        <w:t xml:space="preserve">total </w:t>
      </w:r>
      <w:r w:rsidR="00D71D83" w:rsidRPr="00D71D83">
        <w:t>Monthly DIP Standing Charge (MDSC)</w:t>
      </w:r>
      <w:r>
        <w:t>:</w:t>
      </w:r>
    </w:p>
    <w:p w14:paraId="4FF05751" w14:textId="77777777" w:rsidR="00D71D83" w:rsidRPr="00BB6659" w:rsidRDefault="00B53D6A" w:rsidP="00CC6F47">
      <w:pPr>
        <w:pStyle w:val="Bullets-letters"/>
        <w:ind w:left="709"/>
      </w:pPr>
      <m:oMathPara>
        <m:oMathParaPr>
          <m:jc m:val="center"/>
        </m:oMathParaPr>
        <m:oMath>
          <m:f>
            <m:fPr>
              <m:ctrlPr>
                <w:rPr>
                  <w:rFonts w:ascii="Cambria Math" w:hAnsi="Cambria Math"/>
                </w:rPr>
              </m:ctrlPr>
            </m:fPr>
            <m:num>
              <m:r>
                <w:rPr>
                  <w:rFonts w:ascii="Cambria Math" w:hAnsi="Cambria Math"/>
                </w:rPr>
                <m:t>ADSC</m:t>
              </m:r>
            </m:num>
            <m:den>
              <m:r>
                <m:rPr>
                  <m:sty m:val="p"/>
                </m:rPr>
                <w:rPr>
                  <w:rFonts w:ascii="Cambria Math" w:hAnsi="Cambria Math"/>
                </w:rPr>
                <m:t>12</m:t>
              </m:r>
            </m:den>
          </m:f>
          <m:r>
            <m:rPr>
              <m:sty m:val="p"/>
            </m:rPr>
            <w:rPr>
              <w:rFonts w:ascii="Cambria Math" w:hAnsi="Cambria Math"/>
            </w:rPr>
            <m:t>=</m:t>
          </m:r>
          <m:r>
            <w:rPr>
              <w:rFonts w:ascii="Cambria Math" w:hAnsi="Cambria Math"/>
            </w:rPr>
            <m:t>MDSC</m:t>
          </m:r>
        </m:oMath>
      </m:oMathPara>
    </w:p>
    <w:p w14:paraId="13E28378" w14:textId="4C2C8A16" w:rsidR="00A174F9" w:rsidRDefault="00A174F9" w:rsidP="00C04307">
      <w:pPr>
        <w:pStyle w:val="Paragraph"/>
      </w:pPr>
      <w:r>
        <w:t>The DIP Manager shall, each month, determine each DIP Payee’s DIP Standing Charge</w:t>
      </w:r>
      <w:r w:rsidR="003954C8">
        <w:t xml:space="preserve"> (DSC)</w:t>
      </w:r>
      <w:r>
        <w:t xml:space="preserve"> for that month as follows:</w:t>
      </w:r>
    </w:p>
    <w:p w14:paraId="5252A693" w14:textId="5A3FDA64" w:rsidR="00D71D83" w:rsidRPr="00C04307" w:rsidRDefault="00C04307" w:rsidP="00C04307">
      <w:pPr>
        <w:pStyle w:val="Bullets-letters"/>
        <w:numPr>
          <w:ilvl w:val="0"/>
          <w:numId w:val="111"/>
        </w:numPr>
        <w:ind w:left="720" w:hanging="436"/>
        <w:rPr>
          <w:shd w:val="clear" w:color="auto" w:fill="auto"/>
        </w:rPr>
      </w:pPr>
      <w:r>
        <w:rPr>
          <w:shd w:val="clear" w:color="auto" w:fill="auto"/>
        </w:rPr>
        <w:t>d</w:t>
      </w:r>
      <w:r w:rsidR="00D71D83" w:rsidRPr="00C04307">
        <w:rPr>
          <w:shd w:val="clear" w:color="auto" w:fill="auto"/>
        </w:rPr>
        <w:t>etermine the total number of DIP Payees registered for the month in question</w:t>
      </w:r>
      <w:r>
        <w:rPr>
          <w:shd w:val="clear" w:color="auto" w:fill="auto"/>
        </w:rPr>
        <w:t>;</w:t>
      </w:r>
    </w:p>
    <w:p w14:paraId="47CD41AC" w14:textId="780A97FA" w:rsidR="00D71D83" w:rsidRPr="00C04307" w:rsidRDefault="00C04307" w:rsidP="00C04307">
      <w:pPr>
        <w:pStyle w:val="Bullets-letters"/>
        <w:numPr>
          <w:ilvl w:val="0"/>
          <w:numId w:val="111"/>
        </w:numPr>
        <w:ind w:left="720" w:hanging="436"/>
        <w:rPr>
          <w:shd w:val="clear" w:color="auto" w:fill="auto"/>
        </w:rPr>
      </w:pPr>
      <w:r>
        <w:rPr>
          <w:shd w:val="clear" w:color="auto" w:fill="auto"/>
        </w:rPr>
        <w:t>d</w:t>
      </w:r>
      <w:r w:rsidR="00D71D83" w:rsidRPr="00C04307">
        <w:rPr>
          <w:shd w:val="clear" w:color="auto" w:fill="auto"/>
        </w:rPr>
        <w:t xml:space="preserve">ivide the </w:t>
      </w:r>
      <w:r w:rsidR="0044514A" w:rsidRPr="00C04307">
        <w:rPr>
          <w:shd w:val="clear" w:color="auto" w:fill="auto"/>
        </w:rPr>
        <w:t>MDSC</w:t>
      </w:r>
      <w:r w:rsidR="00D71D83" w:rsidRPr="00C04307">
        <w:rPr>
          <w:shd w:val="clear" w:color="auto" w:fill="auto"/>
        </w:rPr>
        <w:t xml:space="preserve"> by the total number of DIP Payees (TDP) to determine the DSC for each DIP Payee for the month in question</w:t>
      </w:r>
      <w:r>
        <w:rPr>
          <w:shd w:val="clear" w:color="auto" w:fill="auto"/>
        </w:rPr>
        <w:t>:</w:t>
      </w:r>
    </w:p>
    <w:p w14:paraId="285D4F62" w14:textId="77777777" w:rsidR="00D71D83" w:rsidRPr="00CC6F47" w:rsidRDefault="00B53D6A" w:rsidP="00CC6F47">
      <w:pPr>
        <w:pStyle w:val="Bullets-letters"/>
        <w:ind w:left="709"/>
        <w:rPr>
          <w:rFonts w:ascii="Cambria Math" w:hAnsi="Cambria Math"/>
        </w:rPr>
      </w:pPr>
      <m:oMathPara>
        <m:oMath>
          <m:f>
            <m:fPr>
              <m:ctrlPr>
                <w:rPr>
                  <w:rFonts w:ascii="Cambria Math" w:hAnsi="Cambria Math"/>
                </w:rPr>
              </m:ctrlPr>
            </m:fPr>
            <m:num>
              <m:r>
                <w:rPr>
                  <w:rFonts w:ascii="Cambria Math" w:hAnsi="Cambria Math"/>
                </w:rPr>
                <m:t>MDSC</m:t>
              </m:r>
            </m:num>
            <m:den>
              <m:r>
                <w:rPr>
                  <w:rFonts w:ascii="Cambria Math" w:hAnsi="Cambria Math"/>
                </w:rPr>
                <m:t>TDP</m:t>
              </m:r>
            </m:den>
          </m:f>
          <m:r>
            <m:rPr>
              <m:sty m:val="p"/>
            </m:rPr>
            <w:rPr>
              <w:rFonts w:ascii="Cambria Math" w:hAnsi="Cambria Math"/>
            </w:rPr>
            <m:t>=</m:t>
          </m:r>
          <m:r>
            <w:rPr>
              <w:rFonts w:ascii="Cambria Math" w:hAnsi="Cambria Math"/>
            </w:rPr>
            <m:t>DSC</m:t>
          </m:r>
        </m:oMath>
      </m:oMathPara>
    </w:p>
    <w:p w14:paraId="1EBB2BA9" w14:textId="411684AB" w:rsidR="00D71D83" w:rsidRPr="00C04307" w:rsidRDefault="00D71D83" w:rsidP="00C04307">
      <w:pPr>
        <w:pStyle w:val="Bullets-letters"/>
        <w:numPr>
          <w:ilvl w:val="0"/>
          <w:numId w:val="111"/>
        </w:numPr>
        <w:ind w:left="720" w:hanging="436"/>
        <w:rPr>
          <w:shd w:val="clear" w:color="auto" w:fill="auto"/>
        </w:rPr>
      </w:pPr>
      <w:r w:rsidRPr="00C04307">
        <w:rPr>
          <w:shd w:val="clear" w:color="auto" w:fill="auto"/>
        </w:rPr>
        <w:t>The DSC per Supplier per month can be determined using the following combined equation:</w:t>
      </w:r>
    </w:p>
    <w:p w14:paraId="0D86A9B2" w14:textId="77777777" w:rsidR="00D71D83" w:rsidRPr="00CC6F47" w:rsidRDefault="00B53D6A" w:rsidP="00CC6F47">
      <w:pPr>
        <w:pStyle w:val="Bullets-letters"/>
        <w:ind w:left="709"/>
        <w:rPr>
          <w:rFonts w:ascii="Cambria Math" w:hAnsi="Cambria Math"/>
        </w:rPr>
      </w:pPr>
      <m:oMathPara>
        <m:oMath>
          <m:f>
            <m:fPr>
              <m:ctrlPr>
                <w:rPr>
                  <w:rFonts w:ascii="Cambria Math" w:hAnsi="Cambria Math"/>
                </w:rPr>
              </m:ctrlPr>
            </m:fPr>
            <m:num>
              <m:r>
                <w:rPr>
                  <w:rFonts w:ascii="Cambria Math" w:hAnsi="Cambria Math"/>
                </w:rPr>
                <m:t>ADC</m:t>
              </m:r>
              <m:r>
                <m:rPr>
                  <m:sty m:val="p"/>
                </m:rPr>
                <w:rPr>
                  <w:rFonts w:ascii="Cambria Math" w:hAnsi="Cambria Math"/>
                </w:rPr>
                <m:t xml:space="preserve"> × </m:t>
              </m:r>
              <m:r>
                <w:rPr>
                  <w:rFonts w:ascii="Cambria Math" w:hAnsi="Cambria Math"/>
                </w:rPr>
                <m:t>ADSC</m:t>
              </m:r>
              <m:r>
                <m:rPr>
                  <m:sty m:val="p"/>
                </m:rPr>
                <w:rPr>
                  <w:rFonts w:ascii="Cambria Math" w:hAnsi="Cambria Math"/>
                </w:rPr>
                <m:t>%</m:t>
              </m:r>
            </m:num>
            <m:den>
              <m:r>
                <m:rPr>
                  <m:sty m:val="p"/>
                </m:rPr>
                <w:rPr>
                  <w:rFonts w:ascii="Cambria Math" w:hAnsi="Cambria Math"/>
                </w:rPr>
                <m:t xml:space="preserve">12 × </m:t>
              </m:r>
              <m:r>
                <w:rPr>
                  <w:rFonts w:ascii="Cambria Math" w:hAnsi="Cambria Math"/>
                </w:rPr>
                <m:t>TDP</m:t>
              </m:r>
            </m:den>
          </m:f>
          <m:r>
            <m:rPr>
              <m:sty m:val="p"/>
            </m:rPr>
            <w:rPr>
              <w:rFonts w:ascii="Cambria Math" w:hAnsi="Cambria Math"/>
            </w:rPr>
            <m:t>=</m:t>
          </m:r>
          <m:r>
            <w:rPr>
              <w:rFonts w:ascii="Cambria Math" w:hAnsi="Cambria Math"/>
            </w:rPr>
            <m:t>DSC</m:t>
          </m:r>
        </m:oMath>
      </m:oMathPara>
    </w:p>
    <w:p w14:paraId="0228C718" w14:textId="77777777" w:rsidR="00D71D83" w:rsidRPr="00D71D83" w:rsidRDefault="00D71D83" w:rsidP="00C04307">
      <w:pPr>
        <w:pStyle w:val="Paragraph"/>
      </w:pPr>
      <w:r w:rsidRPr="00D71D83">
        <w:t>For example:</w:t>
      </w:r>
    </w:p>
    <w:p w14:paraId="716A8463" w14:textId="01AB38E2" w:rsidR="00D71D83" w:rsidRPr="00BB6659" w:rsidRDefault="00C04307" w:rsidP="00CC6F47">
      <w:pPr>
        <w:pStyle w:val="Bullets-letters"/>
        <w:numPr>
          <w:ilvl w:val="0"/>
          <w:numId w:val="54"/>
        </w:numPr>
        <w:ind w:left="709" w:hanging="425"/>
      </w:pPr>
      <w:r>
        <w:t>i</w:t>
      </w:r>
      <w:r w:rsidR="00D71D83" w:rsidRPr="00BB6659">
        <w:t>f ADC are £4.8m;</w:t>
      </w:r>
    </w:p>
    <w:p w14:paraId="1E65AB4D" w14:textId="0287A81E" w:rsidR="00D71D83" w:rsidRPr="00CC6F47" w:rsidRDefault="00C04307" w:rsidP="00CC6F47">
      <w:pPr>
        <w:pStyle w:val="Bullets-letters"/>
        <w:numPr>
          <w:ilvl w:val="0"/>
          <w:numId w:val="54"/>
        </w:numPr>
        <w:ind w:left="709" w:hanging="425"/>
      </w:pPr>
      <w:r>
        <w:t>t</w:t>
      </w:r>
      <w:r w:rsidR="00D71D83" w:rsidRPr="00BB6659">
        <w:t>he ADSC% is determined to be 25%, then the ADSC shall be £1.2m;</w:t>
      </w:r>
    </w:p>
    <w:p w14:paraId="3D697194" w14:textId="67358BDC" w:rsidR="00D71D83" w:rsidRPr="00CC6F47" w:rsidRDefault="00C04307" w:rsidP="00CC6F47">
      <w:pPr>
        <w:pStyle w:val="Bullets-letters"/>
        <w:numPr>
          <w:ilvl w:val="0"/>
          <w:numId w:val="54"/>
        </w:numPr>
        <w:ind w:left="709" w:hanging="425"/>
      </w:pPr>
      <w:r>
        <w:t>t</w:t>
      </w:r>
      <w:r w:rsidR="00D71D83" w:rsidRPr="00CC6F47">
        <w:t>he MDSC shall be £100k;</w:t>
      </w:r>
    </w:p>
    <w:p w14:paraId="17976231" w14:textId="4C93A68C" w:rsidR="004B5C5A" w:rsidRPr="00625E99" w:rsidRDefault="00C04307" w:rsidP="009B1CB2">
      <w:pPr>
        <w:pStyle w:val="Bullets-letters"/>
        <w:numPr>
          <w:ilvl w:val="0"/>
          <w:numId w:val="54"/>
        </w:numPr>
        <w:ind w:left="709" w:hanging="425"/>
      </w:pPr>
      <w:r>
        <w:t>i</w:t>
      </w:r>
      <w:r w:rsidR="00D71D83" w:rsidRPr="00CC6F47">
        <w:t>f the total number of DIP Payees for the given month is 50, then the DSC for each DIP Payee shall be £2,000 for that month</w:t>
      </w:r>
      <w:r>
        <w:t>:</w:t>
      </w:r>
    </w:p>
    <w:p w14:paraId="092CAF56" w14:textId="1DC13192" w:rsidR="00D71D83" w:rsidRPr="00CC6F47" w:rsidRDefault="00B53D6A" w:rsidP="00CC6F47">
      <w:pPr>
        <w:pStyle w:val="Bullets-letters"/>
        <w:ind w:left="709"/>
        <w:rPr>
          <w:rFonts w:ascii="Cambria Math" w:hAnsi="Cambria Math"/>
        </w:rPr>
      </w:pPr>
      <m:oMathPara>
        <m:oMath>
          <m:f>
            <m:fPr>
              <m:ctrlPr>
                <w:rPr>
                  <w:rFonts w:ascii="Cambria Math" w:hAnsi="Cambria Math"/>
                </w:rPr>
              </m:ctrlPr>
            </m:fPr>
            <m:num>
              <m:r>
                <m:rPr>
                  <m:sty m:val="p"/>
                </m:rPr>
                <w:rPr>
                  <w:rFonts w:ascii="Cambria Math" w:hAnsi="Cambria Math"/>
                </w:rPr>
                <m:t>£4,800,000 × 25%</m:t>
              </m:r>
            </m:num>
            <m:den>
              <m:r>
                <m:rPr>
                  <m:sty m:val="p"/>
                </m:rPr>
                <w:rPr>
                  <w:rFonts w:ascii="Cambria Math" w:hAnsi="Cambria Math"/>
                </w:rPr>
                <m:t>12 × 50</m:t>
              </m:r>
            </m:den>
          </m:f>
          <m:r>
            <m:rPr>
              <m:sty m:val="p"/>
            </m:rPr>
            <w:rPr>
              <w:rFonts w:ascii="Cambria Math" w:hAnsi="Cambria Math"/>
            </w:rPr>
            <m:t>=£2,000</m:t>
          </m:r>
        </m:oMath>
      </m:oMathPara>
    </w:p>
    <w:p w14:paraId="124F3B08" w14:textId="77777777" w:rsidR="00D71D83" w:rsidRPr="00CC6F47" w:rsidRDefault="00D71D83" w:rsidP="00CC6F47">
      <w:pPr>
        <w:pStyle w:val="Bullets-letters"/>
        <w:ind w:left="709"/>
        <w:rPr>
          <w:b/>
          <w:i/>
          <w:u w:val="single"/>
        </w:rPr>
      </w:pPr>
      <w:r w:rsidRPr="00CC6F47">
        <w:rPr>
          <w:b/>
          <w:i/>
          <w:u w:val="single"/>
        </w:rPr>
        <w:t>These figures are for illustrative purposes only and are not to be taken as indicative DIP Costs etc.</w:t>
      </w:r>
    </w:p>
    <w:p w14:paraId="04984BA5" w14:textId="4274FE1A" w:rsidR="00D71D83" w:rsidRPr="00D71D83" w:rsidRDefault="003954C8" w:rsidP="009B1CB2">
      <w:pPr>
        <w:pStyle w:val="Heading2"/>
      </w:pPr>
      <w:bookmarkStart w:id="65" w:name="_Toc169521597"/>
      <w:r>
        <w:lastRenderedPageBreak/>
        <w:t xml:space="preserve">Determination of </w:t>
      </w:r>
      <w:r w:rsidR="00D71D83" w:rsidRPr="00D71D83">
        <w:t>Funding Share</w:t>
      </w:r>
      <w:r w:rsidR="00183C01">
        <w:t>s</w:t>
      </w:r>
      <w:bookmarkEnd w:id="65"/>
    </w:p>
    <w:p w14:paraId="619AB316" w14:textId="3CE20BAD" w:rsidR="00D71D83" w:rsidRPr="00D71D83" w:rsidRDefault="00D71D83" w:rsidP="00C04307">
      <w:pPr>
        <w:pStyle w:val="Paragraph"/>
      </w:pPr>
      <w:r w:rsidRPr="00D71D83">
        <w:t xml:space="preserve">Each DIP Payee’s </w:t>
      </w:r>
      <w:r w:rsidR="003954C8">
        <w:t>Non-Standing Charges</w:t>
      </w:r>
      <w:r w:rsidR="003954C8" w:rsidRPr="00D71D83">
        <w:t xml:space="preserve"> </w:t>
      </w:r>
      <w:r w:rsidRPr="00D71D83">
        <w:t xml:space="preserve">shall be relative to their Funding Share which shall be determined each month by the DIP Manager based on the number of MPANs per Supplier recorded in the DIP </w:t>
      </w:r>
      <w:r w:rsidR="0044514A">
        <w:t>MAMS</w:t>
      </w:r>
      <w:r w:rsidRPr="00D71D83">
        <w:t>, and the number of Suppliers registered as a DIP User.</w:t>
      </w:r>
    </w:p>
    <w:p w14:paraId="06D52B09" w14:textId="7000450A" w:rsidR="00D71D83" w:rsidRPr="00D71D83" w:rsidRDefault="00D71D83" w:rsidP="00C04307">
      <w:pPr>
        <w:pStyle w:val="Paragraph"/>
      </w:pPr>
      <w:r>
        <w:t>The DIP Manager shall retrieve the number of MPANs registered per Supplier from</w:t>
      </w:r>
      <w:r w:rsidR="002630F2">
        <w:t xml:space="preserve"> the</w:t>
      </w:r>
      <w:r>
        <w:t xml:space="preserve"> DIP as a report that will be generated automatically by the DIP. This report will be run </w:t>
      </w:r>
      <w:r w:rsidR="007137AE">
        <w:t>5</w:t>
      </w:r>
      <w:r w:rsidRPr="00C04307">
        <w:t xml:space="preserve"> </w:t>
      </w:r>
      <w:r>
        <w:t>WD</w:t>
      </w:r>
      <w:r w:rsidR="00AC546F">
        <w:t xml:space="preserve"> </w:t>
      </w:r>
      <w:r>
        <w:t xml:space="preserve">after the start of each month. For example, the data for </w:t>
      </w:r>
      <w:r w:rsidR="007A3202">
        <w:t xml:space="preserve">calculating each DIP Payee’s </w:t>
      </w:r>
      <w:r w:rsidR="00793FB5">
        <w:t xml:space="preserve">October </w:t>
      </w:r>
      <w:r w:rsidR="007A3202">
        <w:t xml:space="preserve">DIP Charges </w:t>
      </w:r>
      <w:r>
        <w:t xml:space="preserve">shall be reported to the DIP Manager on the </w:t>
      </w:r>
      <w:r w:rsidR="007137AE">
        <w:t>5</w:t>
      </w:r>
      <w:r>
        <w:t xml:space="preserve"> </w:t>
      </w:r>
      <w:r w:rsidR="00473DDC">
        <w:t>WD</w:t>
      </w:r>
      <w:r>
        <w:t xml:space="preserve"> of </w:t>
      </w:r>
      <w:r w:rsidR="00793FB5">
        <w:t>September</w:t>
      </w:r>
      <w:r>
        <w:t xml:space="preserve">. </w:t>
      </w:r>
    </w:p>
    <w:p w14:paraId="3AE0BC28" w14:textId="50EF4B1B" w:rsidR="00D71D83" w:rsidRPr="00D71D83" w:rsidRDefault="00D71D83" w:rsidP="00C04307">
      <w:pPr>
        <w:pStyle w:val="Paragraph"/>
      </w:pPr>
      <w:r w:rsidRPr="00D71D83">
        <w:t xml:space="preserve">To determine each </w:t>
      </w:r>
      <w:r w:rsidR="00305E42">
        <w:t>Supplier’s Funding Share (</w:t>
      </w:r>
      <w:r w:rsidRPr="00D71D83">
        <w:t>SFS</w:t>
      </w:r>
      <w:r w:rsidR="00305E42">
        <w:t>)</w:t>
      </w:r>
      <w:r w:rsidR="00491C84">
        <w:t xml:space="preserve"> </w:t>
      </w:r>
      <w:r w:rsidRPr="00D71D83">
        <w:t>the DIP Manager shall:</w:t>
      </w:r>
    </w:p>
    <w:p w14:paraId="476AE673" w14:textId="77777777" w:rsidR="0005093A" w:rsidRDefault="00704C67" w:rsidP="0005093A">
      <w:pPr>
        <w:pStyle w:val="Bullets-letters"/>
        <w:numPr>
          <w:ilvl w:val="0"/>
          <w:numId w:val="55"/>
        </w:numPr>
        <w:ind w:left="709" w:hanging="425"/>
      </w:pPr>
      <w:r>
        <w:t>d</w:t>
      </w:r>
      <w:r w:rsidR="00D71D83" w:rsidRPr="00D71D83">
        <w:t>etermine which Suppliers are DIP Payees each month</w:t>
      </w:r>
      <w:r>
        <w:t>;</w:t>
      </w:r>
    </w:p>
    <w:p w14:paraId="5CCDDDD0" w14:textId="77777777" w:rsidR="0005093A" w:rsidRDefault="00704C67" w:rsidP="0005093A">
      <w:pPr>
        <w:pStyle w:val="Bullets-letters"/>
        <w:numPr>
          <w:ilvl w:val="0"/>
          <w:numId w:val="55"/>
        </w:numPr>
        <w:ind w:left="709" w:hanging="425"/>
      </w:pPr>
      <w:r>
        <w:t>d</w:t>
      </w:r>
      <w:r w:rsidR="00D71D83" w:rsidRPr="00D71D83">
        <w:t xml:space="preserve">etermine the total number of MPANs (TM) registered in the </w:t>
      </w:r>
      <w:r w:rsidR="00140BC2">
        <w:t>DIP MAMS</w:t>
      </w:r>
      <w:r>
        <w:t>;</w:t>
      </w:r>
      <w:r w:rsidR="00D71D83" w:rsidRPr="0005093A" w:rsidDel="00BD6F5B">
        <w:rPr>
          <w:highlight w:val="yellow"/>
        </w:rPr>
        <w:t xml:space="preserve"> </w:t>
      </w:r>
    </w:p>
    <w:p w14:paraId="49E64A42" w14:textId="77777777" w:rsidR="0005093A" w:rsidRDefault="00D71D83" w:rsidP="0005093A">
      <w:pPr>
        <w:pStyle w:val="Bullets-letters"/>
        <w:numPr>
          <w:ilvl w:val="0"/>
          <w:numId w:val="55"/>
        </w:numPr>
        <w:ind w:left="709" w:hanging="425"/>
      </w:pPr>
      <w:r w:rsidRPr="00D71D83">
        <w:t>determine the total number of MPANs registered in the DIP M</w:t>
      </w:r>
      <w:r w:rsidR="009F5B13">
        <w:t xml:space="preserve">AMS </w:t>
      </w:r>
      <w:r w:rsidRPr="00D71D83">
        <w:t>per Supplier (MPS) that is a DIP Payee</w:t>
      </w:r>
      <w:r w:rsidR="00704C67">
        <w:t>; and</w:t>
      </w:r>
    </w:p>
    <w:p w14:paraId="01D29C72" w14:textId="53CB8EBE" w:rsidR="00D71D83" w:rsidRPr="00D71D83" w:rsidRDefault="00704C67" w:rsidP="0005093A">
      <w:pPr>
        <w:pStyle w:val="Bullets-letters"/>
        <w:numPr>
          <w:ilvl w:val="0"/>
          <w:numId w:val="55"/>
        </w:numPr>
        <w:ind w:left="709" w:hanging="425"/>
      </w:pPr>
      <w:r>
        <w:t>f</w:t>
      </w:r>
      <w:r w:rsidR="00D71D83" w:rsidRPr="00D71D83">
        <w:t>or each Supplier, divide the total number of MPS</w:t>
      </w:r>
      <w:r w:rsidR="00305E42">
        <w:t xml:space="preserve"> </w:t>
      </w:r>
      <w:r w:rsidR="00D71D83" w:rsidRPr="00D71D83">
        <w:t>by the total number of MPANs (TM) and times the answer by 100 to give a percentage</w:t>
      </w:r>
      <w:r w:rsidR="0005093A">
        <w:t>:</w:t>
      </w:r>
    </w:p>
    <w:p w14:paraId="07C87558" w14:textId="77777777" w:rsidR="00D71D83" w:rsidRPr="00CC6F47" w:rsidRDefault="00B53D6A" w:rsidP="00CC6F47">
      <w:pPr>
        <w:pStyle w:val="Bullets-letters"/>
        <w:ind w:left="709"/>
        <w:rPr>
          <w:rFonts w:ascii="Cambria Math" w:hAnsi="Cambria Math"/>
        </w:rPr>
      </w:pPr>
      <m:oMathPara>
        <m:oMath>
          <m:f>
            <m:fPr>
              <m:ctrlPr>
                <w:rPr>
                  <w:rFonts w:ascii="Cambria Math" w:hAnsi="Cambria Math"/>
                </w:rPr>
              </m:ctrlPr>
            </m:fPr>
            <m:num>
              <m:r>
                <w:rPr>
                  <w:rFonts w:ascii="Cambria Math" w:hAnsi="Cambria Math"/>
                </w:rPr>
                <m:t>MPS</m:t>
              </m:r>
            </m:num>
            <m:den>
              <m:r>
                <w:rPr>
                  <w:rFonts w:ascii="Cambria Math" w:hAnsi="Cambria Math"/>
                </w:rPr>
                <m:t>TM</m:t>
              </m:r>
            </m:den>
          </m:f>
          <m:r>
            <m:rPr>
              <m:sty m:val="p"/>
            </m:rPr>
            <w:rPr>
              <w:rFonts w:ascii="Cambria Math" w:hAnsi="Cambria Math"/>
            </w:rPr>
            <m:t xml:space="preserve"> ×100 =</m:t>
          </m:r>
          <m:r>
            <w:rPr>
              <w:rFonts w:ascii="Cambria Math" w:hAnsi="Cambria Math"/>
            </w:rPr>
            <m:t>SFS</m:t>
          </m:r>
        </m:oMath>
      </m:oMathPara>
    </w:p>
    <w:p w14:paraId="304A5FBA" w14:textId="5D57BC93" w:rsidR="00D71D83" w:rsidRPr="00D71D83" w:rsidRDefault="00D71D83" w:rsidP="00C04307">
      <w:pPr>
        <w:pStyle w:val="Paragraph"/>
      </w:pPr>
      <w:r w:rsidRPr="00D71D83">
        <w:t xml:space="preserve">For example, if a Supplier has 5.6m MPS registered, and there are 28m MPANs in total (TM), then that </w:t>
      </w:r>
      <w:r w:rsidR="007C07AA" w:rsidRPr="00D71D83">
        <w:t>S</w:t>
      </w:r>
      <w:r w:rsidR="007C07AA">
        <w:t>F</w:t>
      </w:r>
      <w:r w:rsidR="007C07AA" w:rsidRPr="00D71D83">
        <w:t>S</w:t>
      </w:r>
      <w:r w:rsidR="007C07AA">
        <w:tab/>
      </w:r>
      <w:r w:rsidRPr="00D71D83">
        <w:t xml:space="preserve"> is 20% </w:t>
      </w:r>
    </w:p>
    <w:p w14:paraId="30473A3A" w14:textId="77777777" w:rsidR="00D71D83" w:rsidRPr="00CC6F47" w:rsidRDefault="00B53D6A" w:rsidP="00CC6F47">
      <w:pPr>
        <w:pStyle w:val="Bullets-letters"/>
        <w:ind w:left="709"/>
        <w:rPr>
          <w:rFonts w:ascii="Cambria Math" w:hAnsi="Cambria Math"/>
        </w:rPr>
      </w:pPr>
      <m:oMathPara>
        <m:oMath>
          <m:f>
            <m:fPr>
              <m:ctrlPr>
                <w:rPr>
                  <w:rFonts w:ascii="Cambria Math" w:hAnsi="Cambria Math"/>
                </w:rPr>
              </m:ctrlPr>
            </m:fPr>
            <m:num>
              <m:r>
                <m:rPr>
                  <m:sty m:val="p"/>
                </m:rPr>
                <w:rPr>
                  <w:rFonts w:ascii="Cambria Math" w:hAnsi="Cambria Math"/>
                </w:rPr>
                <m:t>5.6</m:t>
              </m:r>
              <m:r>
                <w:rPr>
                  <w:rFonts w:ascii="Cambria Math" w:hAnsi="Cambria Math"/>
                </w:rPr>
                <m:t>m</m:t>
              </m:r>
            </m:num>
            <m:den>
              <m:r>
                <m:rPr>
                  <m:sty m:val="p"/>
                </m:rPr>
                <w:rPr>
                  <w:rFonts w:ascii="Cambria Math" w:hAnsi="Cambria Math"/>
                </w:rPr>
                <m:t>28</m:t>
              </m:r>
              <m:r>
                <w:rPr>
                  <w:rFonts w:ascii="Cambria Math" w:hAnsi="Cambria Math"/>
                </w:rPr>
                <m:t>m</m:t>
              </m:r>
            </m:den>
          </m:f>
          <m:r>
            <m:rPr>
              <m:sty m:val="p"/>
            </m:rPr>
            <w:rPr>
              <w:rFonts w:ascii="Cambria Math" w:hAnsi="Cambria Math"/>
            </w:rPr>
            <m:t xml:space="preserve"> ×100 =20%</m:t>
          </m:r>
        </m:oMath>
      </m:oMathPara>
    </w:p>
    <w:p w14:paraId="3791A198" w14:textId="718C2ACD" w:rsidR="00D71D83" w:rsidRPr="00CC6F47" w:rsidRDefault="00D71D83" w:rsidP="00CC6F47">
      <w:pPr>
        <w:pStyle w:val="Bullets-letters"/>
        <w:ind w:left="709"/>
        <w:rPr>
          <w:b/>
          <w:i/>
          <w:u w:val="single"/>
        </w:rPr>
      </w:pPr>
      <w:r w:rsidRPr="00CC6F47">
        <w:rPr>
          <w:b/>
          <w:i/>
          <w:u w:val="single"/>
        </w:rPr>
        <w:t>These figures are for illustrative purposes only and are not to be taken as indicative Funding Shares for any DIP Payee</w:t>
      </w:r>
      <w:r w:rsidR="007A3202">
        <w:rPr>
          <w:b/>
          <w:i/>
          <w:u w:val="single"/>
        </w:rPr>
        <w:t>.</w:t>
      </w:r>
    </w:p>
    <w:p w14:paraId="68F1103B" w14:textId="4FF2FCBF" w:rsidR="00D71D83" w:rsidRPr="00D71D83" w:rsidRDefault="00D71D83" w:rsidP="009B1CB2">
      <w:pPr>
        <w:pStyle w:val="Heading2"/>
      </w:pPr>
      <w:bookmarkStart w:id="66" w:name="_Toc169521598"/>
      <w:r w:rsidRPr="00D71D83">
        <w:t>DIP Non-Standing Charges</w:t>
      </w:r>
      <w:r w:rsidR="003954C8">
        <w:t xml:space="preserve"> (DNSC)</w:t>
      </w:r>
      <w:bookmarkEnd w:id="66"/>
    </w:p>
    <w:p w14:paraId="03089F06" w14:textId="173793B7" w:rsidR="00D71D83" w:rsidRPr="00D71D83" w:rsidRDefault="00D71D83" w:rsidP="00C04307">
      <w:pPr>
        <w:pStyle w:val="Paragraph"/>
      </w:pPr>
      <w:r w:rsidRPr="00D71D83">
        <w:t xml:space="preserve">The DNSC shall be recovered from DIP Payees each month by determining the DIP Costs minus the </w:t>
      </w:r>
      <w:r w:rsidR="004F40CE">
        <w:t>DSC</w:t>
      </w:r>
      <w:r w:rsidRPr="00D71D83">
        <w:t xml:space="preserve"> and </w:t>
      </w:r>
      <w:r w:rsidR="00242CF7">
        <w:t>allocating</w:t>
      </w:r>
      <w:r w:rsidR="00242CF7" w:rsidRPr="00D71D83">
        <w:t xml:space="preserve"> </w:t>
      </w:r>
      <w:r w:rsidRPr="00D71D83">
        <w:t xml:space="preserve">the </w:t>
      </w:r>
      <w:r w:rsidR="00242CF7">
        <w:t xml:space="preserve">resulting </w:t>
      </w:r>
      <w:r w:rsidRPr="00D71D83">
        <w:t xml:space="preserve">amount amongst DIP Payees based on their </w:t>
      </w:r>
      <w:r w:rsidR="007C07AA">
        <w:t>SFS</w:t>
      </w:r>
      <w:r w:rsidRPr="00D71D83">
        <w:t>.</w:t>
      </w:r>
    </w:p>
    <w:p w14:paraId="7CC958C1" w14:textId="77777777" w:rsidR="00D71D83" w:rsidRPr="00D71D83" w:rsidRDefault="00D71D83" w:rsidP="00C04307">
      <w:pPr>
        <w:pStyle w:val="Paragraph"/>
      </w:pPr>
      <w:r w:rsidRPr="00D71D83">
        <w:t>To determine the DNSC each month the DIP Manager shall:</w:t>
      </w:r>
    </w:p>
    <w:p w14:paraId="6832D9F5" w14:textId="3A02FA7F" w:rsidR="0005093A" w:rsidRDefault="0005093A" w:rsidP="0005093A">
      <w:pPr>
        <w:pStyle w:val="Bullets-letters"/>
        <w:numPr>
          <w:ilvl w:val="0"/>
          <w:numId w:val="56"/>
        </w:numPr>
        <w:ind w:left="709" w:hanging="425"/>
      </w:pPr>
      <w:r>
        <w:t>u</w:t>
      </w:r>
      <w:r w:rsidR="00D71D83" w:rsidRPr="00BB6659">
        <w:t xml:space="preserve">pdate their forecast of ADC for the DIP Year to give </w:t>
      </w:r>
      <w:r w:rsidR="007A3202">
        <w:t xml:space="preserve">the </w:t>
      </w:r>
      <w:r>
        <w:t>RADC;</w:t>
      </w:r>
    </w:p>
    <w:p w14:paraId="7C60E98A" w14:textId="5829D91A" w:rsidR="00D71D83" w:rsidRPr="00CC6F47" w:rsidRDefault="0005093A" w:rsidP="0005093A">
      <w:pPr>
        <w:pStyle w:val="Bullets-letters"/>
        <w:numPr>
          <w:ilvl w:val="0"/>
          <w:numId w:val="56"/>
        </w:numPr>
        <w:ind w:left="709" w:hanging="425"/>
      </w:pPr>
      <w:r>
        <w:t>d</w:t>
      </w:r>
      <w:r w:rsidR="00D71D83" w:rsidRPr="00BB6659">
        <w:t xml:space="preserve">etermine the </w:t>
      </w:r>
      <w:r w:rsidR="00183C01">
        <w:t xml:space="preserve">total amount to be recovered by the </w:t>
      </w:r>
      <w:r w:rsidR="00D71D83" w:rsidRPr="00BB6659">
        <w:t>DIP Manager</w:t>
      </w:r>
      <w:r w:rsidR="00183C01">
        <w:t xml:space="preserve"> through the</w:t>
      </w:r>
      <w:r w:rsidR="00D71D83" w:rsidRPr="00BB6659">
        <w:t xml:space="preserve"> annual DIP Non-Standing Charges (UADNSC) for the DIP </w:t>
      </w:r>
      <w:r w:rsidR="00242CF7">
        <w:t>Y</w:t>
      </w:r>
      <w:r w:rsidR="00D71D83" w:rsidRPr="00BB6659">
        <w:t xml:space="preserve">ear by subtracting the ADSC </w:t>
      </w:r>
      <w:r w:rsidR="00D71D83" w:rsidRPr="00CC6F47">
        <w:t>from the RADC</w:t>
      </w:r>
      <w:r>
        <w:t>:</w:t>
      </w:r>
    </w:p>
    <w:p w14:paraId="2CEC5882" w14:textId="77777777" w:rsidR="00D71D83" w:rsidRPr="00CC6F47" w:rsidRDefault="00D71D83" w:rsidP="00CC6F47">
      <w:pPr>
        <w:pStyle w:val="Bullets-letters"/>
        <w:ind w:left="709"/>
        <w:rPr>
          <w:rFonts w:ascii="Cambria Math" w:hAnsi="Cambria Math"/>
        </w:rPr>
      </w:pPr>
      <m:oMathPara>
        <m:oMath>
          <m:r>
            <w:rPr>
              <w:rFonts w:ascii="Cambria Math" w:hAnsi="Cambria Math"/>
            </w:rPr>
            <m:t>RADC</m:t>
          </m:r>
          <m:r>
            <m:rPr>
              <m:sty m:val="p"/>
            </m:rPr>
            <w:rPr>
              <w:rFonts w:ascii="Cambria Math" w:hAnsi="Cambria Math"/>
            </w:rPr>
            <m:t>-</m:t>
          </m:r>
          <m:r>
            <w:rPr>
              <w:rFonts w:ascii="Cambria Math" w:hAnsi="Cambria Math"/>
            </w:rPr>
            <m:t>ADSC</m:t>
          </m:r>
          <m:r>
            <m:rPr>
              <m:sty m:val="p"/>
            </m:rPr>
            <w:rPr>
              <w:rFonts w:ascii="Cambria Math" w:hAnsi="Cambria Math"/>
            </w:rPr>
            <m:t>=</m:t>
          </m:r>
          <m:r>
            <w:rPr>
              <w:rFonts w:ascii="Cambria Math" w:hAnsi="Cambria Math"/>
            </w:rPr>
            <m:t>UADNSC</m:t>
          </m:r>
        </m:oMath>
      </m:oMathPara>
    </w:p>
    <w:p w14:paraId="020C32FF" w14:textId="3B50680E" w:rsidR="00D71D83" w:rsidRPr="00BB6659" w:rsidRDefault="0005093A" w:rsidP="0005093A">
      <w:pPr>
        <w:pStyle w:val="Bullets-letters"/>
        <w:numPr>
          <w:ilvl w:val="0"/>
          <w:numId w:val="56"/>
        </w:numPr>
        <w:ind w:left="709" w:hanging="425"/>
      </w:pPr>
      <w:r>
        <w:lastRenderedPageBreak/>
        <w:t>t</w:t>
      </w:r>
      <w:r w:rsidR="00D71D83" w:rsidRPr="00BB6659">
        <w:t xml:space="preserve">he UADNSC shall then be divided by 12 to give the </w:t>
      </w:r>
      <w:r w:rsidR="007C5041">
        <w:t xml:space="preserve">total </w:t>
      </w:r>
      <w:r w:rsidR="00D71D83" w:rsidRPr="00BB6659">
        <w:t xml:space="preserve">Monthly DIP </w:t>
      </w:r>
      <w:r w:rsidR="00EB1284">
        <w:t>Charges</w:t>
      </w:r>
      <w:r w:rsidR="00EB1284" w:rsidRPr="00BB6659">
        <w:t xml:space="preserve"> </w:t>
      </w:r>
      <w:r w:rsidR="00DB5603">
        <w:t xml:space="preserve">for all DIP Payees </w:t>
      </w:r>
      <w:r w:rsidR="00D71D83" w:rsidRPr="00BB6659">
        <w:t>(MDNSC)</w:t>
      </w:r>
      <w:r>
        <w:t>:</w:t>
      </w:r>
    </w:p>
    <w:p w14:paraId="290D03DB" w14:textId="77777777" w:rsidR="00D71D83" w:rsidRPr="00CC6F47" w:rsidRDefault="00B53D6A" w:rsidP="00CC6F47">
      <w:pPr>
        <w:pStyle w:val="Bullets-letters"/>
        <w:ind w:left="709"/>
        <w:rPr>
          <w:rFonts w:ascii="Cambria Math" w:hAnsi="Cambria Math"/>
          <w:i/>
          <w:iCs/>
        </w:rPr>
      </w:pPr>
      <m:oMathPara>
        <m:oMath>
          <m:f>
            <m:fPr>
              <m:ctrlPr>
                <w:rPr>
                  <w:rFonts w:ascii="Cambria Math" w:hAnsi="Cambria Math"/>
                  <w:i/>
                  <w:iCs/>
                </w:rPr>
              </m:ctrlPr>
            </m:fPr>
            <m:num>
              <m:r>
                <w:rPr>
                  <w:rFonts w:ascii="Cambria Math" w:hAnsi="Cambria Math"/>
                </w:rPr>
                <m:t>UADNSC</m:t>
              </m:r>
            </m:num>
            <m:den>
              <m:r>
                <w:rPr>
                  <w:rFonts w:ascii="Cambria Math" w:hAnsi="Cambria Math"/>
                </w:rPr>
                <m:t>12</m:t>
              </m:r>
            </m:den>
          </m:f>
          <m:r>
            <w:rPr>
              <w:rFonts w:ascii="Cambria Math" w:hAnsi="Cambria Math"/>
            </w:rPr>
            <m:t>=MDNSC</m:t>
          </m:r>
        </m:oMath>
      </m:oMathPara>
    </w:p>
    <w:p w14:paraId="7359AA45" w14:textId="5C3DB77B" w:rsidR="00D71D83" w:rsidRPr="00BB6659" w:rsidRDefault="0005093A" w:rsidP="0005093A">
      <w:pPr>
        <w:pStyle w:val="Bullets-letters"/>
        <w:numPr>
          <w:ilvl w:val="0"/>
          <w:numId w:val="56"/>
        </w:numPr>
        <w:ind w:left="709" w:hanging="425"/>
      </w:pPr>
      <w:r>
        <w:t>o</w:t>
      </w:r>
      <w:r w:rsidR="00D71D83" w:rsidRPr="00BB6659">
        <w:t xml:space="preserve">nce the MDNSC has been determined, it shall be summed for the total months to date - </w:t>
      </w:r>
      <w:proofErr w:type="spellStart"/>
      <w:r w:rsidR="00D71D83" w:rsidRPr="00BB6659">
        <w:t>Σ</w:t>
      </w:r>
      <w:r w:rsidR="00D71D83" w:rsidRPr="00CC6F47">
        <w:t>m</w:t>
      </w:r>
      <w:r w:rsidR="00D71D83" w:rsidRPr="00BB6659">
        <w:t>MDNSC</w:t>
      </w:r>
      <w:proofErr w:type="spellEnd"/>
      <w:r w:rsidR="00D71D83" w:rsidRPr="00BB6659">
        <w:t xml:space="preserve">, where </w:t>
      </w:r>
      <w:proofErr w:type="spellStart"/>
      <w:r w:rsidR="00D71D83" w:rsidRPr="00BB6659">
        <w:t>Σ</w:t>
      </w:r>
      <w:r w:rsidR="00D71D83" w:rsidRPr="00CC6F47">
        <w:t>m</w:t>
      </w:r>
      <w:proofErr w:type="spellEnd"/>
      <w:r w:rsidR="00D71D83" w:rsidRPr="00CC6F47">
        <w:t xml:space="preserve"> is </w:t>
      </w:r>
      <w:r w:rsidR="00D71D83" w:rsidRPr="00BB6659">
        <w:t>the sum over all of the months of the DIP Year up to and including month m</w:t>
      </w:r>
      <w:r>
        <w:t>;</w:t>
      </w:r>
    </w:p>
    <w:p w14:paraId="51E6155F" w14:textId="291A593F" w:rsidR="00D71D83" w:rsidRPr="00BB6659" w:rsidRDefault="0005093A" w:rsidP="0005093A">
      <w:pPr>
        <w:pStyle w:val="Bullets-letters"/>
        <w:numPr>
          <w:ilvl w:val="0"/>
          <w:numId w:val="56"/>
        </w:numPr>
        <w:ind w:left="709" w:hanging="425"/>
      </w:pPr>
      <w:r>
        <w:t>t</w:t>
      </w:r>
      <w:r w:rsidR="00D71D83" w:rsidRPr="00BB6659">
        <w:t xml:space="preserve">he DIP Manager </w:t>
      </w:r>
      <w:r w:rsidR="00EA615F">
        <w:t>sha</w:t>
      </w:r>
      <w:r w:rsidR="00EA615F" w:rsidRPr="00BB6659">
        <w:t xml:space="preserve">ll </w:t>
      </w:r>
      <w:r w:rsidR="00D71D83" w:rsidRPr="00BB6659">
        <w:t xml:space="preserve">then multiply the </w:t>
      </w:r>
      <w:proofErr w:type="spellStart"/>
      <w:r w:rsidR="00D71D83" w:rsidRPr="00BB6659">
        <w:t>Σ</w:t>
      </w:r>
      <w:r w:rsidR="00D71D83" w:rsidRPr="00CC6F47">
        <w:t>m</w:t>
      </w:r>
      <w:r w:rsidR="00D71D83" w:rsidRPr="00BB6659">
        <w:t>MDNSC</w:t>
      </w:r>
      <w:proofErr w:type="spellEnd"/>
      <w:r w:rsidR="00D71D83" w:rsidRPr="00BB6659">
        <w:t xml:space="preserve"> by the SFS – to give the DNSC per Supplier that month (DNSCM)</w:t>
      </w:r>
      <w:r>
        <w:t>:</w:t>
      </w:r>
    </w:p>
    <w:p w14:paraId="02CEC48B" w14:textId="291350E5" w:rsidR="00D71D83" w:rsidRPr="00CC6F47" w:rsidRDefault="00D71D83" w:rsidP="00CC6F47">
      <w:pPr>
        <w:pStyle w:val="Bullets-letters"/>
        <w:ind w:left="709"/>
        <w:rPr>
          <w:rFonts w:ascii="Cambria Math" w:hAnsi="Cambria Math"/>
          <w:i/>
          <w:iCs/>
        </w:rPr>
      </w:pPr>
      <m:oMathPara>
        <m:oMath>
          <m:r>
            <w:rPr>
              <w:rFonts w:ascii="Cambria Math" w:hAnsi="Cambria Math"/>
            </w:rPr>
            <m:t>ΣmMDNSC ×</m:t>
          </m:r>
          <m:f>
            <m:fPr>
              <m:ctrlPr>
                <w:rPr>
                  <w:rFonts w:ascii="Cambria Math" w:hAnsi="Cambria Math"/>
                  <w:i/>
                </w:rPr>
              </m:ctrlPr>
            </m:fPr>
            <m:num>
              <m:r>
                <w:rPr>
                  <w:rFonts w:ascii="Cambria Math" w:hAnsi="Cambria Math"/>
                </w:rPr>
                <m:t>SFS</m:t>
              </m:r>
            </m:num>
            <m:den>
              <m:r>
                <w:rPr>
                  <w:rFonts w:ascii="Cambria Math" w:hAnsi="Cambria Math"/>
                </w:rPr>
                <m:t>100</m:t>
              </m:r>
            </m:den>
          </m:f>
          <m:r>
            <w:rPr>
              <w:rFonts w:ascii="Cambria Math" w:hAnsi="Cambria Math"/>
            </w:rPr>
            <m:t>=DNSCM</m:t>
          </m:r>
        </m:oMath>
      </m:oMathPara>
    </w:p>
    <w:p w14:paraId="5156B29B" w14:textId="33B07F8F" w:rsidR="00D71D83" w:rsidRPr="00BB6659" w:rsidRDefault="0005093A" w:rsidP="0005093A">
      <w:pPr>
        <w:pStyle w:val="Bullets-letters"/>
        <w:numPr>
          <w:ilvl w:val="0"/>
          <w:numId w:val="56"/>
        </w:numPr>
        <w:ind w:left="709" w:hanging="425"/>
      </w:pPr>
      <w:r>
        <w:t>t</w:t>
      </w:r>
      <w:r w:rsidR="00D71D83" w:rsidRPr="00BB6659">
        <w:t>he DIP Manager shall then subtract the total amount of DNSCM costs paid to date – Σ</w:t>
      </w:r>
      <w:r w:rsidR="00D71D83" w:rsidRPr="00CC6F47">
        <w:t>m-1</w:t>
      </w:r>
      <w:r w:rsidR="00D71D83" w:rsidRPr="00BB6659">
        <w:t>DNSCM, where Σ</w:t>
      </w:r>
      <w:r w:rsidR="00D71D83" w:rsidRPr="00CC6F47">
        <w:t>m-1</w:t>
      </w:r>
      <w:r w:rsidR="00D71D83" w:rsidRPr="00BB6659">
        <w:t xml:space="preserve"> is the DNSCM payed up to the month previous to the month in which the invoice is being issued – to give the DNSC</w:t>
      </w:r>
      <w:r w:rsidR="00794708">
        <w:t>M</w:t>
      </w:r>
      <w:r w:rsidR="009B26A3">
        <w:t>P</w:t>
      </w:r>
      <w:r>
        <w:t>:</w:t>
      </w:r>
    </w:p>
    <w:p w14:paraId="060EC14D" w14:textId="65392C17" w:rsidR="00D71D83" w:rsidRPr="00CC6F47" w:rsidRDefault="00D71D83" w:rsidP="00CC6F47">
      <w:pPr>
        <w:pStyle w:val="Bullets-letters"/>
        <w:ind w:left="709"/>
        <w:jc w:val="center"/>
        <w:rPr>
          <w:rFonts w:ascii="Cambria Math" w:hAnsi="Cambria Math"/>
          <w:i/>
          <w:iCs/>
        </w:rPr>
      </w:pPr>
      <w:r w:rsidRPr="00CC6F47">
        <w:rPr>
          <w:rFonts w:ascii="Cambria Math" w:hAnsi="Cambria Math"/>
          <w:i/>
          <w:iCs/>
        </w:rPr>
        <w:t>DNSCM – Σm-1DNSCM = DNSC</w:t>
      </w:r>
      <w:r w:rsidR="00794708">
        <w:rPr>
          <w:rFonts w:ascii="Cambria Math" w:hAnsi="Cambria Math"/>
          <w:i/>
          <w:iCs/>
        </w:rPr>
        <w:t>M</w:t>
      </w:r>
      <w:r w:rsidR="009B26A3">
        <w:rPr>
          <w:rFonts w:ascii="Cambria Math" w:hAnsi="Cambria Math"/>
          <w:i/>
          <w:iCs/>
        </w:rPr>
        <w:t>P</w:t>
      </w:r>
    </w:p>
    <w:p w14:paraId="7F1A5B0B" w14:textId="3C1DBC5E" w:rsidR="00D71D83" w:rsidRPr="00BB6659" w:rsidRDefault="0005093A" w:rsidP="0005093A">
      <w:pPr>
        <w:pStyle w:val="Bullets-letters"/>
        <w:numPr>
          <w:ilvl w:val="0"/>
          <w:numId w:val="56"/>
        </w:numPr>
        <w:ind w:left="709" w:hanging="425"/>
      </w:pPr>
      <w:r>
        <w:t>t</w:t>
      </w:r>
      <w:r w:rsidR="00D71D83" w:rsidRPr="00BB6659">
        <w:t>he DSC per Supplier per month can be determined using the following combined equation:</w:t>
      </w:r>
    </w:p>
    <w:p w14:paraId="3123BE6A" w14:textId="3F673E8C" w:rsidR="00D71D83" w:rsidRPr="00CC6F47" w:rsidRDefault="00D71D83" w:rsidP="00CC6F47">
      <w:pPr>
        <w:pStyle w:val="Bullets-letters"/>
        <w:ind w:left="709"/>
        <w:jc w:val="center"/>
        <w:rPr>
          <w:rFonts w:ascii="Cambria Math" w:hAnsi="Cambria Math"/>
          <w:i/>
          <w:iCs/>
        </w:rPr>
      </w:pPr>
      <w:r w:rsidRPr="00CC6F47">
        <w:rPr>
          <w:rFonts w:ascii="Cambria Math" w:hAnsi="Cambria Math"/>
          <w:i/>
          <w:iCs/>
        </w:rPr>
        <w:t>(</w:t>
      </w:r>
      <w:proofErr w:type="spellStart"/>
      <w:r w:rsidRPr="00CC6F47">
        <w:rPr>
          <w:rFonts w:ascii="Cambria Math" w:hAnsi="Cambria Math"/>
          <w:i/>
          <w:iCs/>
        </w:rPr>
        <w:t>Σm</w:t>
      </w:r>
      <w:proofErr w:type="spellEnd"/>
      <m:oMath>
        <m:d>
          <m:dPr>
            <m:ctrlPr>
              <w:rPr>
                <w:rFonts w:ascii="Cambria Math" w:hAnsi="Cambria Math"/>
                <w:i/>
                <w:iCs/>
              </w:rPr>
            </m:ctrlPr>
          </m:dPr>
          <m:e>
            <m:f>
              <m:fPr>
                <m:ctrlPr>
                  <w:rPr>
                    <w:rFonts w:ascii="Cambria Math" w:hAnsi="Cambria Math"/>
                    <w:i/>
                    <w:iCs/>
                  </w:rPr>
                </m:ctrlPr>
              </m:fPr>
              <m:num>
                <m:r>
                  <w:rPr>
                    <w:rFonts w:ascii="Cambria Math" w:hAnsi="Cambria Math"/>
                  </w:rPr>
                  <m:t>RADC-ADSC</m:t>
                </m:r>
              </m:num>
              <m:den>
                <m:r>
                  <w:rPr>
                    <w:rFonts w:ascii="Cambria Math" w:hAnsi="Cambria Math"/>
                  </w:rPr>
                  <m:t>12</m:t>
                </m:r>
              </m:den>
            </m:f>
          </m:e>
        </m:d>
      </m:oMath>
      <w:r w:rsidRPr="00CC6F47">
        <w:rPr>
          <w:rFonts w:ascii="Cambria Math" w:hAnsi="Cambria Math"/>
          <w:i/>
          <w:iCs/>
        </w:rPr>
        <w:t xml:space="preserve"> ×</w:t>
      </w:r>
      <m:oMath>
        <m:f>
          <m:fPr>
            <m:ctrlPr>
              <w:rPr>
                <w:rFonts w:ascii="Cambria Math" w:hAnsi="Cambria Math"/>
                <w:i/>
                <w:iCs/>
              </w:rPr>
            </m:ctrlPr>
          </m:fPr>
          <m:num>
            <m:r>
              <w:rPr>
                <w:rFonts w:ascii="Cambria Math" w:hAnsi="Cambria Math"/>
              </w:rPr>
              <m:t>SFS</m:t>
            </m:r>
          </m:num>
          <m:den>
            <m:r>
              <w:rPr>
                <w:rFonts w:ascii="Cambria Math" w:hAnsi="Cambria Math"/>
              </w:rPr>
              <m:t>100</m:t>
            </m:r>
          </m:den>
        </m:f>
      </m:oMath>
      <w:r w:rsidRPr="00CC6F47">
        <w:rPr>
          <w:rFonts w:ascii="Cambria Math" w:hAnsi="Cambria Math"/>
          <w:i/>
          <w:iCs/>
        </w:rPr>
        <w:t>) – Σm-1DNSCM = DNSC</w:t>
      </w:r>
      <w:r w:rsidR="00794708">
        <w:rPr>
          <w:rFonts w:ascii="Cambria Math" w:hAnsi="Cambria Math"/>
          <w:i/>
          <w:iCs/>
        </w:rPr>
        <w:t>M</w:t>
      </w:r>
      <w:r w:rsidR="009B26A3">
        <w:rPr>
          <w:rFonts w:ascii="Cambria Math" w:hAnsi="Cambria Math"/>
          <w:i/>
          <w:iCs/>
        </w:rPr>
        <w:t>P</w:t>
      </w:r>
    </w:p>
    <w:p w14:paraId="434CC771" w14:textId="3300CC60" w:rsidR="00D71D83" w:rsidRPr="00D71D83" w:rsidRDefault="00D71D83" w:rsidP="00C04307">
      <w:pPr>
        <w:pStyle w:val="Paragraph"/>
      </w:pPr>
      <w:r w:rsidRPr="00D71D83">
        <w:t xml:space="preserve">For example (using the data </w:t>
      </w:r>
      <w:r w:rsidRPr="0005093A">
        <w:t>above</w:t>
      </w:r>
      <w:r w:rsidRPr="00D71D83">
        <w:t>) if, at the start of October:</w:t>
      </w:r>
    </w:p>
    <w:p w14:paraId="738C1935" w14:textId="4E1E78D0" w:rsidR="00D71D83" w:rsidRPr="00D71D83" w:rsidRDefault="0005093A" w:rsidP="00CC6F47">
      <w:pPr>
        <w:pStyle w:val="Bullets-letters"/>
        <w:numPr>
          <w:ilvl w:val="0"/>
          <w:numId w:val="57"/>
        </w:numPr>
        <w:ind w:left="709" w:hanging="425"/>
      </w:pPr>
      <w:r>
        <w:t>t</w:t>
      </w:r>
      <w:r w:rsidR="00D71D83" w:rsidRPr="00D71D83">
        <w:t xml:space="preserve">he RADC is the same as the ADC of £4.8m, and has been all year; </w:t>
      </w:r>
    </w:p>
    <w:p w14:paraId="60AFFA51" w14:textId="74280FE8" w:rsidR="00D71D83" w:rsidRPr="00D71D83" w:rsidRDefault="0005093A" w:rsidP="00CC6F47">
      <w:pPr>
        <w:pStyle w:val="Bullets-letters"/>
        <w:numPr>
          <w:ilvl w:val="0"/>
          <w:numId w:val="57"/>
        </w:numPr>
        <w:ind w:left="709" w:hanging="425"/>
      </w:pPr>
      <w:r>
        <w:t>a</w:t>
      </w:r>
      <w:r w:rsidR="00D71D83" w:rsidRPr="00D71D83">
        <w:t xml:space="preserve"> Supplier has 5.6m MPS registered out of 28m MPANs in total (TM) giving a Supplier’s Funding Share (SFS) of 20%;</w:t>
      </w:r>
    </w:p>
    <w:p w14:paraId="5A22DD33" w14:textId="3C555F26" w:rsidR="00D71D83" w:rsidRPr="00D71D83" w:rsidRDefault="00D71D83" w:rsidP="00CC6F47">
      <w:pPr>
        <w:pStyle w:val="Bullets-letters"/>
        <w:numPr>
          <w:ilvl w:val="0"/>
          <w:numId w:val="57"/>
        </w:numPr>
        <w:ind w:left="709" w:hanging="425"/>
      </w:pPr>
      <w:r w:rsidRPr="00D71D83">
        <w:t>ADC are £4.8m and the ADSC% is 25%, giving an ADSC of £1.2m</w:t>
      </w:r>
      <w:r w:rsidR="0005093A">
        <w:t>;</w:t>
      </w:r>
    </w:p>
    <w:p w14:paraId="068CDD53" w14:textId="6EE60911" w:rsidR="00D71D83" w:rsidRPr="00D71D83" w:rsidRDefault="0005093A" w:rsidP="00CC6F47">
      <w:pPr>
        <w:pStyle w:val="Bullets-letters"/>
        <w:numPr>
          <w:ilvl w:val="0"/>
          <w:numId w:val="57"/>
        </w:numPr>
        <w:ind w:left="709" w:hanging="425"/>
      </w:pPr>
      <w:r>
        <w:t>t</w:t>
      </w:r>
      <w:r w:rsidR="00D71D83" w:rsidRPr="00D71D83">
        <w:t>he DNSCM payed from April to September (</w:t>
      </w:r>
      <w:r w:rsidR="00D71D83" w:rsidRPr="00BB6659">
        <w:rPr>
          <w:rFonts w:ascii="Cambria Math" w:hAnsi="Cambria Math"/>
          <w:i/>
          <w:sz w:val="28"/>
        </w:rPr>
        <w:t>Σ</w:t>
      </w:r>
      <w:r w:rsidR="00D71D83" w:rsidRPr="00BB6659">
        <w:rPr>
          <w:rFonts w:ascii="Cambria Math" w:hAnsi="Cambria Math"/>
          <w:i/>
          <w:sz w:val="28"/>
          <w:vertAlign w:val="subscript"/>
        </w:rPr>
        <w:t>m-1</w:t>
      </w:r>
      <w:r w:rsidR="00D71D83" w:rsidRPr="00BB6659">
        <w:rPr>
          <w:rFonts w:ascii="Cambria Math" w:hAnsi="Cambria Math"/>
          <w:i/>
          <w:sz w:val="28"/>
        </w:rPr>
        <w:t>DNSCM</w:t>
      </w:r>
      <w:r w:rsidR="00D71D83" w:rsidRPr="00D71D83">
        <w:t>) is £360,000</w:t>
      </w:r>
      <w:r>
        <w:t>:</w:t>
      </w:r>
    </w:p>
    <w:p w14:paraId="65136CED" w14:textId="68798997" w:rsidR="00D71D83" w:rsidRPr="00CC6F47" w:rsidRDefault="00D71D83" w:rsidP="00CC6F47">
      <w:pPr>
        <w:pStyle w:val="Bullets-letters"/>
        <w:ind w:left="709"/>
        <w:jc w:val="center"/>
        <w:rPr>
          <w:rFonts w:ascii="Cambria Math" w:hAnsi="Cambria Math"/>
          <w:i/>
          <w:iCs/>
        </w:rPr>
      </w:pPr>
      <w:r w:rsidRPr="00CC6F47">
        <w:rPr>
          <w:rFonts w:ascii="Cambria Math" w:hAnsi="Cambria Math"/>
          <w:i/>
          <w:iCs/>
        </w:rPr>
        <w:t>DNSC</w:t>
      </w:r>
      <w:r w:rsidR="00794708">
        <w:rPr>
          <w:rFonts w:ascii="Cambria Math" w:hAnsi="Cambria Math"/>
          <w:i/>
          <w:iCs/>
        </w:rPr>
        <w:t>M</w:t>
      </w:r>
      <w:r w:rsidR="009B26A3">
        <w:rPr>
          <w:rFonts w:ascii="Cambria Math" w:hAnsi="Cambria Math"/>
          <w:i/>
          <w:iCs/>
        </w:rPr>
        <w:t>P</w:t>
      </w:r>
      <w:r w:rsidRPr="00CC6F47">
        <w:rPr>
          <w:rFonts w:ascii="Cambria Math" w:hAnsi="Cambria Math"/>
          <w:i/>
          <w:iCs/>
        </w:rPr>
        <w:t xml:space="preserve"> = (7 x </w:t>
      </w:r>
      <m:oMath>
        <m:d>
          <m:dPr>
            <m:ctrlPr>
              <w:rPr>
                <w:rFonts w:ascii="Cambria Math" w:hAnsi="Cambria Math"/>
                <w:i/>
                <w:iCs/>
              </w:rPr>
            </m:ctrlPr>
          </m:dPr>
          <m:e>
            <m:f>
              <m:fPr>
                <m:ctrlPr>
                  <w:rPr>
                    <w:rFonts w:ascii="Cambria Math" w:hAnsi="Cambria Math"/>
                    <w:i/>
                    <w:iCs/>
                  </w:rPr>
                </m:ctrlPr>
              </m:fPr>
              <m:num>
                <m:r>
                  <w:rPr>
                    <w:rFonts w:ascii="Cambria Math" w:hAnsi="Cambria Math"/>
                  </w:rPr>
                  <m:t>£4,800,000 -£1,200,000</m:t>
                </m:r>
              </m:num>
              <m:den>
                <m:r>
                  <w:rPr>
                    <w:rFonts w:ascii="Cambria Math" w:hAnsi="Cambria Math"/>
                  </w:rPr>
                  <m:t>12</m:t>
                </m:r>
              </m:den>
            </m:f>
            <m:r>
              <w:rPr>
                <w:rFonts w:ascii="Cambria Math" w:hAnsi="Cambria Math"/>
              </w:rPr>
              <m:t xml:space="preserve"> </m:t>
            </m:r>
          </m:e>
        </m:d>
      </m:oMath>
      <w:r w:rsidRPr="00CC6F47">
        <w:rPr>
          <w:rFonts w:ascii="Cambria Math" w:hAnsi="Cambria Math"/>
          <w:i/>
          <w:iCs/>
        </w:rPr>
        <w:t xml:space="preserve"> × </w:t>
      </w:r>
      <w:r w:rsidR="00AA747F">
        <w:rPr>
          <w:rFonts w:ascii="Cambria Math" w:hAnsi="Cambria Math"/>
          <w:i/>
          <w:iCs/>
        </w:rPr>
        <w:t>0.2</w:t>
      </w:r>
      <w:r w:rsidRPr="00CC6F47">
        <w:rPr>
          <w:rFonts w:ascii="Cambria Math" w:hAnsi="Cambria Math"/>
          <w:i/>
          <w:iCs/>
        </w:rPr>
        <w:t>) – £360,000 = £60,000</w:t>
      </w:r>
    </w:p>
    <w:p w14:paraId="3546ADA5" w14:textId="10B95517" w:rsidR="00D71D83" w:rsidRPr="00BB6659" w:rsidRDefault="0005093A" w:rsidP="00CC6F47">
      <w:pPr>
        <w:pStyle w:val="Bullets-letters"/>
        <w:numPr>
          <w:ilvl w:val="0"/>
          <w:numId w:val="57"/>
        </w:numPr>
        <w:ind w:left="709" w:hanging="425"/>
      </w:pPr>
      <w:r>
        <w:t>i</w:t>
      </w:r>
      <w:r w:rsidR="00D71D83" w:rsidRPr="00BB6659">
        <w:t>n November, if the RADC reduces to £4,680,000</w:t>
      </w:r>
      <w:r>
        <w:t>:</w:t>
      </w:r>
    </w:p>
    <w:p w14:paraId="73805BD8" w14:textId="0860BA9E" w:rsidR="00D71D83" w:rsidRPr="00CC6F47" w:rsidRDefault="00D71D83" w:rsidP="00CC6F47">
      <w:pPr>
        <w:pStyle w:val="Bullets-letters"/>
        <w:ind w:left="709"/>
        <w:jc w:val="center"/>
        <w:rPr>
          <w:rFonts w:ascii="Cambria Math" w:hAnsi="Cambria Math"/>
          <w:i/>
          <w:iCs/>
        </w:rPr>
      </w:pPr>
      <w:r w:rsidRPr="00CC6F47">
        <w:rPr>
          <w:rFonts w:ascii="Cambria Math" w:hAnsi="Cambria Math"/>
          <w:i/>
          <w:iCs/>
        </w:rPr>
        <w:t>DNSC</w:t>
      </w:r>
      <w:r w:rsidR="00794708">
        <w:rPr>
          <w:rFonts w:ascii="Cambria Math" w:hAnsi="Cambria Math"/>
          <w:i/>
          <w:iCs/>
        </w:rPr>
        <w:t>M</w:t>
      </w:r>
      <w:r w:rsidR="009B26A3">
        <w:rPr>
          <w:rFonts w:ascii="Cambria Math" w:hAnsi="Cambria Math"/>
          <w:i/>
          <w:iCs/>
        </w:rPr>
        <w:t>P</w:t>
      </w:r>
      <w:r w:rsidRPr="00CC6F47">
        <w:rPr>
          <w:rFonts w:ascii="Cambria Math" w:hAnsi="Cambria Math"/>
          <w:i/>
          <w:iCs/>
        </w:rPr>
        <w:t xml:space="preserve"> = (8 x </w:t>
      </w:r>
      <m:oMath>
        <m:d>
          <m:dPr>
            <m:ctrlPr>
              <w:rPr>
                <w:rFonts w:ascii="Cambria Math" w:hAnsi="Cambria Math"/>
                <w:i/>
                <w:iCs/>
              </w:rPr>
            </m:ctrlPr>
          </m:dPr>
          <m:e>
            <m:f>
              <m:fPr>
                <m:ctrlPr>
                  <w:rPr>
                    <w:rFonts w:ascii="Cambria Math" w:hAnsi="Cambria Math"/>
                    <w:i/>
                    <w:iCs/>
                  </w:rPr>
                </m:ctrlPr>
              </m:fPr>
              <m:num>
                <m:r>
                  <w:rPr>
                    <w:rFonts w:ascii="Cambria Math" w:hAnsi="Cambria Math"/>
                  </w:rPr>
                  <m:t>£4,680,000 -£1,200,000</m:t>
                </m:r>
              </m:num>
              <m:den>
                <m:r>
                  <w:rPr>
                    <w:rFonts w:ascii="Cambria Math" w:hAnsi="Cambria Math"/>
                  </w:rPr>
                  <m:t>12</m:t>
                </m:r>
              </m:den>
            </m:f>
            <m:r>
              <w:rPr>
                <w:rFonts w:ascii="Cambria Math" w:hAnsi="Cambria Math"/>
              </w:rPr>
              <m:t xml:space="preserve"> </m:t>
            </m:r>
          </m:e>
        </m:d>
      </m:oMath>
      <w:r w:rsidRPr="00CC6F47">
        <w:rPr>
          <w:rFonts w:ascii="Cambria Math" w:hAnsi="Cambria Math"/>
          <w:i/>
          <w:iCs/>
        </w:rPr>
        <w:t xml:space="preserve"> × </w:t>
      </w:r>
      <w:r w:rsidR="00AA747F">
        <w:rPr>
          <w:rFonts w:ascii="Cambria Math" w:hAnsi="Cambria Math"/>
          <w:i/>
          <w:iCs/>
        </w:rPr>
        <w:t>0.</w:t>
      </w:r>
      <w:r w:rsidRPr="00CC6F47">
        <w:rPr>
          <w:rFonts w:ascii="Cambria Math" w:hAnsi="Cambria Math"/>
          <w:i/>
          <w:iCs/>
        </w:rPr>
        <w:t>20</w:t>
      </w:r>
      <w:r w:rsidR="00AA747F">
        <w:rPr>
          <w:rFonts w:ascii="Cambria Math" w:hAnsi="Cambria Math"/>
          <w:i/>
          <w:iCs/>
        </w:rPr>
        <w:t>)</w:t>
      </w:r>
      <w:r w:rsidRPr="00CC6F47">
        <w:rPr>
          <w:rFonts w:ascii="Cambria Math" w:hAnsi="Cambria Math"/>
          <w:i/>
          <w:iCs/>
        </w:rPr>
        <w:t xml:space="preserve"> – £420,000 = £44,000</w:t>
      </w:r>
    </w:p>
    <w:p w14:paraId="1E50638F" w14:textId="29C4791A" w:rsidR="00D71D83" w:rsidRPr="00BB6659" w:rsidRDefault="0005093A" w:rsidP="00CC6F47">
      <w:pPr>
        <w:pStyle w:val="Bullets-letters"/>
        <w:numPr>
          <w:ilvl w:val="0"/>
          <w:numId w:val="57"/>
        </w:numPr>
        <w:ind w:left="709" w:hanging="425"/>
      </w:pPr>
      <w:r>
        <w:t>i</w:t>
      </w:r>
      <w:r w:rsidR="00D71D83" w:rsidRPr="00BB6659">
        <w:t xml:space="preserve">n December (assuming no change in RADC from November) this would be: </w:t>
      </w:r>
    </w:p>
    <w:p w14:paraId="0D08229E" w14:textId="1A36D37B" w:rsidR="00D71D83" w:rsidRPr="00CC6F47" w:rsidRDefault="00D71D83" w:rsidP="00CC6F47">
      <w:pPr>
        <w:pStyle w:val="Bullets-letters"/>
        <w:ind w:left="709"/>
        <w:jc w:val="center"/>
        <w:rPr>
          <w:rFonts w:ascii="Cambria Math" w:hAnsi="Cambria Math"/>
          <w:i/>
          <w:iCs/>
        </w:rPr>
      </w:pPr>
      <w:r w:rsidRPr="00CC6F47">
        <w:rPr>
          <w:rFonts w:ascii="Cambria Math" w:hAnsi="Cambria Math"/>
          <w:i/>
          <w:iCs/>
        </w:rPr>
        <w:t>DNSC</w:t>
      </w:r>
      <w:r w:rsidR="00794708">
        <w:rPr>
          <w:rFonts w:ascii="Cambria Math" w:hAnsi="Cambria Math"/>
          <w:i/>
          <w:iCs/>
        </w:rPr>
        <w:t>M</w:t>
      </w:r>
      <w:r w:rsidR="009B26A3">
        <w:rPr>
          <w:rFonts w:ascii="Cambria Math" w:hAnsi="Cambria Math"/>
          <w:i/>
          <w:iCs/>
        </w:rPr>
        <w:t>P</w:t>
      </w:r>
      <w:r w:rsidRPr="00CC6F47">
        <w:rPr>
          <w:rFonts w:ascii="Cambria Math" w:hAnsi="Cambria Math"/>
          <w:i/>
          <w:iCs/>
        </w:rPr>
        <w:t xml:space="preserve"> = (9 x </w:t>
      </w:r>
      <m:oMath>
        <m:d>
          <m:dPr>
            <m:ctrlPr>
              <w:rPr>
                <w:rFonts w:ascii="Cambria Math" w:hAnsi="Cambria Math"/>
                <w:i/>
                <w:iCs/>
              </w:rPr>
            </m:ctrlPr>
          </m:dPr>
          <m:e>
            <m:f>
              <m:fPr>
                <m:ctrlPr>
                  <w:rPr>
                    <w:rFonts w:ascii="Cambria Math" w:hAnsi="Cambria Math"/>
                    <w:i/>
                    <w:iCs/>
                  </w:rPr>
                </m:ctrlPr>
              </m:fPr>
              <m:num>
                <m:r>
                  <w:rPr>
                    <w:rFonts w:ascii="Cambria Math" w:hAnsi="Cambria Math"/>
                  </w:rPr>
                  <m:t>£4,680,000 -£1,200,000</m:t>
                </m:r>
              </m:num>
              <m:den>
                <m:r>
                  <w:rPr>
                    <w:rFonts w:ascii="Cambria Math" w:hAnsi="Cambria Math"/>
                  </w:rPr>
                  <m:t>12</m:t>
                </m:r>
              </m:den>
            </m:f>
            <m:r>
              <w:rPr>
                <w:rFonts w:ascii="Cambria Math" w:hAnsi="Cambria Math"/>
              </w:rPr>
              <m:t xml:space="preserve"> </m:t>
            </m:r>
          </m:e>
        </m:d>
      </m:oMath>
      <w:r w:rsidRPr="00CC6F47">
        <w:rPr>
          <w:rFonts w:ascii="Cambria Math" w:hAnsi="Cambria Math"/>
          <w:i/>
          <w:iCs/>
        </w:rPr>
        <w:t xml:space="preserve"> × </w:t>
      </w:r>
      <w:r w:rsidR="00AA747F">
        <w:rPr>
          <w:rFonts w:ascii="Cambria Math" w:hAnsi="Cambria Math"/>
          <w:i/>
          <w:iCs/>
        </w:rPr>
        <w:t>0.2</w:t>
      </w:r>
      <w:r w:rsidRPr="00CC6F47">
        <w:rPr>
          <w:rFonts w:ascii="Cambria Math" w:hAnsi="Cambria Math"/>
          <w:i/>
          <w:iCs/>
        </w:rPr>
        <w:t>) – £464,000 = £58,000</w:t>
      </w:r>
    </w:p>
    <w:p w14:paraId="0C24CDAF" w14:textId="0DA3AE91" w:rsidR="00D71D83" w:rsidRPr="00BB6659" w:rsidRDefault="0005093A" w:rsidP="00CC6F47">
      <w:pPr>
        <w:pStyle w:val="Bullets-letters"/>
        <w:numPr>
          <w:ilvl w:val="0"/>
          <w:numId w:val="57"/>
        </w:numPr>
        <w:ind w:left="709" w:hanging="425"/>
      </w:pPr>
      <w:r>
        <w:lastRenderedPageBreak/>
        <w:t>i</w:t>
      </w:r>
      <w:r w:rsidR="00D71D83" w:rsidRPr="00BB6659">
        <w:t xml:space="preserve">n January (assuming no change in RADC) this would be: </w:t>
      </w:r>
    </w:p>
    <w:p w14:paraId="7AF37495" w14:textId="22A50399" w:rsidR="00D71D83" w:rsidRPr="00CC6F47" w:rsidRDefault="00D71D83" w:rsidP="00CC6F47">
      <w:pPr>
        <w:pStyle w:val="Bullets-letters"/>
        <w:ind w:left="709"/>
        <w:jc w:val="center"/>
        <w:rPr>
          <w:rFonts w:ascii="Cambria Math" w:hAnsi="Cambria Math"/>
          <w:i/>
          <w:iCs/>
        </w:rPr>
      </w:pPr>
      <w:r w:rsidRPr="00CC6F47">
        <w:rPr>
          <w:rFonts w:ascii="Cambria Math" w:hAnsi="Cambria Math"/>
          <w:i/>
          <w:iCs/>
        </w:rPr>
        <w:t>DNSC</w:t>
      </w:r>
      <w:r w:rsidR="00794708">
        <w:rPr>
          <w:rFonts w:ascii="Cambria Math" w:hAnsi="Cambria Math"/>
          <w:i/>
          <w:iCs/>
        </w:rPr>
        <w:t>M</w:t>
      </w:r>
      <w:r w:rsidR="009B26A3">
        <w:rPr>
          <w:rFonts w:ascii="Cambria Math" w:hAnsi="Cambria Math"/>
          <w:i/>
          <w:iCs/>
        </w:rPr>
        <w:t>P</w:t>
      </w:r>
      <w:r w:rsidRPr="00CC6F47">
        <w:rPr>
          <w:rFonts w:ascii="Cambria Math" w:hAnsi="Cambria Math"/>
          <w:i/>
          <w:iCs/>
        </w:rPr>
        <w:t xml:space="preserve"> = (10 x </w:t>
      </w:r>
      <m:oMath>
        <m:d>
          <m:dPr>
            <m:ctrlPr>
              <w:rPr>
                <w:rFonts w:ascii="Cambria Math" w:hAnsi="Cambria Math"/>
                <w:i/>
                <w:iCs/>
              </w:rPr>
            </m:ctrlPr>
          </m:dPr>
          <m:e>
            <m:f>
              <m:fPr>
                <m:ctrlPr>
                  <w:rPr>
                    <w:rFonts w:ascii="Cambria Math" w:hAnsi="Cambria Math"/>
                    <w:i/>
                    <w:iCs/>
                  </w:rPr>
                </m:ctrlPr>
              </m:fPr>
              <m:num>
                <m:r>
                  <w:rPr>
                    <w:rFonts w:ascii="Cambria Math" w:hAnsi="Cambria Math"/>
                  </w:rPr>
                  <m:t>£4,680,000 -£1,200,000</m:t>
                </m:r>
              </m:num>
              <m:den>
                <m:r>
                  <w:rPr>
                    <w:rFonts w:ascii="Cambria Math" w:hAnsi="Cambria Math"/>
                  </w:rPr>
                  <m:t>12</m:t>
                </m:r>
              </m:den>
            </m:f>
            <m:r>
              <w:rPr>
                <w:rFonts w:ascii="Cambria Math" w:hAnsi="Cambria Math"/>
              </w:rPr>
              <m:t xml:space="preserve"> </m:t>
            </m:r>
          </m:e>
        </m:d>
      </m:oMath>
      <w:r w:rsidRPr="00CC6F47">
        <w:rPr>
          <w:rFonts w:ascii="Cambria Math" w:hAnsi="Cambria Math"/>
          <w:i/>
          <w:iCs/>
        </w:rPr>
        <w:t xml:space="preserve"> × </w:t>
      </w:r>
      <w:r w:rsidR="00AA747F">
        <w:rPr>
          <w:rFonts w:ascii="Cambria Math" w:hAnsi="Cambria Math"/>
          <w:i/>
          <w:iCs/>
        </w:rPr>
        <w:t>0.</w:t>
      </w:r>
      <w:r w:rsidRPr="00CC6F47">
        <w:rPr>
          <w:rFonts w:ascii="Cambria Math" w:hAnsi="Cambria Math"/>
          <w:i/>
          <w:iCs/>
        </w:rPr>
        <w:t>2) – £522,000 = £58,000</w:t>
      </w:r>
    </w:p>
    <w:p w14:paraId="075684E0" w14:textId="25F3EEDF" w:rsidR="00D71D83" w:rsidRPr="00CC6F47" w:rsidRDefault="00D71D83" w:rsidP="00CC6F47">
      <w:pPr>
        <w:pStyle w:val="Bullets-letters"/>
        <w:ind w:left="709"/>
        <w:rPr>
          <w:b/>
          <w:i/>
          <w:u w:val="single"/>
        </w:rPr>
      </w:pPr>
      <w:r w:rsidRPr="00CC6F47">
        <w:rPr>
          <w:b/>
          <w:i/>
          <w:u w:val="single"/>
        </w:rPr>
        <w:t>These figures are for illustrative purposes only and are not to be taken as indicative of DIP Costs, Funding Shares or ADSC percentages in any</w:t>
      </w:r>
      <w:r w:rsidR="007A3202">
        <w:rPr>
          <w:b/>
          <w:i/>
          <w:u w:val="single"/>
        </w:rPr>
        <w:t xml:space="preserve"> </w:t>
      </w:r>
      <w:r w:rsidRPr="00CC6F47">
        <w:rPr>
          <w:b/>
          <w:i/>
          <w:u w:val="single"/>
        </w:rPr>
        <w:t>way</w:t>
      </w:r>
      <w:r w:rsidR="009B1CB2">
        <w:rPr>
          <w:b/>
          <w:i/>
          <w:u w:val="single"/>
        </w:rPr>
        <w:t>.</w:t>
      </w:r>
    </w:p>
    <w:p w14:paraId="1D342931" w14:textId="125F46A6" w:rsidR="00D71D83" w:rsidRPr="009B1CB2" w:rsidRDefault="005369CF" w:rsidP="009B1CB2">
      <w:pPr>
        <w:pStyle w:val="Heading2"/>
      </w:pPr>
      <w:bookmarkStart w:id="67" w:name="_Toc169521599"/>
      <w:r w:rsidRPr="009B1CB2">
        <w:t xml:space="preserve">DIP </w:t>
      </w:r>
      <w:r w:rsidR="00D71D83" w:rsidRPr="009B1CB2">
        <w:t>Non-Core Service costs</w:t>
      </w:r>
      <w:bookmarkEnd w:id="67"/>
    </w:p>
    <w:p w14:paraId="751D0FE5" w14:textId="5A1A0EFF" w:rsidR="00D71D83" w:rsidRPr="00D71D83" w:rsidRDefault="65BEECC7" w:rsidP="00C04307">
      <w:pPr>
        <w:pStyle w:val="Paragraph"/>
      </w:pPr>
      <w:r>
        <w:t>DIP Non-Core Service</w:t>
      </w:r>
      <w:r w:rsidR="1B9BA62C">
        <w:t xml:space="preserve"> Cost</w:t>
      </w:r>
      <w:r>
        <w:t>s shall be determined by the DIP Manager on a case-by-case basis</w:t>
      </w:r>
      <w:r w:rsidR="4EF03C1C">
        <w:t xml:space="preserve"> as </w:t>
      </w:r>
      <w:r>
        <w:t xml:space="preserve">the costs incurred by the DIP Manager (including any costs the DIP Manager has to </w:t>
      </w:r>
      <w:r w:rsidR="50F7C91E">
        <w:t xml:space="preserve">pay </w:t>
      </w:r>
      <w:r>
        <w:t>to the DIP Service Provider or other third parties) in the delivery of the service that the organisation has requested.</w:t>
      </w:r>
      <w:r w:rsidR="00D92EBD">
        <w:t xml:space="preserve"> This shall include the implementation/delivery costs as well as any on-going servicing costs.</w:t>
      </w:r>
    </w:p>
    <w:p w14:paraId="76F7AEE3" w14:textId="2654D0AA" w:rsidR="00D71D83" w:rsidRPr="00D71D83" w:rsidRDefault="00D71D83" w:rsidP="00C04307">
      <w:pPr>
        <w:pStyle w:val="Paragraph"/>
      </w:pPr>
      <w:r w:rsidRPr="00D71D83">
        <w:t xml:space="preserve">Examples of </w:t>
      </w:r>
      <w:r w:rsidR="000B6BA9">
        <w:t xml:space="preserve">DIP </w:t>
      </w:r>
      <w:r w:rsidRPr="00D71D83">
        <w:t>Non-Core Services may include, but are not limited to:</w:t>
      </w:r>
    </w:p>
    <w:p w14:paraId="671086BF" w14:textId="7FC3B2BB" w:rsidR="00683D83" w:rsidRDefault="00683D83" w:rsidP="00683D83">
      <w:pPr>
        <w:pStyle w:val="Bullets-letters"/>
        <w:numPr>
          <w:ilvl w:val="0"/>
          <w:numId w:val="61"/>
        </w:numPr>
        <w:ind w:left="709" w:hanging="425"/>
      </w:pPr>
      <w:r>
        <w:t>a</w:t>
      </w:r>
      <w:r w:rsidR="00D71D83" w:rsidRPr="00D71D83">
        <w:t xml:space="preserve"> DIP </w:t>
      </w:r>
      <w:r w:rsidR="00491C84">
        <w:t>CR</w:t>
      </w:r>
      <w:r w:rsidR="00491C84" w:rsidRPr="00D71D83">
        <w:t xml:space="preserve"> </w:t>
      </w:r>
      <w:r w:rsidR="00D71D83" w:rsidRPr="00D71D83">
        <w:t>that does not have a positive impact</w:t>
      </w:r>
      <w:r w:rsidR="007D62E7">
        <w:t xml:space="preserve"> on</w:t>
      </w:r>
      <w:r w:rsidR="00D71D83" w:rsidRPr="00D71D83">
        <w:t xml:space="preserve"> DIP </w:t>
      </w:r>
      <w:r w:rsidR="00491C84">
        <w:t>Participants</w:t>
      </w:r>
      <w:r w:rsidR="001F5DA5">
        <w:t xml:space="preserve"> as a whole</w:t>
      </w:r>
      <w:r w:rsidR="00D71D83" w:rsidRPr="00D71D83">
        <w:t xml:space="preserve">, but is implemented for the benefit of some DIP </w:t>
      </w:r>
      <w:r w:rsidR="00491C84">
        <w:t>Participants</w:t>
      </w:r>
      <w:r w:rsidR="00D71D83" w:rsidRPr="00D71D83">
        <w:t xml:space="preserve"> and the cost of that </w:t>
      </w:r>
      <w:r w:rsidR="00491C84">
        <w:t>DIP CR</w:t>
      </w:r>
      <w:r w:rsidR="00491C84" w:rsidRPr="00D71D83">
        <w:t xml:space="preserve"> </w:t>
      </w:r>
      <w:r w:rsidR="00D71D83" w:rsidRPr="00D71D83">
        <w:t xml:space="preserve">is passed on to the DIP </w:t>
      </w:r>
      <w:r w:rsidR="00491C84">
        <w:t>CR proposer</w:t>
      </w:r>
      <w:r w:rsidR="00F939D3">
        <w:t xml:space="preserve"> (and any other DIP Users that may benefit)</w:t>
      </w:r>
      <w:r w:rsidR="00D71D83" w:rsidRPr="00D71D83">
        <w:t xml:space="preserve">; </w:t>
      </w:r>
    </w:p>
    <w:p w14:paraId="0711D579" w14:textId="609224A0" w:rsidR="00683D83" w:rsidRDefault="00EA615F" w:rsidP="00683D83">
      <w:pPr>
        <w:pStyle w:val="Bullets-letters"/>
        <w:numPr>
          <w:ilvl w:val="0"/>
          <w:numId w:val="61"/>
        </w:numPr>
        <w:ind w:left="709" w:hanging="425"/>
      </w:pPr>
      <w:r>
        <w:t xml:space="preserve">DIP </w:t>
      </w:r>
      <w:r w:rsidR="00D71D83" w:rsidRPr="00D71D83">
        <w:t xml:space="preserve">On-Boarding (or, if applicable </w:t>
      </w:r>
      <w:r>
        <w:t xml:space="preserve">DIP </w:t>
      </w:r>
      <w:r w:rsidR="00683D83">
        <w:t>Off-B</w:t>
      </w:r>
      <w:r w:rsidR="00D71D83" w:rsidRPr="00D71D83">
        <w:t>oarding) an organisation that is not listed in</w:t>
      </w:r>
      <w:r w:rsidR="00491C84" w:rsidRPr="00683D83">
        <w:t xml:space="preserve"> </w:t>
      </w:r>
      <w:r w:rsidR="00D71D83" w:rsidRPr="00683D83">
        <w:t>DSD002</w:t>
      </w:r>
      <w:r w:rsidR="00683D83" w:rsidRPr="00683D83">
        <w:t xml:space="preserve"> </w:t>
      </w:r>
      <w:r w:rsidR="00683D83">
        <w:t>‘</w:t>
      </w:r>
      <w:r w:rsidR="00683D83" w:rsidRPr="00683D83">
        <w:t xml:space="preserve">DIP Connection </w:t>
      </w:r>
      <w:r w:rsidR="003D5FB0">
        <w:t>and Operation’</w:t>
      </w:r>
      <w:r w:rsidR="00D71D83" w:rsidRPr="00D71D83">
        <w:t xml:space="preserve">, but the DIP Manager has permitted to become a DIP User in accordance with </w:t>
      </w:r>
      <w:r w:rsidR="00F02C21">
        <w:t>DSD002</w:t>
      </w:r>
      <w:r w:rsidR="00D71D83" w:rsidRPr="00D71D83">
        <w:t>;</w:t>
      </w:r>
    </w:p>
    <w:p w14:paraId="2CB4528C" w14:textId="77777777" w:rsidR="003D1399" w:rsidRDefault="00683D83" w:rsidP="003D1399">
      <w:pPr>
        <w:pStyle w:val="Bullets-letters"/>
        <w:numPr>
          <w:ilvl w:val="0"/>
          <w:numId w:val="61"/>
        </w:numPr>
        <w:ind w:left="709" w:hanging="425"/>
      </w:pPr>
      <w:r>
        <w:t>a</w:t>
      </w:r>
      <w:r w:rsidR="00D71D83" w:rsidRPr="00D71D83">
        <w:t xml:space="preserve">ny Assurance activity that the DIP </w:t>
      </w:r>
      <w:r w:rsidR="00DF2B2B">
        <w:t>M</w:t>
      </w:r>
      <w:r w:rsidR="00DF2B2B" w:rsidRPr="00D71D83">
        <w:t xml:space="preserve">anager </w:t>
      </w:r>
      <w:r w:rsidR="00D71D83" w:rsidRPr="00D71D83">
        <w:t>undertakes on behalf of an appropriate organisation (Code</w:t>
      </w:r>
      <w:r w:rsidR="00B07D58">
        <w:t xml:space="preserve"> Body</w:t>
      </w:r>
      <w:r w:rsidR="00D71D83" w:rsidRPr="00D71D83">
        <w:t xml:space="preserve">, Government department, industry regulator etc.) in accordance with </w:t>
      </w:r>
      <w:r w:rsidR="00EA615F" w:rsidRPr="00683D83">
        <w:t>DSD00</w:t>
      </w:r>
      <w:r w:rsidR="00EA615F">
        <w:t>3</w:t>
      </w:r>
      <w:r w:rsidRPr="00683D83">
        <w:t xml:space="preserve"> </w:t>
      </w:r>
      <w:r>
        <w:t>‘</w:t>
      </w:r>
      <w:r w:rsidRPr="00683D83">
        <w:t>Assurance and Reporting</w:t>
      </w:r>
      <w:r>
        <w:t>’</w:t>
      </w:r>
      <w:r w:rsidR="00EA615F" w:rsidRPr="00D71D83">
        <w:t xml:space="preserve"> </w:t>
      </w:r>
      <w:r w:rsidR="00D71D83" w:rsidRPr="00D71D83">
        <w:t xml:space="preserve">where a benefit for the majority of DIP </w:t>
      </w:r>
      <w:r w:rsidR="001F5DA5">
        <w:t>U</w:t>
      </w:r>
      <w:r w:rsidR="00D71D83" w:rsidRPr="00D71D83">
        <w:t xml:space="preserve">sers </w:t>
      </w:r>
      <w:r w:rsidR="00B07D58">
        <w:t>may not have</w:t>
      </w:r>
      <w:r w:rsidR="00D71D83" w:rsidRPr="00D71D83">
        <w:t xml:space="preserve"> been demonstrated;</w:t>
      </w:r>
    </w:p>
    <w:p w14:paraId="27B53F25" w14:textId="33848F3F" w:rsidR="00D71D83" w:rsidRPr="00D71D83" w:rsidRDefault="00683D83" w:rsidP="003D1399">
      <w:pPr>
        <w:pStyle w:val="Bullets-letters"/>
        <w:numPr>
          <w:ilvl w:val="0"/>
          <w:numId w:val="61"/>
        </w:numPr>
        <w:ind w:left="709" w:hanging="425"/>
      </w:pPr>
      <w:r>
        <w:t>a</w:t>
      </w:r>
      <w:r w:rsidR="00D71D83" w:rsidRPr="00D71D83">
        <w:t>ny request for data in accordance with the open data process described in DSD006</w:t>
      </w:r>
      <w:r w:rsidR="003D1399" w:rsidRPr="003D1399">
        <w:t xml:space="preserve"> </w:t>
      </w:r>
      <w:r w:rsidR="003D1399">
        <w:t>‘</w:t>
      </w:r>
      <w:r w:rsidR="003D1399" w:rsidRPr="003D1399">
        <w:t>DIP Data Management</w:t>
      </w:r>
      <w:r w:rsidR="003D1399">
        <w:t>’</w:t>
      </w:r>
      <w:r w:rsidR="00D71D83" w:rsidRPr="00D71D83">
        <w:t xml:space="preserve"> where it has been determined that the sharing and/or publishing of said data items will not benefit the majority of DIP Users.</w:t>
      </w:r>
    </w:p>
    <w:p w14:paraId="6F44408F" w14:textId="3AC7C9A3" w:rsidR="00D71D83" w:rsidRPr="00D71D83" w:rsidRDefault="00D71D83" w:rsidP="00C04307">
      <w:pPr>
        <w:pStyle w:val="Paragraph"/>
      </w:pPr>
      <w:r w:rsidRPr="00D71D83">
        <w:t xml:space="preserve">The </w:t>
      </w:r>
      <w:r w:rsidR="008D2C61">
        <w:t xml:space="preserve">DIP </w:t>
      </w:r>
      <w:r w:rsidRPr="00D71D83">
        <w:t xml:space="preserve">Non-Core Service </w:t>
      </w:r>
      <w:r w:rsidR="00DF2B2B">
        <w:t>C</w:t>
      </w:r>
      <w:r w:rsidR="00DF2B2B" w:rsidRPr="00D71D83">
        <w:t xml:space="preserve">ost </w:t>
      </w:r>
      <w:r w:rsidRPr="00D71D83">
        <w:t xml:space="preserve">(NCSC) shall be invoiced </w:t>
      </w:r>
      <w:r w:rsidR="007F4A03">
        <w:t>(to the entit</w:t>
      </w:r>
      <w:r w:rsidR="00D92EBD">
        <w:t>ies</w:t>
      </w:r>
      <w:r w:rsidR="007F4A03">
        <w:t xml:space="preserve"> identified above as being responsible for the cost) </w:t>
      </w:r>
      <w:r w:rsidRPr="00D71D83">
        <w:t xml:space="preserve">at the first invoice run following the delivery of the </w:t>
      </w:r>
      <w:r w:rsidR="00EA615F">
        <w:t xml:space="preserve">DIP </w:t>
      </w:r>
      <w:r w:rsidRPr="00D71D83">
        <w:t>Non-Core Service.</w:t>
      </w:r>
    </w:p>
    <w:p w14:paraId="286DB127" w14:textId="35B138AE" w:rsidR="00D71D83" w:rsidRPr="00D71D83" w:rsidRDefault="00D71D83" w:rsidP="00C04307">
      <w:pPr>
        <w:pStyle w:val="Paragraph"/>
      </w:pPr>
      <w:r w:rsidRPr="00D71D83">
        <w:t xml:space="preserve">Notwithstanding </w:t>
      </w:r>
      <w:r w:rsidR="003D1399">
        <w:t>the previous paragraph</w:t>
      </w:r>
      <w:r w:rsidRPr="00D71D83">
        <w:t xml:space="preserve">, the DIP Manager may agree a payment plan with recipient(s) of the </w:t>
      </w:r>
      <w:r w:rsidR="00EA615F">
        <w:t xml:space="preserve">DIP </w:t>
      </w:r>
      <w:r w:rsidRPr="00D71D83">
        <w:t xml:space="preserve">Non-Core Service so that the cost can be spread over several invoices. This shall only be considered where the delivery of the </w:t>
      </w:r>
      <w:r w:rsidR="00EA615F">
        <w:t xml:space="preserve">DIP </w:t>
      </w:r>
      <w:r w:rsidRPr="00D71D83">
        <w:t>Non-Core Service is spread over several invoice period</w:t>
      </w:r>
      <w:r w:rsidR="00DF2B2B">
        <w:t>s</w:t>
      </w:r>
      <w:r w:rsidRPr="00D71D83">
        <w:t>.</w:t>
      </w:r>
    </w:p>
    <w:p w14:paraId="1331DABF" w14:textId="70FAD1E3" w:rsidR="00D71D83" w:rsidRPr="00D71D83" w:rsidRDefault="00D71D83" w:rsidP="00C04307">
      <w:pPr>
        <w:pStyle w:val="Paragraph"/>
      </w:pPr>
      <w:r w:rsidRPr="00D71D83">
        <w:t>The DIP Manager may</w:t>
      </w:r>
      <w:r w:rsidR="00653241">
        <w:t xml:space="preserve"> </w:t>
      </w:r>
      <w:r w:rsidRPr="00D71D83">
        <w:t xml:space="preserve">delay the delivery of a </w:t>
      </w:r>
      <w:r w:rsidR="002F6BF1">
        <w:t xml:space="preserve">DIP </w:t>
      </w:r>
      <w:r w:rsidRPr="00D71D83">
        <w:t xml:space="preserve">Non-Core Service (or where applicable the final part of a </w:t>
      </w:r>
      <w:r w:rsidR="002F6BF1">
        <w:t xml:space="preserve">DIP </w:t>
      </w:r>
      <w:r w:rsidR="00DF2B2B">
        <w:t>N</w:t>
      </w:r>
      <w:r w:rsidR="00DF2B2B" w:rsidRPr="00D71D83">
        <w:t>on</w:t>
      </w:r>
      <w:r w:rsidRPr="00D71D83">
        <w:t>-Core Service) until final payment has been received.</w:t>
      </w:r>
    </w:p>
    <w:p w14:paraId="7AA17FFD" w14:textId="4247393D" w:rsidR="00D71D83" w:rsidRDefault="00D71D83" w:rsidP="00C04307">
      <w:pPr>
        <w:pStyle w:val="Paragraph"/>
      </w:pPr>
      <w:r w:rsidRPr="00D71D83">
        <w:t xml:space="preserve">In taking account of the requirements of this section, the DIP Manager </w:t>
      </w:r>
      <w:r w:rsidR="001F5DA5">
        <w:t xml:space="preserve">and the recipients of a DIP Non-Core Service </w:t>
      </w:r>
      <w:r w:rsidRPr="00D71D83">
        <w:t xml:space="preserve">shall agree how </w:t>
      </w:r>
      <w:r w:rsidR="001F5DA5">
        <w:t>NCSC</w:t>
      </w:r>
      <w:r w:rsidR="00DF2B2B" w:rsidRPr="00D71D83">
        <w:t xml:space="preserve"> </w:t>
      </w:r>
      <w:r w:rsidRPr="00D71D83">
        <w:t xml:space="preserve">will be paid prior to delivering a </w:t>
      </w:r>
      <w:r w:rsidR="002F6BF1">
        <w:t xml:space="preserve">DIP </w:t>
      </w:r>
      <w:r w:rsidRPr="00D71D83">
        <w:t xml:space="preserve">Non-Core </w:t>
      </w:r>
      <w:r w:rsidRPr="00D71D83">
        <w:lastRenderedPageBreak/>
        <w:t>Service and it shall, where appropriate, be included in an information published by the DIP Manager to inform DIP Users and other stakeholders.</w:t>
      </w:r>
    </w:p>
    <w:p w14:paraId="416BBF36" w14:textId="3A0C11DC" w:rsidR="007F63EB" w:rsidRPr="00D71D83" w:rsidRDefault="2C0F08E3" w:rsidP="00C04307">
      <w:pPr>
        <w:pStyle w:val="Paragraph"/>
      </w:pPr>
      <w:r>
        <w:t>When determining whether a ‘majority’ shall be impacted, the DIP Manager shall consider the number of DIP Users impacted but may consider other factors</w:t>
      </w:r>
      <w:r w:rsidR="00610022">
        <w:t>.</w:t>
      </w:r>
      <w:r w:rsidR="002C511B">
        <w:t xml:space="preserve"> The DIP Manager </w:t>
      </w:r>
      <w:r w:rsidR="0085125C">
        <w:t xml:space="preserve">will </w:t>
      </w:r>
      <w:r w:rsidR="006F7723">
        <w:t xml:space="preserve">set out and explain </w:t>
      </w:r>
      <w:r w:rsidR="00D91EF5">
        <w:t xml:space="preserve">in its published decision </w:t>
      </w:r>
      <w:r w:rsidR="00E013CE">
        <w:t>how it ha</w:t>
      </w:r>
      <w:r w:rsidR="00D91EF5">
        <w:t>s</w:t>
      </w:r>
      <w:r w:rsidR="00512478">
        <w:t xml:space="preserve"> determined </w:t>
      </w:r>
      <w:r w:rsidR="00323F61">
        <w:t>that</w:t>
      </w:r>
      <w:r w:rsidR="00512478">
        <w:t xml:space="preserve"> a majority of DIP Users </w:t>
      </w:r>
      <w:r w:rsidR="00FA766A">
        <w:t>would not benefit from</w:t>
      </w:r>
      <w:r w:rsidR="00F9253D" w:rsidRPr="00F9253D">
        <w:t xml:space="preserve"> </w:t>
      </w:r>
      <w:r w:rsidR="00F9253D" w:rsidRPr="00D71D83">
        <w:t xml:space="preserve">the </w:t>
      </w:r>
      <w:r w:rsidR="007F4A03">
        <w:t>DIP Non-Core Service</w:t>
      </w:r>
      <w:r w:rsidR="001F0C66" w:rsidRPr="001F0C66">
        <w:t xml:space="preserve"> </w:t>
      </w:r>
      <w:r w:rsidR="001F0C66" w:rsidRPr="00D71D83">
        <w:t>request</w:t>
      </w:r>
      <w:r w:rsidR="001F0C66">
        <w:t>ed.</w:t>
      </w:r>
    </w:p>
    <w:p w14:paraId="20B80C5E" w14:textId="706D2ADD" w:rsidR="00D71D83" w:rsidRPr="00D71D83" w:rsidRDefault="00D71D83" w:rsidP="009B1CB2">
      <w:pPr>
        <w:pStyle w:val="Heading2"/>
      </w:pPr>
      <w:bookmarkStart w:id="68" w:name="_Toc169521600"/>
      <w:r w:rsidRPr="00D71D83">
        <w:t>Monthly Invoices</w:t>
      </w:r>
      <w:bookmarkEnd w:id="68"/>
    </w:p>
    <w:p w14:paraId="4FBF2493" w14:textId="59AD67D9" w:rsidR="00D71D83" w:rsidRPr="00D71D83" w:rsidRDefault="00D71D83" w:rsidP="00C04307">
      <w:pPr>
        <w:pStyle w:val="Paragraph"/>
      </w:pPr>
      <w:r w:rsidRPr="00D71D83">
        <w:t xml:space="preserve">The amounts included in each invoice shall be determined in accordance with this </w:t>
      </w:r>
      <w:r w:rsidRPr="003D1399">
        <w:t>paragraph</w:t>
      </w:r>
      <w:r w:rsidR="003D1399">
        <w:t>.</w:t>
      </w:r>
      <w:r w:rsidRPr="003D1399">
        <w:t xml:space="preserve"> </w:t>
      </w:r>
    </w:p>
    <w:p w14:paraId="72EAFE9B" w14:textId="2BA0AB69" w:rsidR="00D71D83" w:rsidRPr="00D71D83" w:rsidRDefault="00D71D83" w:rsidP="00C04307">
      <w:pPr>
        <w:pStyle w:val="Paragraph"/>
      </w:pPr>
      <w:r w:rsidRPr="00D71D83">
        <w:t xml:space="preserve">The DIP </w:t>
      </w:r>
      <w:r w:rsidR="00706ABB">
        <w:t>Charge</w:t>
      </w:r>
      <w:r w:rsidR="00706ABB" w:rsidRPr="00D71D83">
        <w:t xml:space="preserve"> </w:t>
      </w:r>
      <w:r w:rsidRPr="00D71D83">
        <w:t xml:space="preserve">per DIP Payee </w:t>
      </w:r>
      <w:r w:rsidR="00706ABB">
        <w:t>(DC</w:t>
      </w:r>
      <w:r w:rsidR="003B3AE1">
        <w:t>D</w:t>
      </w:r>
      <w:r w:rsidR="00706ABB">
        <w:t xml:space="preserve">P) for </w:t>
      </w:r>
      <w:r w:rsidRPr="00D71D83">
        <w:t>each calendar month shall be the sum of DSC, and the DNSC costs for that month.</w:t>
      </w:r>
    </w:p>
    <w:p w14:paraId="3C366D08" w14:textId="4303AB5C" w:rsidR="00D71D83" w:rsidRPr="00D71D83" w:rsidRDefault="00D71D83" w:rsidP="00C04307">
      <w:pPr>
        <w:pStyle w:val="Paragraph"/>
      </w:pPr>
      <w:r w:rsidRPr="00D71D83">
        <w:t xml:space="preserve">In addition to the </w:t>
      </w:r>
      <w:r w:rsidR="007140E6">
        <w:t>DSC</w:t>
      </w:r>
      <w:r w:rsidRPr="00D71D83">
        <w:t xml:space="preserve"> and </w:t>
      </w:r>
      <w:r w:rsidR="007140E6">
        <w:t>DNSC</w:t>
      </w:r>
      <w:r w:rsidRPr="00D71D83">
        <w:t>, any NCSC that a DIP Payee is eligible for shall also be added to a DIP Payee’s invoice.</w:t>
      </w:r>
    </w:p>
    <w:p w14:paraId="0F0194F7" w14:textId="2D6ABB5D" w:rsidR="00D71D83" w:rsidRPr="00D71D83" w:rsidRDefault="00D71D83" w:rsidP="00C04307">
      <w:pPr>
        <w:pStyle w:val="Paragraph"/>
      </w:pPr>
      <w:r w:rsidRPr="00D71D83">
        <w:t xml:space="preserve">The total </w:t>
      </w:r>
      <w:r w:rsidR="007140E6">
        <w:t>DC</w:t>
      </w:r>
      <w:r w:rsidR="003B3AE1">
        <w:t>D</w:t>
      </w:r>
      <w:r w:rsidR="00706ABB">
        <w:t>P</w:t>
      </w:r>
      <w:r w:rsidRPr="00D71D83">
        <w:t xml:space="preserve"> per calendar month can be shown using the following equation:</w:t>
      </w:r>
    </w:p>
    <w:p w14:paraId="4ABC7F07" w14:textId="3D37E302" w:rsidR="00D71D83" w:rsidRPr="00CC6F47" w:rsidRDefault="00D71D83" w:rsidP="00CC6F47">
      <w:pPr>
        <w:pStyle w:val="Bullets-letters"/>
        <w:ind w:left="709"/>
        <w:jc w:val="center"/>
        <w:rPr>
          <w:rFonts w:ascii="Cambria Math" w:hAnsi="Cambria Math"/>
          <w:i/>
          <w:iCs/>
        </w:rPr>
      </w:pPr>
      <m:oMathPara>
        <m:oMathParaPr>
          <m:jc m:val="center"/>
        </m:oMathParaPr>
        <m:oMath>
          <m:r>
            <w:rPr>
              <w:rFonts w:ascii="Cambria Math" w:hAnsi="Cambria Math"/>
            </w:rPr>
            <m:t>DSC+DNSC+ NCSC=DCDP</m:t>
          </m:r>
        </m:oMath>
      </m:oMathPara>
    </w:p>
    <w:p w14:paraId="3C620B55" w14:textId="58781FF5" w:rsidR="00D71D83" w:rsidRPr="00D71D83" w:rsidRDefault="00D71D83" w:rsidP="00C04307">
      <w:pPr>
        <w:pStyle w:val="Paragraph"/>
      </w:pPr>
      <w:r w:rsidRPr="00D71D83">
        <w:t xml:space="preserve">For example (using the data above) and where there are </w:t>
      </w:r>
      <w:r w:rsidR="007140E6">
        <w:t>NCSC</w:t>
      </w:r>
      <w:r w:rsidRPr="00D71D83">
        <w:t>:</w:t>
      </w:r>
    </w:p>
    <w:p w14:paraId="185982EA" w14:textId="3C0792A1" w:rsidR="00D71D83" w:rsidRPr="00CC6F47" w:rsidRDefault="00D71D83" w:rsidP="00CC6F47">
      <w:pPr>
        <w:pStyle w:val="Bullets-letters"/>
        <w:ind w:left="709"/>
        <w:jc w:val="center"/>
        <w:rPr>
          <w:rFonts w:ascii="Cambria Math" w:hAnsi="Cambria Math"/>
          <w:i/>
          <w:iCs/>
        </w:rPr>
      </w:pPr>
      <m:oMathPara>
        <m:oMathParaPr>
          <m:jc m:val="center"/>
        </m:oMathParaPr>
        <m:oMath>
          <m:r>
            <w:rPr>
              <w:rFonts w:ascii="Cambria Math" w:hAnsi="Cambria Math"/>
            </w:rPr>
            <m:t>£2,000+£20,000+£0=£22,000</m:t>
          </m:r>
        </m:oMath>
      </m:oMathPara>
    </w:p>
    <w:p w14:paraId="3D0005FA" w14:textId="561F1AB5" w:rsidR="00D71D83" w:rsidRPr="00D71D83" w:rsidRDefault="00D71D83" w:rsidP="00C04307">
      <w:pPr>
        <w:pStyle w:val="Paragraph"/>
      </w:pPr>
      <w:r w:rsidRPr="00D71D83">
        <w:t xml:space="preserve">The total </w:t>
      </w:r>
      <w:r w:rsidR="007140E6">
        <w:t>DC</w:t>
      </w:r>
      <w:r w:rsidR="003B3AE1">
        <w:t>D</w:t>
      </w:r>
      <w:r w:rsidR="00706ABB">
        <w:t>P</w:t>
      </w:r>
      <w:r w:rsidRPr="00D71D83">
        <w:t xml:space="preserve"> per non DIP Payee shall be the sum of any </w:t>
      </w:r>
      <w:r w:rsidR="007140E6">
        <w:t>NCSC</w:t>
      </w:r>
      <w:r w:rsidRPr="00D71D83">
        <w:t xml:space="preserve"> and can be shown using the following equation:</w:t>
      </w:r>
    </w:p>
    <w:p w14:paraId="44F21FC9" w14:textId="0F3D45AC" w:rsidR="00D71D83" w:rsidRPr="00CC6F47" w:rsidRDefault="00D71D83" w:rsidP="00CC6F47">
      <w:pPr>
        <w:pStyle w:val="Bullets-letters"/>
        <w:ind w:left="709"/>
        <w:jc w:val="center"/>
        <w:rPr>
          <w:rFonts w:ascii="Cambria Math" w:hAnsi="Cambria Math"/>
          <w:i/>
          <w:iCs/>
        </w:rPr>
      </w:pPr>
      <m:oMathPara>
        <m:oMathParaPr>
          <m:jc m:val="center"/>
        </m:oMathParaPr>
        <m:oMath>
          <m:r>
            <w:rPr>
              <w:rFonts w:ascii="Cambria Math" w:hAnsi="Cambria Math"/>
            </w:rPr>
            <m:t>NCSC=DCDP</m:t>
          </m:r>
        </m:oMath>
      </m:oMathPara>
    </w:p>
    <w:p w14:paraId="17BA454D" w14:textId="1D904443" w:rsidR="00D71D83" w:rsidRPr="00625E99" w:rsidRDefault="00D71D83" w:rsidP="00C04307">
      <w:pPr>
        <w:pStyle w:val="Paragraph"/>
        <w:rPr>
          <w:i/>
          <w:sz w:val="22"/>
          <w:szCs w:val="22"/>
        </w:rPr>
      </w:pPr>
      <w:r w:rsidRPr="00D71D83">
        <w:t xml:space="preserve">The DIP </w:t>
      </w:r>
      <w:r w:rsidR="00706ABB">
        <w:t>M</w:t>
      </w:r>
      <w:r w:rsidRPr="00D71D83">
        <w:t>anager shall</w:t>
      </w:r>
      <w:r w:rsidR="003B407D">
        <w:t>, in producing monthly invoices,</w:t>
      </w:r>
      <w:r w:rsidRPr="00D71D83">
        <w:t xml:space="preserve"> make use of actual data so far as practicable, and shall publish a process by which suitable estimated data can be used in the absence of actual data.</w:t>
      </w:r>
    </w:p>
    <w:p w14:paraId="2D1272B2" w14:textId="5933F9EB" w:rsidR="00DD1690" w:rsidRPr="00093FD2" w:rsidRDefault="00DD1690" w:rsidP="00C04307">
      <w:pPr>
        <w:pStyle w:val="Paragraph"/>
      </w:pPr>
      <w:r w:rsidRPr="00625E99">
        <w:t>Determinations</w:t>
      </w:r>
      <w:r w:rsidRPr="00093FD2">
        <w:t xml:space="preserve"> </w:t>
      </w:r>
      <w:r w:rsidR="003B407D">
        <w:t xml:space="preserve">of amounts to be included in invoices </w:t>
      </w:r>
      <w:r w:rsidRPr="00093FD2">
        <w:t xml:space="preserve">shall be made no later than the </w:t>
      </w:r>
      <w:r w:rsidR="00793FB5" w:rsidRPr="00093FD2">
        <w:t>final W</w:t>
      </w:r>
      <w:r w:rsidRPr="00093FD2">
        <w:t>D</w:t>
      </w:r>
      <w:r w:rsidR="00793FB5" w:rsidRPr="00093FD2">
        <w:t xml:space="preserve"> </w:t>
      </w:r>
      <w:r w:rsidRPr="00093FD2">
        <w:t xml:space="preserve">of the month preceding e.g. determinations for </w:t>
      </w:r>
      <w:r w:rsidR="00793FB5" w:rsidRPr="00093FD2">
        <w:t>October</w:t>
      </w:r>
      <w:r w:rsidRPr="00093FD2">
        <w:t xml:space="preserve"> will be made </w:t>
      </w:r>
      <w:r w:rsidR="00793FB5" w:rsidRPr="00093FD2">
        <w:t>no later than the final WD of September</w:t>
      </w:r>
      <w:r w:rsidR="00093FD2">
        <w:t>.</w:t>
      </w:r>
    </w:p>
    <w:p w14:paraId="6001684C" w14:textId="2B4F1589" w:rsidR="00D71D83" w:rsidRPr="00D71D83" w:rsidRDefault="00D71D83" w:rsidP="00C04307">
      <w:pPr>
        <w:pStyle w:val="Paragraph"/>
        <w:rPr>
          <w:i/>
          <w:iCs/>
          <w:sz w:val="22"/>
          <w:szCs w:val="22"/>
        </w:rPr>
      </w:pPr>
      <w:r>
        <w:t>Invoices shall be issued</w:t>
      </w:r>
      <w:r w:rsidR="00793FB5">
        <w:t xml:space="preserve"> on, or as soon after as practicable, the first WD of each month but,</w:t>
      </w:r>
      <w:r>
        <w:t xml:space="preserve"> no later than 5 WD after the </w:t>
      </w:r>
      <w:r w:rsidR="00DD1690">
        <w:t>start of the each</w:t>
      </w:r>
      <w:r>
        <w:t xml:space="preserve"> month in question e.g. the invoice for </w:t>
      </w:r>
      <w:r w:rsidR="00793FB5">
        <w:t xml:space="preserve">October </w:t>
      </w:r>
      <w:r>
        <w:t xml:space="preserve">shall </w:t>
      </w:r>
      <w:r w:rsidR="00793FB5">
        <w:t xml:space="preserve">ideally </w:t>
      </w:r>
      <w:r>
        <w:t>be sent to DIP Paye</w:t>
      </w:r>
      <w:r w:rsidR="6137D4F5">
        <w:t>e</w:t>
      </w:r>
      <w:r>
        <w:t xml:space="preserve">s </w:t>
      </w:r>
      <w:r w:rsidR="00793FB5">
        <w:t xml:space="preserve">on the first WD of October but, </w:t>
      </w:r>
      <w:r>
        <w:t xml:space="preserve">no later than the </w:t>
      </w:r>
      <w:r w:rsidR="00DD1690">
        <w:t xml:space="preserve">fifth </w:t>
      </w:r>
      <w:r>
        <w:t xml:space="preserve">WD of </w:t>
      </w:r>
      <w:r w:rsidR="00793FB5">
        <w:t>October</w:t>
      </w:r>
      <w:r>
        <w:t>.</w:t>
      </w:r>
    </w:p>
    <w:p w14:paraId="310B16D5" w14:textId="2FAA1A13" w:rsidR="00D71D83" w:rsidRPr="00D71D83" w:rsidRDefault="00D71D83" w:rsidP="003D1399">
      <w:pPr>
        <w:pStyle w:val="Paragraph"/>
        <w:rPr>
          <w:szCs w:val="24"/>
        </w:rPr>
      </w:pPr>
      <w:r>
        <w:t xml:space="preserve">Each DIP Payee shall pay the amounts invoiced under this DSD (including VAT, if applicable) within 10 </w:t>
      </w:r>
      <w:r w:rsidR="001F5DA5">
        <w:t>WD</w:t>
      </w:r>
      <w:r>
        <w:t xml:space="preserve"> of the invoice date</w:t>
      </w:r>
      <w:r w:rsidR="6C79F77B">
        <w:t>.</w:t>
      </w:r>
    </w:p>
    <w:p w14:paraId="4D314A92" w14:textId="4B24CE41" w:rsidR="005038ED" w:rsidRPr="009B1CB2" w:rsidRDefault="005038ED" w:rsidP="009B1CB2">
      <w:pPr>
        <w:pStyle w:val="Heading2"/>
      </w:pPr>
      <w:bookmarkStart w:id="69" w:name="_Toc146577553"/>
      <w:bookmarkStart w:id="70" w:name="_Toc146577554"/>
      <w:bookmarkStart w:id="71" w:name="_Toc146577555"/>
      <w:bookmarkStart w:id="72" w:name="_Toc146577556"/>
      <w:bookmarkStart w:id="73" w:name="_Toc146577557"/>
      <w:bookmarkStart w:id="74" w:name="_Toc146577559"/>
      <w:bookmarkStart w:id="75" w:name="_Toc146577560"/>
      <w:bookmarkStart w:id="76" w:name="_Toc146577562"/>
      <w:bookmarkStart w:id="77" w:name="_Toc146577565"/>
      <w:bookmarkStart w:id="78" w:name="_Toc146577566"/>
      <w:bookmarkStart w:id="79" w:name="_Toc146577570"/>
      <w:bookmarkStart w:id="80" w:name="_Toc146577571"/>
      <w:bookmarkStart w:id="81" w:name="_Toc146577574"/>
      <w:bookmarkStart w:id="82" w:name="_Toc146577578"/>
      <w:bookmarkStart w:id="83" w:name="_Toc146577580"/>
      <w:bookmarkStart w:id="84" w:name="_Toc146577581"/>
      <w:bookmarkStart w:id="85" w:name="_Toc146119686"/>
      <w:bookmarkStart w:id="86" w:name="_Toc146122471"/>
      <w:bookmarkStart w:id="87" w:name="_Toc146577582"/>
      <w:bookmarkStart w:id="88" w:name="_Toc146119687"/>
      <w:bookmarkStart w:id="89" w:name="_Toc146122472"/>
      <w:bookmarkStart w:id="90" w:name="_Toc146577583"/>
      <w:bookmarkStart w:id="91" w:name="_Toc146119689"/>
      <w:bookmarkStart w:id="92" w:name="_Toc146122474"/>
      <w:bookmarkStart w:id="93" w:name="_Toc146577585"/>
      <w:bookmarkStart w:id="94" w:name="_Toc146119693"/>
      <w:bookmarkStart w:id="95" w:name="_Toc146122478"/>
      <w:bookmarkStart w:id="96" w:name="_Toc146577589"/>
      <w:bookmarkStart w:id="97" w:name="_Toc146119695"/>
      <w:bookmarkStart w:id="98" w:name="_Toc146122480"/>
      <w:bookmarkStart w:id="99" w:name="_Toc146577591"/>
      <w:bookmarkStart w:id="100" w:name="_Toc146119696"/>
      <w:bookmarkStart w:id="101" w:name="_Toc146122481"/>
      <w:bookmarkStart w:id="102" w:name="_Toc146577592"/>
      <w:bookmarkStart w:id="103" w:name="_Toc146119697"/>
      <w:bookmarkStart w:id="104" w:name="_Toc146122482"/>
      <w:bookmarkStart w:id="105" w:name="_Toc146577593"/>
      <w:bookmarkStart w:id="106" w:name="_Toc146119698"/>
      <w:bookmarkStart w:id="107" w:name="_Toc146122483"/>
      <w:bookmarkStart w:id="108" w:name="_Toc146577594"/>
      <w:bookmarkStart w:id="109" w:name="_Toc146119699"/>
      <w:bookmarkStart w:id="110" w:name="_Toc146122484"/>
      <w:bookmarkStart w:id="111" w:name="_Toc146577595"/>
      <w:bookmarkStart w:id="112" w:name="_Toc146119700"/>
      <w:bookmarkStart w:id="113" w:name="_Toc146122485"/>
      <w:bookmarkStart w:id="114" w:name="_Toc146577596"/>
      <w:bookmarkStart w:id="115" w:name="_Toc146119701"/>
      <w:bookmarkStart w:id="116" w:name="_Toc146122486"/>
      <w:bookmarkStart w:id="117" w:name="_Toc146577597"/>
      <w:bookmarkStart w:id="118" w:name="_Toc146119703"/>
      <w:bookmarkStart w:id="119" w:name="_Toc146122488"/>
      <w:bookmarkStart w:id="120" w:name="_Toc146577599"/>
      <w:bookmarkStart w:id="121" w:name="_Toc146119705"/>
      <w:bookmarkStart w:id="122" w:name="_Toc146122490"/>
      <w:bookmarkStart w:id="123" w:name="_Toc146577601"/>
      <w:bookmarkStart w:id="124" w:name="_Toc146119708"/>
      <w:bookmarkStart w:id="125" w:name="_Toc146122493"/>
      <w:bookmarkStart w:id="126" w:name="_Toc146577604"/>
      <w:bookmarkStart w:id="127" w:name="_Toc146119711"/>
      <w:bookmarkStart w:id="128" w:name="_Toc146122496"/>
      <w:bookmarkStart w:id="129" w:name="_Toc146577607"/>
      <w:bookmarkStart w:id="130" w:name="_Toc146119713"/>
      <w:bookmarkStart w:id="131" w:name="_Toc146122498"/>
      <w:bookmarkStart w:id="132" w:name="_Toc146577608"/>
      <w:bookmarkStart w:id="133" w:name="_Toc146122500"/>
      <w:bookmarkStart w:id="134" w:name="_Toc146577610"/>
      <w:bookmarkStart w:id="135" w:name="_Toc146577613"/>
      <w:bookmarkStart w:id="136" w:name="_Toc146577615"/>
      <w:bookmarkStart w:id="137" w:name="_Toc146577616"/>
      <w:bookmarkStart w:id="138" w:name="_Toc146577617"/>
      <w:bookmarkStart w:id="139" w:name="_Toc146577618"/>
      <w:bookmarkStart w:id="140" w:name="_Toc146577621"/>
      <w:bookmarkStart w:id="141" w:name="_Toc146577622"/>
      <w:bookmarkStart w:id="142" w:name="_Toc146577623"/>
      <w:bookmarkStart w:id="143" w:name="_Toc146577624"/>
      <w:bookmarkStart w:id="144" w:name="_Toc146577627"/>
      <w:bookmarkStart w:id="145" w:name="_Toc146577628"/>
      <w:bookmarkStart w:id="146" w:name="_Toc146577630"/>
      <w:bookmarkStart w:id="147" w:name="_Toc146577631"/>
      <w:bookmarkStart w:id="148" w:name="_Toc146577632"/>
      <w:bookmarkStart w:id="149" w:name="_Toc146577633"/>
      <w:bookmarkStart w:id="150" w:name="_Toc169521601"/>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9B1CB2">
        <w:lastRenderedPageBreak/>
        <w:t>Annual reconciliation</w:t>
      </w:r>
      <w:bookmarkEnd w:id="150"/>
    </w:p>
    <w:p w14:paraId="7706AFAF" w14:textId="77777777" w:rsidR="005038ED" w:rsidRPr="00CD5905" w:rsidRDefault="005038ED" w:rsidP="00C04307">
      <w:pPr>
        <w:pStyle w:val="Paragraph"/>
      </w:pPr>
      <w:r w:rsidRPr="00CD5905">
        <w:t>At the end of each DIP Year the DIP Manager shall carry out a reconciliation of DIP Costs to ensure that the sum of all payments made by DIP Payees throughout the DIP Year is equal to the DIP Costs incurred by the DIP Manager.</w:t>
      </w:r>
    </w:p>
    <w:p w14:paraId="3BC0A92A" w14:textId="7C1607F9" w:rsidR="005038ED" w:rsidRDefault="00190452" w:rsidP="00C04307">
      <w:pPr>
        <w:pStyle w:val="Paragraph"/>
      </w:pPr>
      <w:r>
        <w:t xml:space="preserve">The DIP Manager shall make </w:t>
      </w:r>
      <w:r w:rsidR="003B407D">
        <w:t xml:space="preserve">a </w:t>
      </w:r>
      <w:r>
        <w:t xml:space="preserve">final determination and adjustment in reference to the amounts determined in paragraphs </w:t>
      </w:r>
      <w:r w:rsidRPr="00B60AD6">
        <w:t>3.2</w:t>
      </w:r>
      <w:r w:rsidR="008D2C61" w:rsidRPr="00B60AD6">
        <w:t xml:space="preserve"> </w:t>
      </w:r>
      <w:r w:rsidRPr="00B60AD6">
        <w:t>to 3.</w:t>
      </w:r>
      <w:r w:rsidR="008D2C61" w:rsidRPr="00B60AD6">
        <w:t>6</w:t>
      </w:r>
      <w:r w:rsidR="00030979" w:rsidRPr="00B60AD6">
        <w:t xml:space="preserve"> </w:t>
      </w:r>
      <w:r w:rsidR="005038ED">
        <w:t>no later than 28 days after publication of its audited accounts for that year. Following final determination</w:t>
      </w:r>
      <w:r>
        <w:t>,</w:t>
      </w:r>
      <w:r w:rsidR="005038ED">
        <w:t xml:space="preserve"> </w:t>
      </w:r>
      <w:r w:rsidR="001F5DA5">
        <w:t>the DIP Manager</w:t>
      </w:r>
      <w:r w:rsidR="003B407D">
        <w:t xml:space="preserve"> </w:t>
      </w:r>
      <w:r w:rsidR="005038ED">
        <w:t xml:space="preserve">shall reconcile the </w:t>
      </w:r>
      <w:r w:rsidR="003B407D">
        <w:t xml:space="preserve">amounts </w:t>
      </w:r>
      <w:r w:rsidR="00BA5FB6">
        <w:t>paid</w:t>
      </w:r>
      <w:r w:rsidR="00A06894">
        <w:t xml:space="preserve"> </w:t>
      </w:r>
      <w:r w:rsidR="005038ED">
        <w:t>by each DIP Payee</w:t>
      </w:r>
      <w:r w:rsidR="003B407D">
        <w:t xml:space="preserve"> in accordance with the methodologies set out in this DSD</w:t>
      </w:r>
      <w:r w:rsidR="005038ED">
        <w:t>.</w:t>
      </w:r>
    </w:p>
    <w:p w14:paraId="19A11FF9" w14:textId="5E816B9B" w:rsidR="00075AEA" w:rsidRDefault="126875BA" w:rsidP="00C04307">
      <w:pPr>
        <w:pStyle w:val="Paragraph"/>
      </w:pPr>
      <w:r>
        <w:t xml:space="preserve">In making determinations in accordance with this paragraph the DIP Manager shall only use actual </w:t>
      </w:r>
      <w:r w:rsidR="6F795145">
        <w:t xml:space="preserve">(not estimated as per monthly </w:t>
      </w:r>
      <w:r w:rsidR="59B4A3DC">
        <w:t>invoice</w:t>
      </w:r>
      <w:r w:rsidR="6F795145">
        <w:t xml:space="preserve">s) </w:t>
      </w:r>
      <w:r>
        <w:t>data</w:t>
      </w:r>
      <w:r w:rsidR="6F795145">
        <w:t>, unless any actual data remains unavailable at the time of such determination</w:t>
      </w:r>
      <w:r w:rsidR="11B38795">
        <w:t xml:space="preserve">; in which case, the DIP Manager shall determine how </w:t>
      </w:r>
      <w:r w:rsidR="2A1DA72C">
        <w:t xml:space="preserve">to </w:t>
      </w:r>
      <w:r w:rsidR="11B38795">
        <w:t xml:space="preserve">best </w:t>
      </w:r>
      <w:r w:rsidR="72E3D242">
        <w:t>make good any corrections that may occur once actual data is available</w:t>
      </w:r>
      <w:r w:rsidR="008B70B1">
        <w:t xml:space="preserve"> and shall include their methodology in the invoice backing data.</w:t>
      </w:r>
      <w:r w:rsidR="6F795145">
        <w:t xml:space="preserve"> </w:t>
      </w:r>
      <w:r w:rsidR="008B70B1">
        <w:t xml:space="preserve"> </w:t>
      </w:r>
    </w:p>
    <w:p w14:paraId="45308256" w14:textId="77777777" w:rsidR="00BB2208" w:rsidRDefault="00973457" w:rsidP="00C04307">
      <w:pPr>
        <w:pStyle w:val="Paragraph"/>
      </w:pPr>
      <w:r>
        <w:t>To determine the amount to be reconciled, the DIP Manager shall</w:t>
      </w:r>
      <w:r w:rsidR="00BB2208">
        <w:t>:</w:t>
      </w:r>
    </w:p>
    <w:p w14:paraId="484A83A6" w14:textId="52C7837E" w:rsidR="00BB2208" w:rsidRDefault="003D1399" w:rsidP="00CC6F47">
      <w:pPr>
        <w:pStyle w:val="Bullets-letters"/>
        <w:numPr>
          <w:ilvl w:val="0"/>
          <w:numId w:val="63"/>
        </w:numPr>
        <w:ind w:left="709" w:hanging="425"/>
      </w:pPr>
      <w:r>
        <w:t>d</w:t>
      </w:r>
      <w:r w:rsidR="00973457">
        <w:t xml:space="preserve">etermine the </w:t>
      </w:r>
      <w:r w:rsidR="00BB2208">
        <w:t>Final DIP Costs (FDC) for the DIP Year and Subtract the ADSC to determine the Final DIP Non-Standing Charges (FDNSC):</w:t>
      </w:r>
    </w:p>
    <w:p w14:paraId="332605B0" w14:textId="01FF554A" w:rsidR="00BB2208" w:rsidRDefault="00BB2208" w:rsidP="00CC6F47">
      <w:pPr>
        <w:pStyle w:val="Bullets-letters"/>
        <w:ind w:left="709"/>
      </w:pPr>
      <m:oMathPara>
        <m:oMath>
          <m:r>
            <w:rPr>
              <w:rFonts w:ascii="Cambria Math" w:hAnsi="Cambria Math"/>
            </w:rPr>
            <m:t>FDC-ADSC=FDNSC</m:t>
          </m:r>
        </m:oMath>
      </m:oMathPara>
    </w:p>
    <w:p w14:paraId="7596CB7F" w14:textId="13038FAF" w:rsidR="003543B8" w:rsidRDefault="003D1399" w:rsidP="00CC6F47">
      <w:pPr>
        <w:pStyle w:val="Bullets-letters"/>
        <w:numPr>
          <w:ilvl w:val="0"/>
          <w:numId w:val="63"/>
        </w:numPr>
        <w:ind w:left="709" w:hanging="425"/>
      </w:pPr>
      <w:r>
        <w:t>m</w:t>
      </w:r>
      <w:r w:rsidR="00973457">
        <w:t xml:space="preserve">ultiply </w:t>
      </w:r>
      <w:r w:rsidR="00BB2208">
        <w:t>the FDNSC</w:t>
      </w:r>
      <w:r w:rsidR="00973457">
        <w:t xml:space="preserve"> by each DIP Payee</w:t>
      </w:r>
      <w:r w:rsidR="00A06894">
        <w:t>’</w:t>
      </w:r>
      <w:r w:rsidR="00973457">
        <w:t>s</w:t>
      </w:r>
      <w:r w:rsidR="0031623A">
        <w:t xml:space="preserve"> end-of </w:t>
      </w:r>
      <w:r w:rsidR="00EA0EA2">
        <w:t>DIP Y</w:t>
      </w:r>
      <w:r w:rsidR="0031623A">
        <w:t>ear</w:t>
      </w:r>
      <w:r w:rsidR="00973457">
        <w:t xml:space="preserve"> Supplier Funding Share </w:t>
      </w:r>
      <w:r w:rsidR="0031623A">
        <w:t>(ESFS)</w:t>
      </w:r>
      <w:r w:rsidR="00BB2208">
        <w:t xml:space="preserve"> </w:t>
      </w:r>
      <w:r w:rsidR="00973457">
        <w:t>at the end of the year (i.e. as determined in the March report produced on the fifth WD of April)</w:t>
      </w:r>
      <w:r w:rsidR="0031623A">
        <w:t xml:space="preserve"> to give the DNSC per Supplier for the Year (DNSCY):</w:t>
      </w:r>
    </w:p>
    <w:p w14:paraId="13D43FB7" w14:textId="22FD6629" w:rsidR="0031623A" w:rsidRPr="00CC6F47" w:rsidRDefault="0031623A" w:rsidP="00CC6F47">
      <w:pPr>
        <w:pStyle w:val="Bullets-letters"/>
      </w:pPr>
      <m:oMathPara>
        <m:oMath>
          <m:r>
            <w:rPr>
              <w:rFonts w:ascii="Cambria Math" w:hAnsi="Cambria Math"/>
            </w:rPr>
            <m:t>FDNSC</m:t>
          </m:r>
          <m:r>
            <m:rPr>
              <m:sty m:val="p"/>
            </m:rPr>
            <w:rPr>
              <w:rFonts w:ascii="Cambria Math" w:hAnsi="Cambria Math"/>
            </w:rPr>
            <m:t xml:space="preserve"> ×</m:t>
          </m:r>
          <m:f>
            <m:fPr>
              <m:ctrlPr>
                <w:rPr>
                  <w:rFonts w:ascii="Cambria Math" w:hAnsi="Cambria Math"/>
                  <w:i/>
                </w:rPr>
              </m:ctrlPr>
            </m:fPr>
            <m:num>
              <m:r>
                <w:rPr>
                  <w:rFonts w:ascii="Cambria Math" w:hAnsi="Cambria Math"/>
                </w:rPr>
                <m:t>ESFS</m:t>
              </m:r>
            </m:num>
            <m:den>
              <m:r>
                <w:rPr>
                  <w:rFonts w:ascii="Cambria Math" w:hAnsi="Cambria Math"/>
                </w:rPr>
                <m:t>100</m:t>
              </m:r>
            </m:den>
          </m:f>
          <m:r>
            <m:rPr>
              <m:sty m:val="p"/>
            </m:rPr>
            <w:rPr>
              <w:rFonts w:ascii="Cambria Math" w:hAnsi="Cambria Math"/>
            </w:rPr>
            <m:t>=</m:t>
          </m:r>
          <m:r>
            <w:rPr>
              <w:rFonts w:ascii="Cambria Math" w:hAnsi="Cambria Math"/>
            </w:rPr>
            <m:t>DNSCY</m:t>
          </m:r>
        </m:oMath>
      </m:oMathPara>
    </w:p>
    <w:p w14:paraId="0078FC9E" w14:textId="3EAA11D7" w:rsidR="0031623A" w:rsidRDefault="003D1399" w:rsidP="003D1399">
      <w:pPr>
        <w:pStyle w:val="Bullets-letters"/>
        <w:numPr>
          <w:ilvl w:val="0"/>
          <w:numId w:val="63"/>
        </w:numPr>
        <w:ind w:left="709" w:hanging="425"/>
      </w:pPr>
      <w:r>
        <w:t>s</w:t>
      </w:r>
      <w:r w:rsidR="0031623A">
        <w:t>ubtract the sum of all M</w:t>
      </w:r>
      <w:r w:rsidR="0084652D">
        <w:t>onthly DIP Non-Standing Charges – Σ</w:t>
      </w:r>
      <w:r w:rsidR="0084652D" w:rsidRPr="00F02C21">
        <w:rPr>
          <w:vertAlign w:val="subscript"/>
        </w:rPr>
        <w:t>m12</w:t>
      </w:r>
      <w:r w:rsidR="0031623A">
        <w:t>DNSC</w:t>
      </w:r>
      <w:r w:rsidR="00794708">
        <w:t>M</w:t>
      </w:r>
      <w:r w:rsidR="00B746FF">
        <w:t>P</w:t>
      </w:r>
      <w:r w:rsidR="0084652D">
        <w:t xml:space="preserve"> (where Σ</w:t>
      </w:r>
      <w:r w:rsidR="0084652D" w:rsidRPr="003D1399">
        <w:t xml:space="preserve">m12 </w:t>
      </w:r>
      <w:r w:rsidR="0084652D">
        <w:t xml:space="preserve">is the sum of all 12 months in the DIP Year being reconciled) – from </w:t>
      </w:r>
      <w:r w:rsidR="006771B1">
        <w:t xml:space="preserve">the DNSCY to determine the </w:t>
      </w:r>
      <w:r w:rsidR="0084652D">
        <w:t>amount to reconcile as in regard to DIP Non-Standing Charges</w:t>
      </w:r>
      <w:r w:rsidR="001622D6">
        <w:t xml:space="preserve"> (RDNSC)</w:t>
      </w:r>
      <w:r w:rsidR="0084652D">
        <w:t>:</w:t>
      </w:r>
    </w:p>
    <w:p w14:paraId="1E379622" w14:textId="5044882E" w:rsidR="0084652D" w:rsidRPr="00CC6F47" w:rsidRDefault="0084652D" w:rsidP="00CC6F47">
      <w:pPr>
        <w:pStyle w:val="Bullets-letters"/>
        <w:jc w:val="center"/>
        <w:rPr>
          <w:rFonts w:ascii="Cambria Math" w:hAnsi="Cambria Math"/>
          <w:i/>
          <w:iCs/>
        </w:rPr>
      </w:pPr>
      <w:r w:rsidRPr="00CC6F47">
        <w:rPr>
          <w:rFonts w:ascii="Cambria Math" w:hAnsi="Cambria Math"/>
          <w:i/>
          <w:iCs/>
        </w:rPr>
        <w:t>DNSCY - Σ</w:t>
      </w:r>
      <w:r w:rsidRPr="00F02C21">
        <w:rPr>
          <w:rFonts w:ascii="Cambria Math" w:hAnsi="Cambria Math"/>
          <w:i/>
          <w:iCs/>
          <w:vertAlign w:val="subscript"/>
        </w:rPr>
        <w:t>m12</w:t>
      </w:r>
      <w:r w:rsidRPr="00CC6F47">
        <w:rPr>
          <w:rFonts w:ascii="Cambria Math" w:hAnsi="Cambria Math"/>
          <w:i/>
          <w:iCs/>
        </w:rPr>
        <w:t>DNSC</w:t>
      </w:r>
      <w:r w:rsidR="00DB5603">
        <w:rPr>
          <w:rFonts w:ascii="Cambria Math" w:hAnsi="Cambria Math"/>
          <w:i/>
          <w:iCs/>
        </w:rPr>
        <w:t>M</w:t>
      </w:r>
      <w:r w:rsidR="00B746FF">
        <w:rPr>
          <w:rFonts w:ascii="Cambria Math" w:hAnsi="Cambria Math"/>
          <w:i/>
          <w:iCs/>
        </w:rPr>
        <w:t>P</w:t>
      </w:r>
      <w:r w:rsidRPr="00CC6F47">
        <w:rPr>
          <w:rFonts w:ascii="Cambria Math" w:hAnsi="Cambria Math"/>
          <w:i/>
          <w:iCs/>
        </w:rPr>
        <w:t xml:space="preserve"> = RDNSC</w:t>
      </w:r>
    </w:p>
    <w:p w14:paraId="70E79C47" w14:textId="0BA4823B" w:rsidR="008B4D18" w:rsidRDefault="008B4D18" w:rsidP="00C04307">
      <w:pPr>
        <w:pStyle w:val="Paragraph"/>
      </w:pPr>
      <w:r>
        <w:t xml:space="preserve">The DNSC to be reconciled </w:t>
      </w:r>
      <w:r w:rsidRPr="008B4D18">
        <w:t>per Supplier can be determined using the following combined equation</w:t>
      </w:r>
      <w:r>
        <w:t>:</w:t>
      </w:r>
    </w:p>
    <w:p w14:paraId="1FB4D67F" w14:textId="58454540" w:rsidR="00837D08" w:rsidRPr="00CC6F47" w:rsidRDefault="00837D08" w:rsidP="00CC6F47">
      <w:pPr>
        <w:pStyle w:val="Bullets-letters"/>
        <w:jc w:val="center"/>
        <w:rPr>
          <w:rFonts w:ascii="Cambria Math" w:hAnsi="Cambria Math"/>
          <w:i/>
          <w:iCs/>
        </w:rPr>
      </w:pPr>
      <m:oMath>
        <m:r>
          <w:rPr>
            <w:rFonts w:ascii="Cambria Math" w:hAnsi="Cambria Math"/>
          </w:rPr>
          <m:t>((FDC-ADSC) ×</m:t>
        </m:r>
        <m:f>
          <m:fPr>
            <m:ctrlPr>
              <w:rPr>
                <w:rFonts w:ascii="Cambria Math" w:hAnsi="Cambria Math"/>
                <w:i/>
              </w:rPr>
            </m:ctrlPr>
          </m:fPr>
          <m:num>
            <m:r>
              <w:rPr>
                <w:rFonts w:ascii="Cambria Math" w:hAnsi="Cambria Math"/>
              </w:rPr>
              <m:t>ESFS</m:t>
            </m:r>
          </m:num>
          <m:den>
            <m:r>
              <w:rPr>
                <w:rFonts w:ascii="Cambria Math" w:hAnsi="Cambria Math"/>
              </w:rPr>
              <m:t>100</m:t>
            </m:r>
          </m:den>
        </m:f>
        <m:r>
          <w:rPr>
            <w:rFonts w:ascii="Cambria Math" w:hAnsi="Cambria Math"/>
          </w:rPr>
          <m:t>)</m:t>
        </m:r>
      </m:oMath>
      <w:r w:rsidRPr="00CC6F47">
        <w:rPr>
          <w:rFonts w:ascii="Cambria Math" w:hAnsi="Cambria Math"/>
          <w:i/>
          <w:iCs/>
        </w:rPr>
        <w:t xml:space="preserve"> - Σ</w:t>
      </w:r>
      <w:r w:rsidRPr="003D1399">
        <w:rPr>
          <w:rFonts w:ascii="Cambria Math" w:hAnsi="Cambria Math"/>
          <w:i/>
          <w:iCs/>
          <w:vertAlign w:val="subscript"/>
        </w:rPr>
        <w:t>m12</w:t>
      </w:r>
      <w:r w:rsidRPr="00CC6F47">
        <w:rPr>
          <w:rFonts w:ascii="Cambria Math" w:hAnsi="Cambria Math"/>
          <w:i/>
          <w:iCs/>
        </w:rPr>
        <w:t>DNSC</w:t>
      </w:r>
      <w:r w:rsidR="00DB5603">
        <w:rPr>
          <w:rFonts w:ascii="Cambria Math" w:hAnsi="Cambria Math"/>
          <w:i/>
          <w:iCs/>
        </w:rPr>
        <w:t>M</w:t>
      </w:r>
      <w:r w:rsidR="00B746FF">
        <w:rPr>
          <w:rFonts w:ascii="Cambria Math" w:hAnsi="Cambria Math"/>
          <w:i/>
          <w:iCs/>
        </w:rPr>
        <w:t>P</w:t>
      </w:r>
      <w:r w:rsidRPr="00CC6F47">
        <w:rPr>
          <w:rFonts w:ascii="Cambria Math" w:hAnsi="Cambria Math"/>
          <w:i/>
          <w:iCs/>
        </w:rPr>
        <w:t xml:space="preserve"> = RDNSC</w:t>
      </w:r>
    </w:p>
    <w:p w14:paraId="348A3943" w14:textId="405171C9" w:rsidR="001622D6" w:rsidRDefault="0084652D" w:rsidP="00C04307">
      <w:pPr>
        <w:pStyle w:val="Paragraph"/>
      </w:pPr>
      <w:r>
        <w:t>For example, if we conti</w:t>
      </w:r>
      <w:r w:rsidR="001622D6">
        <w:t xml:space="preserve">nue the </w:t>
      </w:r>
      <w:r w:rsidR="00994787">
        <w:t xml:space="preserve">previous </w:t>
      </w:r>
      <w:r w:rsidR="001622D6">
        <w:t>example:</w:t>
      </w:r>
      <w:r>
        <w:t xml:space="preserve"> </w:t>
      </w:r>
    </w:p>
    <w:p w14:paraId="207BB52B" w14:textId="15F25581" w:rsidR="0084652D" w:rsidRDefault="003D1399" w:rsidP="00CC6F47">
      <w:pPr>
        <w:pStyle w:val="Bullets-letters"/>
        <w:numPr>
          <w:ilvl w:val="0"/>
          <w:numId w:val="62"/>
        </w:numPr>
        <w:ind w:left="709" w:hanging="425"/>
      </w:pPr>
      <w:r>
        <w:t>u</w:t>
      </w:r>
      <w:r w:rsidR="001622D6">
        <w:t xml:space="preserve">se </w:t>
      </w:r>
      <w:r w:rsidR="0084652D">
        <w:t>a FDC of £4,</w:t>
      </w:r>
      <w:r w:rsidR="00837D08">
        <w:t>7</w:t>
      </w:r>
      <w:r w:rsidR="00997F5C">
        <w:t>0</w:t>
      </w:r>
      <w:r w:rsidR="0084652D">
        <w:t>0,000</w:t>
      </w:r>
      <w:r>
        <w:t>;</w:t>
      </w:r>
    </w:p>
    <w:p w14:paraId="4AA15157" w14:textId="20C9CE29" w:rsidR="00837D08" w:rsidRDefault="003D1399" w:rsidP="00CC6F47">
      <w:pPr>
        <w:pStyle w:val="Bullets-letters"/>
        <w:numPr>
          <w:ilvl w:val="0"/>
          <w:numId w:val="62"/>
        </w:numPr>
        <w:ind w:left="709" w:hanging="425"/>
      </w:pPr>
      <w:r>
        <w:t>t</w:t>
      </w:r>
      <w:r w:rsidR="00837D08">
        <w:t>he ADSC remain</w:t>
      </w:r>
      <w:r w:rsidR="00A06894">
        <w:t>s</w:t>
      </w:r>
      <w:r w:rsidR="00837D08">
        <w:t xml:space="preserve"> £1,200,000</w:t>
      </w:r>
      <w:r>
        <w:t>;</w:t>
      </w:r>
    </w:p>
    <w:p w14:paraId="05CBED2C" w14:textId="5CB9E28B" w:rsidR="001622D6" w:rsidRDefault="003D1399" w:rsidP="00CC6F47">
      <w:pPr>
        <w:pStyle w:val="Bullets-letters"/>
        <w:numPr>
          <w:ilvl w:val="0"/>
          <w:numId w:val="62"/>
        </w:numPr>
        <w:ind w:left="709" w:hanging="425"/>
      </w:pPr>
      <w:r>
        <w:t>t</w:t>
      </w:r>
      <w:r w:rsidR="001622D6">
        <w:t>he ESFS is 20%</w:t>
      </w:r>
      <w:r>
        <w:t>;</w:t>
      </w:r>
    </w:p>
    <w:p w14:paraId="68A16CF6" w14:textId="46485D2A" w:rsidR="001622D6" w:rsidRDefault="003D1399" w:rsidP="00CC6F47">
      <w:pPr>
        <w:pStyle w:val="Bullets-letters"/>
        <w:numPr>
          <w:ilvl w:val="0"/>
          <w:numId w:val="62"/>
        </w:numPr>
        <w:ind w:left="709" w:hanging="425"/>
      </w:pPr>
      <w:r>
        <w:lastRenderedPageBreak/>
        <w:t>i</w:t>
      </w:r>
      <w:r w:rsidR="001622D6">
        <w:t>f we continue without any change in RADC</w:t>
      </w:r>
      <w:r w:rsidR="00815A6C">
        <w:t xml:space="preserve"> until March</w:t>
      </w:r>
      <w:r w:rsidR="001622D6">
        <w:t>, the Supplier’s Σ</w:t>
      </w:r>
      <w:r w:rsidR="001622D6" w:rsidRPr="00601899">
        <w:rPr>
          <w:vertAlign w:val="subscript"/>
        </w:rPr>
        <w:t>m12</w:t>
      </w:r>
      <w:r w:rsidR="001622D6">
        <w:t>DNSC</w:t>
      </w:r>
      <w:r w:rsidR="00DB5603">
        <w:t>M</w:t>
      </w:r>
      <w:r w:rsidR="00B746FF">
        <w:t>P</w:t>
      </w:r>
      <w:r w:rsidR="001622D6">
        <w:t xml:space="preserve"> = £696,000</w:t>
      </w:r>
      <w:r>
        <w:t>:</w:t>
      </w:r>
    </w:p>
    <w:p w14:paraId="70E67E8C" w14:textId="610ABD23" w:rsidR="001622D6" w:rsidRPr="00CC6F47" w:rsidRDefault="001622D6" w:rsidP="00CC6F47">
      <w:pPr>
        <w:pStyle w:val="Bullets-letters"/>
        <w:jc w:val="center"/>
        <w:rPr>
          <w:rFonts w:ascii="Cambria Math" w:hAnsi="Cambria Math"/>
          <w:i/>
          <w:iCs/>
        </w:rPr>
      </w:pPr>
      <w:r w:rsidRPr="00CC6F47">
        <w:rPr>
          <w:rFonts w:ascii="Cambria Math" w:hAnsi="Cambria Math"/>
          <w:i/>
          <w:iCs/>
        </w:rPr>
        <w:t>RDNSC = (</w:t>
      </w:r>
      <m:oMath>
        <m:r>
          <w:rPr>
            <w:rFonts w:ascii="Cambria Math" w:hAnsi="Cambria Math"/>
          </w:rPr>
          <m:t>(£4,700,000 - £1,200,000)×0.2</m:t>
        </m:r>
      </m:oMath>
      <w:r w:rsidRPr="00CC6F47">
        <w:rPr>
          <w:rFonts w:ascii="Cambria Math" w:hAnsi="Cambria Math"/>
          <w:i/>
          <w:iCs/>
        </w:rPr>
        <w:t xml:space="preserve">) - </w:t>
      </w:r>
      <w:r w:rsidR="008B4D18" w:rsidRPr="00CC6F47">
        <w:rPr>
          <w:rFonts w:ascii="Cambria Math" w:hAnsi="Cambria Math"/>
          <w:i/>
          <w:iCs/>
        </w:rPr>
        <w:t>£696,000</w:t>
      </w:r>
      <w:r w:rsidRPr="00CC6F47">
        <w:rPr>
          <w:rFonts w:ascii="Cambria Math" w:hAnsi="Cambria Math"/>
          <w:i/>
          <w:iCs/>
        </w:rPr>
        <w:t xml:space="preserve"> = </w:t>
      </w:r>
      <w:r w:rsidR="00837D08" w:rsidRPr="00CC6F47">
        <w:rPr>
          <w:rFonts w:ascii="Cambria Math" w:hAnsi="Cambria Math"/>
          <w:i/>
          <w:iCs/>
        </w:rPr>
        <w:t>£4,000</w:t>
      </w:r>
    </w:p>
    <w:p w14:paraId="5C70F981" w14:textId="2E71DDEE" w:rsidR="00837D08" w:rsidRPr="00BB6659" w:rsidRDefault="00837D08" w:rsidP="00CC6F47">
      <w:pPr>
        <w:pStyle w:val="Bullets-letters"/>
        <w:ind w:left="709"/>
        <w:rPr>
          <w:b/>
          <w:i/>
          <w:u w:val="single"/>
        </w:rPr>
      </w:pPr>
      <w:r w:rsidRPr="00BB6659">
        <w:rPr>
          <w:b/>
          <w:i/>
          <w:u w:val="single"/>
        </w:rPr>
        <w:t>These figures are for illustrative purposes only and are not to be taken as indicative of DIP Costs, Funding Shares or ADSC percentages in any</w:t>
      </w:r>
      <w:r w:rsidR="00A06894">
        <w:rPr>
          <w:b/>
          <w:i/>
          <w:u w:val="single"/>
        </w:rPr>
        <w:t xml:space="preserve"> </w:t>
      </w:r>
      <w:r w:rsidRPr="00BB6659">
        <w:rPr>
          <w:b/>
          <w:i/>
          <w:u w:val="single"/>
        </w:rPr>
        <w:t>way</w:t>
      </w:r>
      <w:r w:rsidR="00A06894">
        <w:rPr>
          <w:b/>
          <w:i/>
          <w:u w:val="single"/>
        </w:rPr>
        <w:t>.</w:t>
      </w:r>
    </w:p>
    <w:p w14:paraId="79FDBD67" w14:textId="28E5F006" w:rsidR="007A7E74" w:rsidRDefault="007A7E74" w:rsidP="00625E99">
      <w:pPr>
        <w:pStyle w:val="Heading1"/>
      </w:pPr>
      <w:bookmarkStart w:id="151" w:name="_Toc169521602"/>
      <w:r>
        <w:lastRenderedPageBreak/>
        <w:t xml:space="preserve">Payment of DIP </w:t>
      </w:r>
      <w:r w:rsidR="003B407D">
        <w:t>Charges</w:t>
      </w:r>
      <w:bookmarkEnd w:id="151"/>
    </w:p>
    <w:p w14:paraId="56AEECC3" w14:textId="1FE578AC" w:rsidR="00DB69FF" w:rsidRDefault="00992054" w:rsidP="009B1CB2">
      <w:pPr>
        <w:pStyle w:val="Heading2"/>
      </w:pPr>
      <w:bookmarkStart w:id="152" w:name="_Toc169521603"/>
      <w:r>
        <w:t>Bank Accounts</w:t>
      </w:r>
      <w:bookmarkEnd w:id="152"/>
    </w:p>
    <w:p w14:paraId="5B459210" w14:textId="3E21BBDC" w:rsidR="00A738C3" w:rsidRDefault="00992054" w:rsidP="00C04307">
      <w:pPr>
        <w:pStyle w:val="Paragraph"/>
      </w:pPr>
      <w:r>
        <w:t xml:space="preserve">Each DIP Payee shall notify to the DIP Manager, and the DIP Manager shall notify to each DIP Payee, details of the banks and accounts </w:t>
      </w:r>
      <w:r w:rsidR="000F152C">
        <w:t xml:space="preserve">from and </w:t>
      </w:r>
      <w:r>
        <w:t>to which any payments are to be made (to the DIP Manager or such DIP Payee) in respect</w:t>
      </w:r>
      <w:r w:rsidR="006377E7">
        <w:t xml:space="preserve"> of DIP </w:t>
      </w:r>
      <w:r w:rsidR="003B407D">
        <w:t>Charges</w:t>
      </w:r>
      <w:r>
        <w:t>.</w:t>
      </w:r>
      <w:r w:rsidR="00A738C3">
        <w:t xml:space="preserve"> </w:t>
      </w:r>
    </w:p>
    <w:p w14:paraId="41532A2A" w14:textId="2A9991F6" w:rsidR="00992054" w:rsidRPr="00992054" w:rsidRDefault="00A738C3" w:rsidP="00C04307">
      <w:pPr>
        <w:pStyle w:val="Paragraph"/>
      </w:pPr>
      <w:r>
        <w:t>Where the DIP Payee is also a Party</w:t>
      </w:r>
      <w:r w:rsidR="00713182">
        <w:t xml:space="preserve"> to the Code administered by the </w:t>
      </w:r>
      <w:r w:rsidR="00204E7E">
        <w:t xml:space="preserve">DIP Manager’s owning </w:t>
      </w:r>
      <w:r w:rsidR="00713182">
        <w:t>Code Body</w:t>
      </w:r>
      <w:r w:rsidR="00204E7E">
        <w:t xml:space="preserve">, the information required in the previous paragraph </w:t>
      </w:r>
      <w:r>
        <w:t xml:space="preserve">shall be the same as that held </w:t>
      </w:r>
      <w:r w:rsidR="00713182">
        <w:t>by the owning Code Body</w:t>
      </w:r>
      <w:r>
        <w:t>.</w:t>
      </w:r>
    </w:p>
    <w:p w14:paraId="026E0B3E" w14:textId="77777777" w:rsidR="00595E02" w:rsidRDefault="00595E02" w:rsidP="009B1CB2">
      <w:pPr>
        <w:pStyle w:val="Heading2"/>
      </w:pPr>
      <w:bookmarkStart w:id="153" w:name="_Toc169521604"/>
      <w:r>
        <w:t>Credit Cover</w:t>
      </w:r>
      <w:bookmarkEnd w:id="153"/>
    </w:p>
    <w:p w14:paraId="52B1F595" w14:textId="3F0F21DC" w:rsidR="00595E02" w:rsidRPr="00595E02" w:rsidRDefault="00595E02" w:rsidP="00C04307">
      <w:pPr>
        <w:pStyle w:val="Paragraph"/>
      </w:pPr>
      <w:r>
        <w:t xml:space="preserve">DIP Payees are not required to provide </w:t>
      </w:r>
      <w:r w:rsidR="000F152C">
        <w:t>c</w:t>
      </w:r>
      <w:r>
        <w:t xml:space="preserve">redit to the DIP </w:t>
      </w:r>
      <w:r w:rsidR="00174961">
        <w:t>M</w:t>
      </w:r>
      <w:r>
        <w:t xml:space="preserve">anager to cover any bad debt that may occur. </w:t>
      </w:r>
    </w:p>
    <w:p w14:paraId="20D60869" w14:textId="0F1FCB68" w:rsidR="006377E7" w:rsidRDefault="006377E7" w:rsidP="009B1CB2">
      <w:pPr>
        <w:pStyle w:val="Heading2"/>
      </w:pPr>
      <w:bookmarkStart w:id="154" w:name="_Toc169521605"/>
      <w:r>
        <w:t>Payment by DIP Payees</w:t>
      </w:r>
      <w:bookmarkEnd w:id="154"/>
    </w:p>
    <w:p w14:paraId="041C6037" w14:textId="41C4F6EB" w:rsidR="006377E7" w:rsidRPr="006377E7" w:rsidRDefault="006377E7" w:rsidP="00C04307">
      <w:pPr>
        <w:pStyle w:val="Paragraph"/>
      </w:pPr>
      <w:r w:rsidRPr="006377E7">
        <w:t xml:space="preserve">Each </w:t>
      </w:r>
      <w:r>
        <w:t>DIP Payee</w:t>
      </w:r>
      <w:r w:rsidRPr="006377E7">
        <w:t xml:space="preserve"> shall pay all amounts invoiced in respect of </w:t>
      </w:r>
      <w:r>
        <w:t xml:space="preserve">DIP </w:t>
      </w:r>
      <w:r w:rsidR="003B407D">
        <w:t>Charges</w:t>
      </w:r>
      <w:r w:rsidR="003B407D" w:rsidRPr="006377E7">
        <w:t xml:space="preserve"> </w:t>
      </w:r>
      <w:r w:rsidRPr="006377E7">
        <w:t>payable</w:t>
      </w:r>
      <w:r w:rsidR="000F152C">
        <w:t xml:space="preserve"> </w:t>
      </w:r>
      <w:r w:rsidR="00264573">
        <w:t>plus</w:t>
      </w:r>
      <w:r w:rsidRPr="006377E7">
        <w:t xml:space="preserve"> applicable VAT thereon</w:t>
      </w:r>
      <w:r>
        <w:t>,</w:t>
      </w:r>
      <w:r w:rsidRPr="006377E7">
        <w:t xml:space="preserve"> no later than the due date for payment in accordance with this </w:t>
      </w:r>
      <w:r>
        <w:t>DSD</w:t>
      </w:r>
      <w:r w:rsidRPr="006377E7">
        <w:t>.</w:t>
      </w:r>
    </w:p>
    <w:p w14:paraId="4FA3D6A0" w14:textId="2DF53156" w:rsidR="006377E7" w:rsidRPr="006377E7" w:rsidRDefault="006377E7" w:rsidP="00C04307">
      <w:pPr>
        <w:pStyle w:val="Paragraph"/>
      </w:pPr>
      <w:r w:rsidRPr="006377E7">
        <w:t xml:space="preserve">Payment of </w:t>
      </w:r>
      <w:r>
        <w:t xml:space="preserve">DIP </w:t>
      </w:r>
      <w:r w:rsidR="003B407D">
        <w:t>Charges</w:t>
      </w:r>
      <w:r w:rsidR="003B407D" w:rsidRPr="006377E7">
        <w:t xml:space="preserve"> </w:t>
      </w:r>
      <w:r w:rsidRPr="006377E7">
        <w:t xml:space="preserve">shall be made in sterling in cleared funds to the relevant account of the </w:t>
      </w:r>
      <w:r w:rsidR="00BC666D">
        <w:t xml:space="preserve">relevant </w:t>
      </w:r>
      <w:r w:rsidR="00713182">
        <w:t>recipient</w:t>
      </w:r>
      <w:r w:rsidRPr="006377E7">
        <w:t xml:space="preserve"> notified</w:t>
      </w:r>
      <w:r w:rsidR="00A06894">
        <w:t>.</w:t>
      </w:r>
    </w:p>
    <w:p w14:paraId="5B6D9E40" w14:textId="37701564" w:rsidR="006377E7" w:rsidRPr="006377E7" w:rsidRDefault="006377E7" w:rsidP="00C04307">
      <w:pPr>
        <w:pStyle w:val="Paragraph"/>
      </w:pPr>
      <w:r w:rsidRPr="006377E7">
        <w:t xml:space="preserve">Payment of </w:t>
      </w:r>
      <w:r>
        <w:t xml:space="preserve">DIP </w:t>
      </w:r>
      <w:r w:rsidR="003B407D">
        <w:t>Charges</w:t>
      </w:r>
      <w:r w:rsidR="003B407D" w:rsidRPr="006377E7">
        <w:t xml:space="preserve"> </w:t>
      </w:r>
      <w:r w:rsidRPr="006377E7">
        <w:t>shall be made in full, free and clear of any restriction, reservation or condition, and except to the extent (if any) required by law, without deduction, withholding, set-off or counter-claim of any kind (but without prejudice to any other remedy).</w:t>
      </w:r>
    </w:p>
    <w:p w14:paraId="630458E0" w14:textId="18237A80" w:rsidR="006377E7" w:rsidRPr="006377E7" w:rsidRDefault="006377E7" w:rsidP="00C04307">
      <w:pPr>
        <w:pStyle w:val="Paragraph"/>
      </w:pPr>
      <w:r w:rsidRPr="006377E7">
        <w:t xml:space="preserve">Where </w:t>
      </w:r>
      <w:r w:rsidR="009903AE">
        <w:t>the DIP Manager</w:t>
      </w:r>
      <w:r w:rsidRPr="006377E7">
        <w:t xml:space="preserve"> is required by law to make any deduction or withholding, the amount thereof shall be the minimum amount required by law (as modified by the terms of any agreement between </w:t>
      </w:r>
      <w:r w:rsidR="009903AE">
        <w:t>the DIP Manager</w:t>
      </w:r>
      <w:r w:rsidRPr="006377E7">
        <w:t xml:space="preserve"> and any relevant taxation authority) and </w:t>
      </w:r>
      <w:r w:rsidR="009903AE">
        <w:t>the DIP Manager</w:t>
      </w:r>
      <w:r w:rsidRPr="006377E7">
        <w:t xml:space="preserve"> shall make payments and returns to the relevant tax authorities and issue certificates to </w:t>
      </w:r>
      <w:r w:rsidR="009903AE">
        <w:t>DIP Payees</w:t>
      </w:r>
      <w:r w:rsidRPr="006377E7">
        <w:t xml:space="preserve"> in respect thereof as required by law (as so modified).</w:t>
      </w:r>
    </w:p>
    <w:p w14:paraId="25A42702" w14:textId="1AE7A462" w:rsidR="006377E7" w:rsidRPr="006377E7" w:rsidRDefault="006377E7" w:rsidP="00C04307">
      <w:pPr>
        <w:pStyle w:val="Paragraph"/>
      </w:pPr>
      <w:proofErr w:type="spellStart"/>
      <w:r w:rsidRPr="006377E7">
        <w:t>BSCCo</w:t>
      </w:r>
      <w:proofErr w:type="spellEnd"/>
      <w:r w:rsidRPr="006377E7">
        <w:t xml:space="preserve"> </w:t>
      </w:r>
      <w:r w:rsidR="00264573">
        <w:t xml:space="preserve">or any other relevant Code Body to which DIP </w:t>
      </w:r>
      <w:r w:rsidR="003B407D">
        <w:t xml:space="preserve">Charges </w:t>
      </w:r>
      <w:r w:rsidR="00264573">
        <w:t>may become payable</w:t>
      </w:r>
      <w:r w:rsidR="000F152C">
        <w:t xml:space="preserve"> </w:t>
      </w:r>
      <w:r w:rsidRPr="006377E7">
        <w:t xml:space="preserve">may agree with any </w:t>
      </w:r>
      <w:r w:rsidR="009903AE">
        <w:t>DIP Payee</w:t>
      </w:r>
      <w:r w:rsidRPr="006377E7">
        <w:t xml:space="preserve"> that such </w:t>
      </w:r>
      <w:r w:rsidR="009903AE">
        <w:t>DIP Payee</w:t>
      </w:r>
      <w:r w:rsidRPr="006377E7">
        <w:t xml:space="preserve"> will pay </w:t>
      </w:r>
      <w:r w:rsidR="009903AE">
        <w:t xml:space="preserve">DIP </w:t>
      </w:r>
      <w:r w:rsidR="003B407D">
        <w:t>Charges</w:t>
      </w:r>
      <w:r w:rsidR="003B407D" w:rsidRPr="006377E7">
        <w:t xml:space="preserve"> </w:t>
      </w:r>
      <w:r w:rsidRPr="006377E7">
        <w:t>by direct debit.</w:t>
      </w:r>
    </w:p>
    <w:p w14:paraId="7BA0A726" w14:textId="129AB5EB" w:rsidR="009903AE" w:rsidRDefault="009903AE" w:rsidP="009B1CB2">
      <w:pPr>
        <w:pStyle w:val="Heading2"/>
      </w:pPr>
      <w:bookmarkStart w:id="155" w:name="_Toc169521606"/>
      <w:r>
        <w:t>Disputes</w:t>
      </w:r>
      <w:bookmarkEnd w:id="155"/>
    </w:p>
    <w:p w14:paraId="25933BCF" w14:textId="1DF960AF" w:rsidR="009903AE" w:rsidRPr="009903AE" w:rsidRDefault="79AB62AF" w:rsidP="00C04307">
      <w:pPr>
        <w:pStyle w:val="Paragraph"/>
      </w:pPr>
      <w:r>
        <w:t xml:space="preserve">If a DIP Payee disputes any amount shown in an invoice or statement as payable by it in respect of any DIP </w:t>
      </w:r>
      <w:r w:rsidR="2A1DA72C">
        <w:t>Charges</w:t>
      </w:r>
      <w:r>
        <w:t>, that DIP Payee shall nevertheless pay the amount shown in full and may not withhold payment of such amount or any part thereof, but without prejudice to that DIP Payee’s right subsequently to dispute such invoice or statement subject to and in accordance with applicable provisions of the DIP Rules.</w:t>
      </w:r>
    </w:p>
    <w:p w14:paraId="1C6A3910" w14:textId="3DDE005E" w:rsidR="009903AE" w:rsidRPr="009903AE" w:rsidRDefault="79AB62AF" w:rsidP="00C04307">
      <w:pPr>
        <w:pStyle w:val="Paragraph"/>
      </w:pPr>
      <w:r>
        <w:t xml:space="preserve">Where a DIP Payee notifies the DIP Manager of any dispute or query as to the amount shown in any invoice or statement as payable by that DIP Payee in respect of DIP </w:t>
      </w:r>
      <w:r w:rsidR="31AB0186">
        <w:t>Charges</w:t>
      </w:r>
      <w:r>
        <w:t xml:space="preserve">, the DIP </w:t>
      </w:r>
      <w:r>
        <w:lastRenderedPageBreak/>
        <w:t>Manager shall as soon as is reasonably practicable (but not necessarily before the due date for payment) investigate the matter and inform the </w:t>
      </w:r>
      <w:r w:rsidR="246E327F">
        <w:t>DIP Payee </w:t>
      </w:r>
      <w:r>
        <w:t>of the outcome of its investigation</w:t>
      </w:r>
      <w:r w:rsidR="00D92EBD">
        <w:t xml:space="preserve"> as soon as is reasonably practical</w:t>
      </w:r>
      <w:r w:rsidR="003A5AC5">
        <w:t xml:space="preserve"> and, so far as is practicable, within the timescales agreed with the DIP Payee raising the dispute</w:t>
      </w:r>
      <w:r>
        <w:t>.</w:t>
      </w:r>
    </w:p>
    <w:p w14:paraId="321BCB84" w14:textId="5E5909E9" w:rsidR="009903AE" w:rsidRPr="009903AE" w:rsidRDefault="00637DBB" w:rsidP="00C04307">
      <w:pPr>
        <w:pStyle w:val="Paragraph"/>
      </w:pPr>
      <w:r>
        <w:t>Where (pursuant to </w:t>
      </w:r>
      <w:r w:rsidR="00204E7E">
        <w:t xml:space="preserve">the previous paragraph or otherwise) </w:t>
      </w:r>
      <w:r>
        <w:t>the DIP Manager</w:t>
      </w:r>
      <w:r w:rsidR="00204E7E">
        <w:t xml:space="preserve"> </w:t>
      </w:r>
      <w:r w:rsidR="009903AE" w:rsidRPr="009903AE">
        <w:t>establishes that, or it is determined that, any error has been made in the determinatio</w:t>
      </w:r>
      <w:r w:rsidR="00DF6752">
        <w:t xml:space="preserve">n of the amounts payable by any </w:t>
      </w:r>
      <w:r>
        <w:t>DIP Payee</w:t>
      </w:r>
      <w:r w:rsidRPr="009903AE">
        <w:t xml:space="preserve"> </w:t>
      </w:r>
      <w:r w:rsidR="00DF6752">
        <w:t xml:space="preserve">in respect of </w:t>
      </w:r>
      <w:r>
        <w:t xml:space="preserve">DIP </w:t>
      </w:r>
      <w:r w:rsidR="00740254">
        <w:t xml:space="preserve">Charges </w:t>
      </w:r>
      <w:r w:rsidR="009903AE" w:rsidRPr="009903AE">
        <w:t>(whether such error resulted in over-payments or in under-payment</w:t>
      </w:r>
      <w:r w:rsidR="00DF6752">
        <w:t xml:space="preserve">), </w:t>
      </w:r>
      <w:r>
        <w:t>the DIP Manager</w:t>
      </w:r>
      <w:r w:rsidR="00DF6752">
        <w:t xml:space="preserve"> will make such adjustments</w:t>
      </w:r>
      <w:r w:rsidR="009903AE" w:rsidRPr="009903AE">
        <w:t xml:space="preserve"> in respect of the </w:t>
      </w:r>
      <w:r>
        <w:t xml:space="preserve">DIP </w:t>
      </w:r>
      <w:r w:rsidR="00740254">
        <w:t>Charges</w:t>
      </w:r>
      <w:r w:rsidR="00740254" w:rsidRPr="009903AE">
        <w:t xml:space="preserve"> </w:t>
      </w:r>
      <w:r w:rsidR="009903AE" w:rsidRPr="009903AE">
        <w:t xml:space="preserve">next </w:t>
      </w:r>
      <w:r w:rsidR="00DF6752">
        <w:t xml:space="preserve">due to be paid </w:t>
      </w:r>
      <w:r w:rsidR="00DF6752" w:rsidRPr="009903AE">
        <w:t>in accordance with the </w:t>
      </w:r>
      <w:r w:rsidR="00DF6752">
        <w:t>DIP Rules.</w:t>
      </w:r>
      <w:r w:rsidR="00DF6752" w:rsidRPr="009903AE">
        <w:t xml:space="preserve"> </w:t>
      </w:r>
      <w:r w:rsidR="00DF6752">
        <w:t xml:space="preserve">The DIP Manager will adjust the amount to be paid </w:t>
      </w:r>
      <w:r w:rsidR="009903AE" w:rsidRPr="009903AE">
        <w:t>by or to such </w:t>
      </w:r>
      <w:r>
        <w:t>DIP Payee</w:t>
      </w:r>
      <w:r w:rsidR="009903AE" w:rsidRPr="009903AE">
        <w:t xml:space="preserve"> or </w:t>
      </w:r>
      <w:r>
        <w:t>DIP Payees</w:t>
      </w:r>
      <w:r w:rsidR="009903AE" w:rsidRPr="009903AE">
        <w:t xml:space="preserve"> as will ensure that the correct amounts have been paid.</w:t>
      </w:r>
      <w:r w:rsidR="00DF6752">
        <w:t xml:space="preserve"> </w:t>
      </w:r>
    </w:p>
    <w:p w14:paraId="6F5B6356" w14:textId="1CEBB864" w:rsidR="009903AE" w:rsidRPr="009903AE" w:rsidRDefault="009903AE" w:rsidP="00C04307">
      <w:pPr>
        <w:pStyle w:val="Paragraph"/>
      </w:pPr>
      <w:r w:rsidRPr="009903AE">
        <w:t xml:space="preserve">No amount in respect of interest shall be included in any adjustment </w:t>
      </w:r>
      <w:r w:rsidR="00DF6752">
        <w:t xml:space="preserve">as established or determined under this paragraph, </w:t>
      </w:r>
      <w:r w:rsidRPr="009903AE">
        <w:t>unless otherwise ordered in any award of an arbitrator.</w:t>
      </w:r>
    </w:p>
    <w:p w14:paraId="1FFED906" w14:textId="0110BEDA" w:rsidR="009903AE" w:rsidRPr="009903AE" w:rsidRDefault="009903AE" w:rsidP="00C04307">
      <w:pPr>
        <w:pStyle w:val="Paragraph"/>
      </w:pPr>
      <w:r w:rsidRPr="009903AE">
        <w:t>Nothing in this D</w:t>
      </w:r>
      <w:r w:rsidR="00637DBB">
        <w:t>SD</w:t>
      </w:r>
      <w:r w:rsidRPr="009903AE">
        <w:t xml:space="preserve"> shall be construed as preventing </w:t>
      </w:r>
      <w:r w:rsidR="00637DBB">
        <w:t>the DIP Manager</w:t>
      </w:r>
      <w:r w:rsidRPr="009903AE">
        <w:t> from withdrawing and replacing (with the same due date for payment) any invoice or other statement, before the due date for payment, by agreement with the </w:t>
      </w:r>
      <w:r w:rsidR="00637DBB">
        <w:t>DIP Payee</w:t>
      </w:r>
      <w:r w:rsidRPr="009903AE">
        <w:t> concerned, where </w:t>
      </w:r>
      <w:r w:rsidR="00637DBB">
        <w:t>the DIP Manager</w:t>
      </w:r>
      <w:r w:rsidRPr="009903AE">
        <w:t> is aware of an error in such invoice or statement</w:t>
      </w:r>
      <w:r w:rsidR="00637DBB">
        <w:t>.</w:t>
      </w:r>
    </w:p>
    <w:p w14:paraId="2D648654" w14:textId="2F4846CD" w:rsidR="00024FA3" w:rsidRPr="00E5142B" w:rsidRDefault="00024FA3" w:rsidP="009B1CB2">
      <w:pPr>
        <w:pStyle w:val="Heading2"/>
      </w:pPr>
      <w:bookmarkStart w:id="156" w:name="_Toc169521607"/>
      <w:r>
        <w:t>Late Payments and Bad Debt</w:t>
      </w:r>
      <w:bookmarkEnd w:id="156"/>
    </w:p>
    <w:p w14:paraId="39B399FD" w14:textId="5BA1EA1A" w:rsidR="009C186E" w:rsidRPr="002539D5" w:rsidRDefault="009C186E" w:rsidP="00C04307">
      <w:pPr>
        <w:pStyle w:val="Paragraph"/>
      </w:pPr>
      <w:r>
        <w:t>If any DIP Payee fails</w:t>
      </w:r>
      <w:r w:rsidR="00DB69FF">
        <w:t xml:space="preserve"> to pay in full, within 5 </w:t>
      </w:r>
      <w:r w:rsidR="009D6B92">
        <w:t>WD</w:t>
      </w:r>
      <w:r>
        <w:t xml:space="preserve"> </w:t>
      </w:r>
      <w:r w:rsidR="00DB69FF">
        <w:t>of</w:t>
      </w:r>
      <w:r>
        <w:t xml:space="preserve"> the invoice due date, any amount payable by it in respect of </w:t>
      </w:r>
      <w:r w:rsidR="00DB69FF">
        <w:t xml:space="preserve">DIP </w:t>
      </w:r>
      <w:r w:rsidR="00740254">
        <w:t>Charges</w:t>
      </w:r>
      <w:r w:rsidR="00A223FA">
        <w:t>, t</w:t>
      </w:r>
      <w:r w:rsidR="00DB69FF">
        <w:t>he DIP Manager</w:t>
      </w:r>
      <w:r>
        <w:t xml:space="preserve"> shall promptly notify all </w:t>
      </w:r>
      <w:r w:rsidR="00DB69FF">
        <w:t xml:space="preserve">DIP Payees </w:t>
      </w:r>
      <w:r w:rsidR="002D5B82">
        <w:t>of the amount outstanding</w:t>
      </w:r>
      <w:r w:rsidR="00A67D30">
        <w:t>.</w:t>
      </w:r>
    </w:p>
    <w:p w14:paraId="42546528" w14:textId="142E1FF0" w:rsidR="009C186E" w:rsidRPr="009C186E" w:rsidRDefault="009C186E" w:rsidP="00C04307">
      <w:pPr>
        <w:pStyle w:val="Paragraph"/>
      </w:pPr>
      <w:r w:rsidRPr="009C186E">
        <w:t xml:space="preserve">Where an amount is unpaid as described in </w:t>
      </w:r>
      <w:r w:rsidRPr="009B1CB2">
        <w:t xml:space="preserve">paragraph </w:t>
      </w:r>
      <w:r w:rsidR="005D3540" w:rsidRPr="009B1CB2">
        <w:t>4</w:t>
      </w:r>
      <w:r w:rsidRPr="009B1CB2">
        <w:t>.</w:t>
      </w:r>
      <w:r w:rsidR="00EC67DD" w:rsidRPr="009B1CB2">
        <w:t>5</w:t>
      </w:r>
      <w:r w:rsidR="00ED782B" w:rsidRPr="009B1CB2">
        <w:t>.1</w:t>
      </w:r>
      <w:r w:rsidRPr="009C186E">
        <w:t xml:space="preserve">, unless the </w:t>
      </w:r>
      <w:r w:rsidR="008604BA">
        <w:t xml:space="preserve">DIP Manager </w:t>
      </w:r>
      <w:r w:rsidRPr="009C186E">
        <w:t xml:space="preserve">determines that it would not be worthwhile to do so, </w:t>
      </w:r>
      <w:r w:rsidR="008604BA">
        <w:t xml:space="preserve">the DIP Manager </w:t>
      </w:r>
      <w:r w:rsidRPr="009C186E">
        <w:t>shall</w:t>
      </w:r>
      <w:r w:rsidR="008604BA">
        <w:t xml:space="preserve"> </w:t>
      </w:r>
      <w:r w:rsidRPr="009C186E">
        <w:t>take all reasonable steps and proceedings</w:t>
      </w:r>
      <w:r w:rsidR="008604BA">
        <w:t xml:space="preserve"> </w:t>
      </w:r>
      <w:r w:rsidRPr="009C186E">
        <w:t xml:space="preserve">to pursue and recover from the non-paying </w:t>
      </w:r>
      <w:r w:rsidR="008604BA">
        <w:t>DIP Payee</w:t>
      </w:r>
      <w:r w:rsidRPr="009C186E">
        <w:t xml:space="preserve"> the unpaid amount.</w:t>
      </w:r>
    </w:p>
    <w:p w14:paraId="6EDC132B" w14:textId="7BE34996" w:rsidR="00A92536" w:rsidRDefault="009C186E" w:rsidP="00C04307">
      <w:pPr>
        <w:pStyle w:val="Paragraph"/>
      </w:pPr>
      <w:r w:rsidRPr="00133142">
        <w:t xml:space="preserve">If </w:t>
      </w:r>
      <w:r w:rsidR="008604BA" w:rsidRPr="00133142">
        <w:t>the DIP Manager</w:t>
      </w:r>
      <w:r w:rsidRPr="00133142">
        <w:t xml:space="preserve"> subsequently recovers any amount from the non-paying </w:t>
      </w:r>
      <w:r w:rsidR="008604BA" w:rsidRPr="00133142">
        <w:t>DIP Payee</w:t>
      </w:r>
      <w:r w:rsidRPr="00133142">
        <w:t xml:space="preserve"> in respect of the unpaid </w:t>
      </w:r>
      <w:r w:rsidR="008604BA" w:rsidRPr="00133142">
        <w:t xml:space="preserve">DIP </w:t>
      </w:r>
      <w:r w:rsidR="00740254">
        <w:t>Charges</w:t>
      </w:r>
      <w:r w:rsidR="00133142" w:rsidRPr="00133142">
        <w:t xml:space="preserve">, </w:t>
      </w:r>
      <w:r w:rsidRPr="00133142">
        <w:t xml:space="preserve">the amount recovered will be taken into account in determining the amounts payable in subsequent months by </w:t>
      </w:r>
      <w:r w:rsidR="00C73E41">
        <w:t xml:space="preserve">all </w:t>
      </w:r>
      <w:r w:rsidR="00133142" w:rsidRPr="00133142">
        <w:t>DIP Payees</w:t>
      </w:r>
      <w:r w:rsidRPr="00133142">
        <w:t xml:space="preserve"> in respect of </w:t>
      </w:r>
      <w:r w:rsidR="00133142" w:rsidRPr="00133142">
        <w:t xml:space="preserve">DIP </w:t>
      </w:r>
      <w:r w:rsidR="00740254">
        <w:t>Charges</w:t>
      </w:r>
      <w:r w:rsidR="00133142">
        <w:t xml:space="preserve">. </w:t>
      </w:r>
    </w:p>
    <w:p w14:paraId="056FE9B6" w14:textId="4D55D0AE" w:rsidR="00133142" w:rsidRPr="00133142" w:rsidRDefault="00133142" w:rsidP="00C04307">
      <w:pPr>
        <w:pStyle w:val="Paragraph"/>
      </w:pPr>
      <w:r>
        <w:t>W</w:t>
      </w:r>
      <w:r w:rsidR="009C186E" w:rsidRPr="00133142">
        <w:t xml:space="preserve">here such amount is recovered after </w:t>
      </w:r>
      <w:r w:rsidR="005D7FB5">
        <w:t>the DIP Manager’s</w:t>
      </w:r>
      <w:r w:rsidR="009C186E" w:rsidRPr="00133142">
        <w:t xml:space="preserve"> final determination, such amount will be taken into account in the </w:t>
      </w:r>
      <w:r w:rsidRPr="00133142">
        <w:t>DIP</w:t>
      </w:r>
      <w:r w:rsidR="009C186E" w:rsidRPr="00133142">
        <w:t xml:space="preserve"> Year in which it is recovered</w:t>
      </w:r>
      <w:r>
        <w:t>.</w:t>
      </w:r>
    </w:p>
    <w:p w14:paraId="16B81417" w14:textId="077BACA9" w:rsidR="009C186E" w:rsidRPr="009C186E" w:rsidRDefault="009C186E" w:rsidP="00C04307">
      <w:pPr>
        <w:pStyle w:val="Paragraph"/>
      </w:pPr>
      <w:r w:rsidRPr="009C186E">
        <w:t xml:space="preserve">While any amount is outstanding from the non-paying </w:t>
      </w:r>
      <w:r w:rsidR="00BD0FE5">
        <w:t>DIP Payee</w:t>
      </w:r>
      <w:r w:rsidRPr="009C186E">
        <w:t xml:space="preserve"> in respect of </w:t>
      </w:r>
      <w:r w:rsidR="00BD0FE5">
        <w:t xml:space="preserve">DIP </w:t>
      </w:r>
      <w:r w:rsidR="00740254">
        <w:t>Charges</w:t>
      </w:r>
      <w:r w:rsidRPr="009C186E">
        <w:t xml:space="preserve">, </w:t>
      </w:r>
      <w:r w:rsidR="00BD0FE5">
        <w:t>the DIP Manager</w:t>
      </w:r>
      <w:r w:rsidRPr="009C186E">
        <w:t xml:space="preserve"> will be entitled to withhold any payments which may be due to that </w:t>
      </w:r>
      <w:r w:rsidR="00BD0FE5">
        <w:t>DIP Payee</w:t>
      </w:r>
      <w:r w:rsidRPr="009C186E">
        <w:t>.</w:t>
      </w:r>
    </w:p>
    <w:p w14:paraId="2EE7821C" w14:textId="26C2A287" w:rsidR="009C186E" w:rsidRPr="009C186E" w:rsidRDefault="009C186E" w:rsidP="00C04307">
      <w:pPr>
        <w:pStyle w:val="Paragraph"/>
      </w:pPr>
      <w:r w:rsidRPr="009C186E">
        <w:t xml:space="preserve">A </w:t>
      </w:r>
      <w:r w:rsidR="009315DB">
        <w:t>DIP Payee</w:t>
      </w:r>
      <w:r w:rsidRPr="009C186E">
        <w:t xml:space="preserve"> shall give notice to the </w:t>
      </w:r>
      <w:r w:rsidR="009315DB">
        <w:t>DIP Manager</w:t>
      </w:r>
      <w:r w:rsidRPr="009C186E">
        <w:t xml:space="preserve"> before instituting any action or proceeding to enforce payments due to it</w:t>
      </w:r>
      <w:r w:rsidR="00AD28C4">
        <w:t xml:space="preserve"> under paragraph 4.5.3</w:t>
      </w:r>
      <w:r w:rsidR="001E7970">
        <w:t>.</w:t>
      </w:r>
    </w:p>
    <w:p w14:paraId="02773827" w14:textId="56AFDFDA" w:rsidR="009C186E" w:rsidRPr="009C186E" w:rsidRDefault="009C186E" w:rsidP="00C04307">
      <w:pPr>
        <w:pStyle w:val="Paragraph"/>
      </w:pPr>
      <w:r w:rsidRPr="009C186E">
        <w:lastRenderedPageBreak/>
        <w:t xml:space="preserve">If an unpaid amount has been increased by an amount in respect of VAT because it would constitute the consideration for a taxable supply or deemed taxable supply (as such terms are used in the Value Added Tax Act 1994), then any reference to an unpaid amount in </w:t>
      </w:r>
      <w:r w:rsidRPr="009B1CB2">
        <w:t xml:space="preserve">paragraph </w:t>
      </w:r>
      <w:r w:rsidR="009315DB" w:rsidRPr="009B1CB2">
        <w:t>4</w:t>
      </w:r>
      <w:r w:rsidRPr="009B1CB2">
        <w:t>.</w:t>
      </w:r>
      <w:r w:rsidR="00595E02" w:rsidRPr="009B1CB2">
        <w:t>5</w:t>
      </w:r>
      <w:r w:rsidRPr="009B1CB2">
        <w:t>.1</w:t>
      </w:r>
      <w:r w:rsidRPr="009C186E">
        <w:t xml:space="preserve"> shall not include that increased part to the extent that the relevant taxable supply or deemed taxable supply (as such terms are used in the Value Added Tax Act 1994) does not take place. This </w:t>
      </w:r>
      <w:r w:rsidR="007137AE">
        <w:t>paragraph</w:t>
      </w:r>
      <w:r w:rsidRPr="009C186E">
        <w:t xml:space="preserve"> is without prejudice to the fact that any payment pursuant to </w:t>
      </w:r>
      <w:r w:rsidRPr="009B1CB2">
        <w:t xml:space="preserve">paragraph </w:t>
      </w:r>
      <w:r w:rsidR="00546C7A" w:rsidRPr="009B1CB2">
        <w:t>4.</w:t>
      </w:r>
      <w:r w:rsidR="007137AE">
        <w:t>5</w:t>
      </w:r>
      <w:r w:rsidR="00546C7A" w:rsidRPr="009B1CB2">
        <w:t>.1</w:t>
      </w:r>
      <w:r w:rsidRPr="009C186E">
        <w:t xml:space="preserve"> is exclusive of VAT and applicable VAT (if any) should be payable in addition.</w:t>
      </w:r>
    </w:p>
    <w:p w14:paraId="5B3BFA90" w14:textId="27F49A1E" w:rsidR="00093FD2" w:rsidRDefault="00093FD2" w:rsidP="009B1CB2">
      <w:pPr>
        <w:pStyle w:val="Heading2"/>
      </w:pPr>
      <w:bookmarkStart w:id="157" w:name="_Toc169521608"/>
      <w:r>
        <w:t xml:space="preserve">Late Payment </w:t>
      </w:r>
      <w:r w:rsidR="00824F11">
        <w:t>Default F</w:t>
      </w:r>
      <w:r w:rsidR="00ED782B">
        <w:t xml:space="preserve">unding </w:t>
      </w:r>
      <w:r w:rsidR="00824F11">
        <w:t>S</w:t>
      </w:r>
      <w:r w:rsidR="00ED782B">
        <w:t>hare</w:t>
      </w:r>
      <w:bookmarkEnd w:id="157"/>
    </w:p>
    <w:p w14:paraId="302D4E10" w14:textId="2FA73F2B" w:rsidR="00901C76" w:rsidRDefault="009D6B92" w:rsidP="00C04307">
      <w:pPr>
        <w:pStyle w:val="Paragraph"/>
      </w:pPr>
      <w:r>
        <w:t xml:space="preserve">A default funding share </w:t>
      </w:r>
      <w:r w:rsidR="00ED782B">
        <w:t xml:space="preserve">shall be determined by the DIP Manager where the DIP Manager has determined that the amount owed by a non-paying DIP Payee </w:t>
      </w:r>
      <w:r w:rsidR="008E2524">
        <w:t xml:space="preserve">(total bad debt - TBD) </w:t>
      </w:r>
      <w:r w:rsidR="00ED782B">
        <w:t>shall be considered a bad debt and therefore be borne by the other DIP Payees.</w:t>
      </w:r>
    </w:p>
    <w:p w14:paraId="37BC124A" w14:textId="1CAA5456" w:rsidR="00ED782B" w:rsidRDefault="00DC2D34" w:rsidP="00C04307">
      <w:pPr>
        <w:pStyle w:val="Paragraph"/>
      </w:pPr>
      <w:r>
        <w:t>T</w:t>
      </w:r>
      <w:r w:rsidR="00BD60EC">
        <w:t>he DIP Manager shall</w:t>
      </w:r>
      <w:r>
        <w:t>, for each relevant month,</w:t>
      </w:r>
      <w:r w:rsidR="00BD60EC">
        <w:t xml:space="preserve"> </w:t>
      </w:r>
      <w:r w:rsidR="00ED782B">
        <w:t xml:space="preserve">determine the </w:t>
      </w:r>
      <w:r w:rsidR="009D6B92">
        <w:t xml:space="preserve">extra </w:t>
      </w:r>
      <w:r w:rsidR="00BD60EC">
        <w:t xml:space="preserve">DIP </w:t>
      </w:r>
      <w:r>
        <w:t xml:space="preserve">Charges </w:t>
      </w:r>
      <w:r w:rsidR="00BD60EC">
        <w:t xml:space="preserve">per DIP Payee (EDCs) </w:t>
      </w:r>
      <w:r w:rsidR="00ED782B">
        <w:t xml:space="preserve">amount owed by </w:t>
      </w:r>
      <w:r w:rsidR="00BD60EC">
        <w:t>the remaining DIP Payees</w:t>
      </w:r>
      <w:r>
        <w:t xml:space="preserve"> in accordance with this paragraph.</w:t>
      </w:r>
    </w:p>
    <w:p w14:paraId="45166CDC" w14:textId="77777777" w:rsidR="00ED782B" w:rsidRDefault="00ED782B" w:rsidP="00C04307">
      <w:pPr>
        <w:pStyle w:val="Paragraph"/>
      </w:pPr>
      <w:r>
        <w:t>The DIP Manager shall:</w:t>
      </w:r>
    </w:p>
    <w:p w14:paraId="0D0F799E" w14:textId="583A1195" w:rsidR="00683D83" w:rsidRDefault="00683D83" w:rsidP="00683D83">
      <w:pPr>
        <w:pStyle w:val="Bullets-letters"/>
        <w:numPr>
          <w:ilvl w:val="0"/>
          <w:numId w:val="4"/>
        </w:numPr>
        <w:ind w:left="709" w:hanging="425"/>
      </w:pPr>
      <w:r>
        <w:t>d</w:t>
      </w:r>
      <w:r w:rsidR="00ED782B" w:rsidRPr="008E7EEA">
        <w:t>etermine the remaining DIP Payees outstanding SFS (OSFS)</w:t>
      </w:r>
      <w:r w:rsidR="00ED782B">
        <w:t xml:space="preserve"> by</w:t>
      </w:r>
      <w:r w:rsidR="00ED782B" w:rsidRPr="008E7EEA">
        <w:t xml:space="preserve"> determin</w:t>
      </w:r>
      <w:r w:rsidR="00ED782B">
        <w:t>ing</w:t>
      </w:r>
      <w:r w:rsidR="00ED782B" w:rsidRPr="008E7EEA">
        <w:t xml:space="preserve"> the total number of MPANs registered in the DIP MAMS per </w:t>
      </w:r>
      <w:r w:rsidR="00ED782B">
        <w:t xml:space="preserve">remaining </w:t>
      </w:r>
      <w:r w:rsidR="00ED782B" w:rsidRPr="008E7EEA">
        <w:t>Supplier (MPS) that is a DIP Payee</w:t>
      </w:r>
      <w:r w:rsidR="00ED782B">
        <w:t xml:space="preserve"> eligible for payment pursuant to </w:t>
      </w:r>
      <w:r w:rsidR="00BD60EC" w:rsidRPr="00683D83">
        <w:t>paragraph 4.</w:t>
      </w:r>
      <w:r w:rsidR="00D86B24">
        <w:t>6</w:t>
      </w:r>
      <w:r>
        <w:t>;</w:t>
      </w:r>
    </w:p>
    <w:p w14:paraId="2939F75B" w14:textId="537881C5" w:rsidR="00ED782B" w:rsidRPr="008E7EEA" w:rsidRDefault="00683D83" w:rsidP="00683D83">
      <w:pPr>
        <w:pStyle w:val="Bullets-letters"/>
        <w:numPr>
          <w:ilvl w:val="0"/>
          <w:numId w:val="4"/>
        </w:numPr>
        <w:ind w:left="709" w:hanging="425"/>
      </w:pPr>
      <w:r>
        <w:t>f</w:t>
      </w:r>
      <w:r w:rsidR="00ED782B" w:rsidRPr="008E7EEA">
        <w:t xml:space="preserve">or each Supplier, divide the total number of MPANs for that </w:t>
      </w:r>
      <w:r w:rsidR="00D86B24">
        <w:t>DIP Payee</w:t>
      </w:r>
      <w:r w:rsidR="00D86B24" w:rsidRPr="008E7EEA">
        <w:t xml:space="preserve"> </w:t>
      </w:r>
      <w:r w:rsidR="00ED782B" w:rsidRPr="008E7EEA">
        <w:t>(MPS) by the total number of MPANs (TM)</w:t>
      </w:r>
      <w:r w:rsidR="00ED782B">
        <w:t>, less the MPANs of the non-paying DIP Payee (NDPM)</w:t>
      </w:r>
      <w:r w:rsidR="00ED782B" w:rsidRPr="008E7EEA">
        <w:t xml:space="preserve"> and times the answer by 100 to give a percentage</w:t>
      </w:r>
      <w:r w:rsidR="00ED782B">
        <w:t>:</w:t>
      </w:r>
    </w:p>
    <w:p w14:paraId="2FD333B4" w14:textId="77777777" w:rsidR="00ED782B" w:rsidRDefault="00B53D6A" w:rsidP="00ED782B">
      <w:pPr>
        <w:pStyle w:val="Bullets-letters"/>
        <w:ind w:left="709"/>
      </w:pPr>
      <m:oMathPara>
        <m:oMath>
          <m:f>
            <m:fPr>
              <m:ctrlPr>
                <w:rPr>
                  <w:rFonts w:ascii="Cambria Math" w:hAnsi="Cambria Math"/>
                  <w:i/>
                </w:rPr>
              </m:ctrlPr>
            </m:fPr>
            <m:num>
              <m:r>
                <w:rPr>
                  <w:rFonts w:ascii="Cambria Math" w:hAnsi="Cambria Math"/>
                </w:rPr>
                <m:t>MPS ×100</m:t>
              </m:r>
            </m:num>
            <m:den>
              <m:r>
                <w:rPr>
                  <w:rFonts w:ascii="Cambria Math" w:hAnsi="Cambria Math"/>
                </w:rPr>
                <m:t>(TM-NDPM)</m:t>
              </m:r>
            </m:den>
          </m:f>
          <m:r>
            <w:rPr>
              <w:rFonts w:ascii="Cambria Math" w:hAnsi="Cambria Math"/>
            </w:rPr>
            <m:t>=OSFS</m:t>
          </m:r>
        </m:oMath>
      </m:oMathPara>
    </w:p>
    <w:p w14:paraId="54734B78" w14:textId="7ED511D6" w:rsidR="00ED782B" w:rsidRDefault="00683D83" w:rsidP="00683D83">
      <w:pPr>
        <w:pStyle w:val="Bullets-letters"/>
        <w:numPr>
          <w:ilvl w:val="0"/>
          <w:numId w:val="4"/>
        </w:numPr>
        <w:ind w:left="709" w:hanging="425"/>
      </w:pPr>
      <w:r>
        <w:t>m</w:t>
      </w:r>
      <w:r w:rsidR="00ED782B">
        <w:t>ultiply total bad deb</w:t>
      </w:r>
      <w:r>
        <w:t>t (TBD) by OSFS to give the EDC:</w:t>
      </w:r>
    </w:p>
    <w:p w14:paraId="66231495" w14:textId="392E5B72" w:rsidR="00ED782B" w:rsidRDefault="003D5FB0" w:rsidP="00ED782B">
      <w:pPr>
        <w:pStyle w:val="Bullets-letters"/>
        <w:ind w:left="709"/>
      </w:pPr>
      <m:oMathPara>
        <m:oMath>
          <m:r>
            <w:rPr>
              <w:rFonts w:ascii="Cambria Math" w:hAnsi="Cambria Math"/>
            </w:rPr>
            <m:t>TBD ×</m:t>
          </m:r>
          <m:d>
            <m:dPr>
              <m:ctrlPr>
                <w:rPr>
                  <w:rFonts w:ascii="Cambria Math" w:hAnsi="Cambria Math"/>
                  <w:i/>
                </w:rPr>
              </m:ctrlPr>
            </m:dPr>
            <m:e>
              <m:f>
                <m:fPr>
                  <m:ctrlPr>
                    <w:rPr>
                      <w:rFonts w:ascii="Cambria Math" w:hAnsi="Cambria Math"/>
                      <w:i/>
                    </w:rPr>
                  </m:ctrlPr>
                </m:fPr>
                <m:num>
                  <m:r>
                    <w:rPr>
                      <w:rFonts w:ascii="Cambria Math" w:hAnsi="Cambria Math"/>
                    </w:rPr>
                    <m:t>OSFS</m:t>
                  </m:r>
                </m:num>
                <m:den>
                  <m:r>
                    <w:rPr>
                      <w:rFonts w:ascii="Cambria Math" w:hAnsi="Cambria Math"/>
                    </w:rPr>
                    <m:t>100</m:t>
                  </m:r>
                </m:den>
              </m:f>
            </m:e>
          </m:d>
          <m:r>
            <w:rPr>
              <w:rFonts w:ascii="Cambria Math" w:hAnsi="Cambria Math"/>
            </w:rPr>
            <m:t>=EDC</m:t>
          </m:r>
        </m:oMath>
      </m:oMathPara>
    </w:p>
    <w:p w14:paraId="6AD977BC" w14:textId="502FAC0A" w:rsidR="00ED782B" w:rsidRDefault="00683D83" w:rsidP="00683D83">
      <w:pPr>
        <w:pStyle w:val="Bullets-letters"/>
        <w:numPr>
          <w:ilvl w:val="0"/>
          <w:numId w:val="4"/>
        </w:numPr>
        <w:ind w:left="709" w:hanging="425"/>
      </w:pPr>
      <w:r>
        <w:t>t</w:t>
      </w:r>
      <w:r w:rsidR="00ED782B" w:rsidRPr="00BB6659">
        <w:t xml:space="preserve">he </w:t>
      </w:r>
      <w:r w:rsidR="00ED782B">
        <w:t>EDC</w:t>
      </w:r>
      <w:r w:rsidR="00ED782B" w:rsidRPr="00BB6659">
        <w:t xml:space="preserve"> per Supplier per month can be determined using the following combined equation</w:t>
      </w:r>
      <w:r w:rsidR="00ED782B">
        <w:t>:</w:t>
      </w:r>
    </w:p>
    <w:p w14:paraId="33D35ECF" w14:textId="77777777" w:rsidR="00ED782B" w:rsidRDefault="00B53D6A" w:rsidP="00ED782B">
      <w:pPr>
        <w:pStyle w:val="Bullets-letters"/>
        <w:ind w:left="709"/>
      </w:pPr>
      <m:oMathPara>
        <m:oMath>
          <m:f>
            <m:fPr>
              <m:ctrlPr>
                <w:rPr>
                  <w:rFonts w:ascii="Cambria Math" w:hAnsi="Cambria Math"/>
                  <w:i/>
                </w:rPr>
              </m:ctrlPr>
            </m:fPr>
            <m:num>
              <m:r>
                <w:rPr>
                  <w:rFonts w:ascii="Cambria Math" w:hAnsi="Cambria Math"/>
                </w:rPr>
                <m:t>TBD ×MPS</m:t>
              </m:r>
            </m:num>
            <m:den>
              <m:r>
                <w:rPr>
                  <w:rFonts w:ascii="Cambria Math" w:hAnsi="Cambria Math"/>
                </w:rPr>
                <m:t>(TM-NDPM)</m:t>
              </m:r>
            </m:den>
          </m:f>
          <m:r>
            <w:rPr>
              <w:rFonts w:ascii="Cambria Math" w:hAnsi="Cambria Math"/>
            </w:rPr>
            <m:t xml:space="preserve"> =EDC</m:t>
          </m:r>
        </m:oMath>
      </m:oMathPara>
    </w:p>
    <w:p w14:paraId="4EE8FA3F" w14:textId="4C8EC4EF" w:rsidR="00ED782B" w:rsidRPr="00F12DC7" w:rsidRDefault="00ED782B" w:rsidP="00C04307">
      <w:pPr>
        <w:pStyle w:val="Paragraph"/>
      </w:pPr>
      <w:r w:rsidRPr="00F12DC7">
        <w:t xml:space="preserve">For example, if a Supplier has 5.6m MPANs (MPS) registered, and there are 28m MPANs in total (TM), then that Supplier’s Funding Share (SPS) is 20% and A DIP Payee with 560,000 MPANs does not pay their invoice of £6,000 </w:t>
      </w:r>
      <w:r w:rsidR="001550C6">
        <w:t>then</w:t>
      </w:r>
      <w:r w:rsidRPr="00F12DC7">
        <w:t>:</w:t>
      </w:r>
    </w:p>
    <w:p w14:paraId="5AD534ED" w14:textId="25F6EDBA" w:rsidR="00ED782B" w:rsidRPr="00EB1284" w:rsidRDefault="00B53D6A" w:rsidP="00683D83">
      <w:pPr>
        <w:pStyle w:val="Paragraph"/>
        <w:numPr>
          <w:ilvl w:val="0"/>
          <w:numId w:val="0"/>
        </w:numPr>
        <w:ind w:left="709"/>
      </w:pPr>
      <m:oMathPara>
        <m:oMath>
          <m:f>
            <m:fPr>
              <m:ctrlPr>
                <w:rPr>
                  <w:rFonts w:ascii="Cambria Math" w:hAnsi="Cambria Math" w:cs="Times New Roman"/>
                  <w:szCs w:val="20"/>
                  <w:shd w:val="clear" w:color="auto" w:fill="FDFCFC"/>
                </w:rPr>
              </m:ctrlPr>
            </m:fPr>
            <m:num>
              <m:r>
                <m:rPr>
                  <m:sty m:val="p"/>
                </m:rPr>
                <w:rPr>
                  <w:rFonts w:ascii="Cambria Math" w:hAnsi="Cambria Math"/>
                </w:rPr>
                <m:t>£6,000 ×5.6</m:t>
              </m:r>
              <m:r>
                <w:rPr>
                  <w:rFonts w:ascii="Cambria Math" w:hAnsi="Cambria Math"/>
                </w:rPr>
                <m:t>m</m:t>
              </m:r>
            </m:num>
            <m:den>
              <m:r>
                <m:rPr>
                  <m:sty m:val="p"/>
                </m:rPr>
                <w:rPr>
                  <w:rFonts w:ascii="Cambria Math" w:hAnsi="Cambria Math"/>
                </w:rPr>
                <m:t>(28</m:t>
              </m:r>
              <m:r>
                <w:rPr>
                  <w:rFonts w:ascii="Cambria Math" w:hAnsi="Cambria Math"/>
                </w:rPr>
                <m:t>m</m:t>
              </m:r>
              <m:r>
                <m:rPr>
                  <m:sty m:val="p"/>
                </m:rPr>
                <w:rPr>
                  <w:rFonts w:ascii="Cambria Math" w:hAnsi="Cambria Math"/>
                </w:rPr>
                <m:t>-560,000)</m:t>
              </m:r>
            </m:den>
          </m:f>
          <m:r>
            <m:rPr>
              <m:sty m:val="p"/>
            </m:rPr>
            <w:rPr>
              <w:rFonts w:ascii="Cambria Math" w:hAnsi="Cambria Math"/>
            </w:rPr>
            <m:t xml:space="preserve"> =£1,224.49</m:t>
          </m:r>
        </m:oMath>
      </m:oMathPara>
    </w:p>
    <w:p w14:paraId="0D0ABF4E" w14:textId="04904B55" w:rsidR="00DC2D34" w:rsidRPr="00A738C3" w:rsidRDefault="00DC2D34" w:rsidP="00683D83">
      <w:pPr>
        <w:pStyle w:val="Paragraph"/>
      </w:pPr>
      <w:r>
        <w:lastRenderedPageBreak/>
        <w:t>Amounts paid by DIP Payees pursuant to a default funding share are without prejudice to the liability of the defaulting DIP Payee.</w:t>
      </w:r>
    </w:p>
    <w:p w14:paraId="43BF97D3" w14:textId="63F08010" w:rsidR="0091202C" w:rsidRDefault="0091202C" w:rsidP="009B1CB2">
      <w:pPr>
        <w:pStyle w:val="Heading2"/>
      </w:pPr>
      <w:bookmarkStart w:id="158" w:name="_Toc169521609"/>
      <w:r>
        <w:t>Repayment of recovered bad debt</w:t>
      </w:r>
      <w:bookmarkEnd w:id="158"/>
    </w:p>
    <w:p w14:paraId="6A4620CE" w14:textId="1512DE6E" w:rsidR="008418AB" w:rsidRDefault="008418AB" w:rsidP="00C04307">
      <w:pPr>
        <w:pStyle w:val="Paragraph"/>
      </w:pPr>
      <w:r>
        <w:t xml:space="preserve">Where the non-paying DIP Payee pays the full amount outstanding, then the EDC per DIP Payee shall be returned to them in full i.e. </w:t>
      </w:r>
      <w:r w:rsidR="006F6A74">
        <w:t>(</w:t>
      </w:r>
      <w:r>
        <w:t>using the example above</w:t>
      </w:r>
      <w:r w:rsidR="006F6A74">
        <w:t>)</w:t>
      </w:r>
      <w:r>
        <w:t xml:space="preserve"> if the full £6,000 is recovered, then £1,224.49 shall be returned to the DIP Payee.</w:t>
      </w:r>
    </w:p>
    <w:p w14:paraId="474BA45A" w14:textId="75C58CB5" w:rsidR="008418AB" w:rsidRDefault="008418AB" w:rsidP="00C04307">
      <w:pPr>
        <w:pStyle w:val="Paragraph"/>
      </w:pPr>
      <w:r>
        <w:t xml:space="preserve">Where </w:t>
      </w:r>
      <w:r w:rsidR="00381908" w:rsidRPr="00381908">
        <w:t xml:space="preserve">the non-paying DIP Payee pays </w:t>
      </w:r>
      <w:r w:rsidR="00381908">
        <w:t xml:space="preserve">less than </w:t>
      </w:r>
      <w:r w:rsidR="00381908" w:rsidRPr="00381908">
        <w:t xml:space="preserve">the full amount outstanding </w:t>
      </w:r>
      <w:r>
        <w:t>the full amount</w:t>
      </w:r>
      <w:r w:rsidR="00381908">
        <w:t>,</w:t>
      </w:r>
      <w:r>
        <w:t xml:space="preserve"> t</w:t>
      </w:r>
      <w:r w:rsidR="00ED782B">
        <w:t xml:space="preserve">he same process and formulas shall be used to determine </w:t>
      </w:r>
      <w:r w:rsidR="00381908">
        <w:t xml:space="preserve">what proportion of the recovered amount </w:t>
      </w:r>
      <w:r w:rsidR="00ED782B">
        <w:t xml:space="preserve">shall be </w:t>
      </w:r>
      <w:r w:rsidR="00381908">
        <w:t xml:space="preserve">paid </w:t>
      </w:r>
      <w:r w:rsidR="00ED782B">
        <w:t>to each DIP Payee.</w:t>
      </w:r>
      <w:r>
        <w:t xml:space="preserve"> </w:t>
      </w:r>
    </w:p>
    <w:p w14:paraId="405C5378" w14:textId="0B473F14" w:rsidR="00ED782B" w:rsidRDefault="008418AB" w:rsidP="00C04307">
      <w:pPr>
        <w:pStyle w:val="Paragraph"/>
      </w:pPr>
      <w:r>
        <w:t>For example, if only £4,500 is recovered of the £6,000 outstanding then the amount returned to the Supplier in the example shall be:</w:t>
      </w:r>
    </w:p>
    <w:p w14:paraId="28B14FD0" w14:textId="5761FADC" w:rsidR="008418AB" w:rsidRPr="00A738C3" w:rsidRDefault="00B53D6A" w:rsidP="00683D83">
      <w:pPr>
        <w:pStyle w:val="Paragraph"/>
        <w:numPr>
          <w:ilvl w:val="0"/>
          <w:numId w:val="0"/>
        </w:numPr>
        <w:ind w:left="709"/>
      </w:pPr>
      <m:oMathPara>
        <m:oMath>
          <m:f>
            <m:fPr>
              <m:ctrlPr>
                <w:rPr>
                  <w:rFonts w:ascii="Cambria Math" w:hAnsi="Cambria Math" w:cs="Times New Roman"/>
                  <w:szCs w:val="20"/>
                  <w:shd w:val="clear" w:color="auto" w:fill="FDFCFC"/>
                </w:rPr>
              </m:ctrlPr>
            </m:fPr>
            <m:num>
              <m:r>
                <m:rPr>
                  <m:sty m:val="p"/>
                </m:rPr>
                <w:rPr>
                  <w:rFonts w:ascii="Cambria Math" w:hAnsi="Cambria Math"/>
                </w:rPr>
                <m:t>£4,500 ×5.6</m:t>
              </m:r>
              <m:r>
                <w:rPr>
                  <w:rFonts w:ascii="Cambria Math" w:hAnsi="Cambria Math"/>
                </w:rPr>
                <m:t>m</m:t>
              </m:r>
            </m:num>
            <m:den>
              <m:r>
                <m:rPr>
                  <m:sty m:val="p"/>
                </m:rPr>
                <w:rPr>
                  <w:rFonts w:ascii="Cambria Math" w:hAnsi="Cambria Math"/>
                </w:rPr>
                <m:t>(28</m:t>
              </m:r>
              <m:r>
                <w:rPr>
                  <w:rFonts w:ascii="Cambria Math" w:hAnsi="Cambria Math"/>
                </w:rPr>
                <m:t>m</m:t>
              </m:r>
              <m:r>
                <m:rPr>
                  <m:sty m:val="p"/>
                </m:rPr>
                <w:rPr>
                  <w:rFonts w:ascii="Cambria Math" w:hAnsi="Cambria Math"/>
                </w:rPr>
                <m:t>-560,000)</m:t>
              </m:r>
            </m:den>
          </m:f>
          <m:r>
            <m:rPr>
              <m:sty m:val="p"/>
            </m:rPr>
            <w:rPr>
              <w:rFonts w:ascii="Cambria Math" w:hAnsi="Cambria Math"/>
            </w:rPr>
            <m:t xml:space="preserve"> =£918.37</m:t>
          </m:r>
        </m:oMath>
      </m:oMathPara>
    </w:p>
    <w:p w14:paraId="30FB0799" w14:textId="1B9B5F9F" w:rsidR="00ED782B" w:rsidRDefault="00ED782B" w:rsidP="00C04307">
      <w:pPr>
        <w:pStyle w:val="Paragraph"/>
      </w:pPr>
      <w:r>
        <w:t>In respect of calculations undert</w:t>
      </w:r>
      <w:r w:rsidR="007137AE">
        <w:t>aken pursuant to this paragraph</w:t>
      </w:r>
      <w:r>
        <w:t>, the number of MPANs per Supplier and total MPANs shall be based on the MAMS data held by the DIP Manager at the ti</w:t>
      </w:r>
      <w:r w:rsidR="000E1050">
        <w:t xml:space="preserve">me of the non-payment occurring, and the same values of MPS, TM and NDPM </w:t>
      </w:r>
      <w:r w:rsidR="006F6A74">
        <w:t xml:space="preserve">for that month </w:t>
      </w:r>
      <w:r w:rsidR="000E1050">
        <w:t>shall be used to determine the amount to repay.</w:t>
      </w:r>
    </w:p>
    <w:p w14:paraId="3D0D557F" w14:textId="1DF166AF" w:rsidR="00ED782B" w:rsidRDefault="3AB1ECEC" w:rsidP="00C04307">
      <w:pPr>
        <w:pStyle w:val="Paragraph"/>
      </w:pPr>
      <w:r>
        <w:t xml:space="preserve">Where a DIP Payee </w:t>
      </w:r>
      <w:r w:rsidR="29E9F39B">
        <w:t xml:space="preserve">undertakes DIP Off-boarding </w:t>
      </w:r>
      <w:r w:rsidR="3165CD54">
        <w:t>in</w:t>
      </w:r>
      <w:r w:rsidR="29E9F39B">
        <w:t>-</w:t>
      </w:r>
      <w:r w:rsidR="3165CD54">
        <w:t>between paying EDC and the bad debt being recovered</w:t>
      </w:r>
      <w:r w:rsidR="39AA0FB2">
        <w:t xml:space="preserve"> (in full or in part)</w:t>
      </w:r>
      <w:r w:rsidR="3165CD54">
        <w:t xml:space="preserve">, the DIP Manager should </w:t>
      </w:r>
      <w:r w:rsidR="39AA0FB2">
        <w:t xml:space="preserve">make all reasonable attempts to return the amount owed to them. However, where it is not possible to return the amount (e.g. the company no longer exists), then that amount shall be shared amongst </w:t>
      </w:r>
      <w:r w:rsidR="203B32BA">
        <w:t xml:space="preserve">the </w:t>
      </w:r>
      <w:r w:rsidR="39AA0FB2">
        <w:t xml:space="preserve">DIP Payees that were DIP Payees at the time of the non-payment occurring. The DIP Manager shall determine the amount to be </w:t>
      </w:r>
      <w:r w:rsidR="203B32BA">
        <w:t xml:space="preserve">paid to such </w:t>
      </w:r>
      <w:r w:rsidR="39AA0FB2">
        <w:t xml:space="preserve">DIP Payee </w:t>
      </w:r>
      <w:r w:rsidR="203B32BA">
        <w:t>on the basis of their</w:t>
      </w:r>
      <w:r w:rsidR="39AA0FB2">
        <w:t xml:space="preserve"> SFS</w:t>
      </w:r>
      <w:r w:rsidR="203B32BA">
        <w:t>.</w:t>
      </w:r>
    </w:p>
    <w:p w14:paraId="60A59D44" w14:textId="52C1CA74" w:rsidR="00BA188F" w:rsidRDefault="00093FD2" w:rsidP="009B1CB2">
      <w:pPr>
        <w:pStyle w:val="Heading2"/>
      </w:pPr>
      <w:bookmarkStart w:id="159" w:name="_Toc169521610"/>
      <w:r w:rsidRPr="007D4D60">
        <w:t>L</w:t>
      </w:r>
      <w:r w:rsidR="00BA188F" w:rsidRPr="007D4D60">
        <w:t>ate</w:t>
      </w:r>
      <w:r w:rsidR="00BA188F">
        <w:t xml:space="preserve"> payment</w:t>
      </w:r>
      <w:r>
        <w:t xml:space="preserve"> interest</w:t>
      </w:r>
      <w:bookmarkEnd w:id="159"/>
    </w:p>
    <w:p w14:paraId="29A15506" w14:textId="51CCB96A" w:rsidR="00BA188F" w:rsidRPr="00BB2ED1" w:rsidRDefault="00BA188F" w:rsidP="00C04307">
      <w:pPr>
        <w:pStyle w:val="Paragraph"/>
      </w:pPr>
      <w:r w:rsidRPr="00625E99">
        <w:t>If any amount payable by a </w:t>
      </w:r>
      <w:r>
        <w:t>DIP Payee</w:t>
      </w:r>
      <w:r w:rsidRPr="00625E99">
        <w:t> in respect of </w:t>
      </w:r>
      <w:r>
        <w:t>DIP Costs</w:t>
      </w:r>
      <w:r w:rsidRPr="00625E99">
        <w:t xml:space="preserve"> is not paid on or before the due date, the </w:t>
      </w:r>
      <w:r w:rsidR="00DB0E4D">
        <w:t>non-</w:t>
      </w:r>
      <w:r w:rsidRPr="00625E99">
        <w:t>paying </w:t>
      </w:r>
      <w:r>
        <w:t>DIP Payee</w:t>
      </w:r>
      <w:r w:rsidRPr="00625E99">
        <w:t> </w:t>
      </w:r>
      <w:r w:rsidR="005D52F1">
        <w:t>will</w:t>
      </w:r>
      <w:r w:rsidR="00AD5570">
        <w:t xml:space="preserve"> be liable to</w:t>
      </w:r>
      <w:r w:rsidRPr="00625E99">
        <w:t xml:space="preserve"> pay interest</w:t>
      </w:r>
      <w:r w:rsidR="00DB0E4D">
        <w:t xml:space="preserve"> </w:t>
      </w:r>
      <w:r w:rsidRPr="00625E99">
        <w:t>on the unpaid amount from the due date until the day on which payment is made.</w:t>
      </w:r>
    </w:p>
    <w:p w14:paraId="5A04442D" w14:textId="2FB883C5" w:rsidR="00BA188F" w:rsidRDefault="00AD5570" w:rsidP="00C04307">
      <w:pPr>
        <w:pStyle w:val="Paragraph"/>
      </w:pPr>
      <w:r>
        <w:t>Any i</w:t>
      </w:r>
      <w:r w:rsidR="00DB0E4D">
        <w:t xml:space="preserve">nterest on a late payment shall be paid at the </w:t>
      </w:r>
      <w:r w:rsidR="00A37B5C">
        <w:t>default interest rate</w:t>
      </w:r>
      <w:r w:rsidR="00DB0E4D">
        <w:t>, which</w:t>
      </w:r>
      <w:r w:rsidR="00683D83">
        <w:t xml:space="preserve"> is the Base Rate plus two per</w:t>
      </w:r>
      <w:r w:rsidR="00BA188F">
        <w:t>cent per annum</w:t>
      </w:r>
      <w:r w:rsidR="00595E02">
        <w:t>.</w:t>
      </w:r>
    </w:p>
    <w:p w14:paraId="37110E00" w14:textId="0AA89DB5" w:rsidR="00901C76" w:rsidRDefault="00901C76" w:rsidP="00C04307">
      <w:pPr>
        <w:pStyle w:val="Paragraph"/>
      </w:pPr>
      <w:r>
        <w:t>The DIP Manager may</w:t>
      </w:r>
      <w:r w:rsidR="00653241">
        <w:t xml:space="preserve"> </w:t>
      </w:r>
      <w:r>
        <w:t>waive any amounts payable in respect of late payment interest.</w:t>
      </w:r>
    </w:p>
    <w:p w14:paraId="24680811" w14:textId="382E9203" w:rsidR="00717CB0" w:rsidRDefault="00717CB0" w:rsidP="009B1CB2">
      <w:pPr>
        <w:pStyle w:val="Heading2"/>
      </w:pPr>
      <w:bookmarkStart w:id="160" w:name="_Toc169521611"/>
      <w:r>
        <w:t>Emergency Funding</w:t>
      </w:r>
      <w:bookmarkEnd w:id="160"/>
    </w:p>
    <w:p w14:paraId="1951F43C" w14:textId="4E9EFEC0" w:rsidR="00717CB0" w:rsidRPr="002D407D" w:rsidRDefault="00717CB0" w:rsidP="00C04307">
      <w:pPr>
        <w:pStyle w:val="Paragraph"/>
      </w:pPr>
      <w:r w:rsidRPr="002D407D">
        <w:t xml:space="preserve">If at any time the DIP Manager </w:t>
      </w:r>
      <w:r w:rsidR="00DB0E4D">
        <w:t xml:space="preserve">expects that it </w:t>
      </w:r>
      <w:r w:rsidRPr="002D407D">
        <w:t xml:space="preserve">will be unable to pay any DIP Costs due for payment before the DIP Manager will receive </w:t>
      </w:r>
      <w:r w:rsidR="002D407D" w:rsidRPr="002D407D">
        <w:t xml:space="preserve">funds </w:t>
      </w:r>
      <w:r w:rsidR="00867354">
        <w:t>(</w:t>
      </w:r>
      <w:r w:rsidRPr="002D407D">
        <w:t xml:space="preserve">from DIP Payees pursuant to invoices issued under </w:t>
      </w:r>
      <w:r w:rsidRPr="00683D83">
        <w:t xml:space="preserve">paragraph </w:t>
      </w:r>
      <w:r w:rsidR="00A37B5C" w:rsidRPr="00683D83">
        <w:t>4.3</w:t>
      </w:r>
      <w:r w:rsidR="00867354" w:rsidRPr="00683D83">
        <w:t>)</w:t>
      </w:r>
      <w:r w:rsidRPr="002D407D">
        <w:t xml:space="preserve"> sufficient to enable it to pay such DIP Costs</w:t>
      </w:r>
      <w:r w:rsidR="002D407D" w:rsidRPr="002D407D">
        <w:t>, t</w:t>
      </w:r>
      <w:r w:rsidRPr="002D407D">
        <w:t>he DIP Manager may give notice by way of cash call to DIP Payees:</w:t>
      </w:r>
    </w:p>
    <w:p w14:paraId="7813593E" w14:textId="18095AFA" w:rsidR="00717CB0" w:rsidRPr="002D407D" w:rsidRDefault="00717CB0" w:rsidP="00625E99">
      <w:pPr>
        <w:pStyle w:val="Bullets-letters"/>
        <w:numPr>
          <w:ilvl w:val="0"/>
          <w:numId w:val="94"/>
        </w:numPr>
        <w:ind w:left="709" w:hanging="425"/>
      </w:pPr>
      <w:r w:rsidRPr="002D407D">
        <w:lastRenderedPageBreak/>
        <w:t xml:space="preserve">requiring them to pay their </w:t>
      </w:r>
      <w:r w:rsidR="00B14E22">
        <w:t xml:space="preserve">share (based on </w:t>
      </w:r>
      <w:r w:rsidR="00010A8A">
        <w:t>SFS</w:t>
      </w:r>
      <w:r w:rsidR="00B14E22">
        <w:t>)</w:t>
      </w:r>
      <w:r w:rsidRPr="002D407D">
        <w:t xml:space="preserve"> for the month in which such notice is given</w:t>
      </w:r>
      <w:r w:rsidR="00B14E22">
        <w:t xml:space="preserve"> for</w:t>
      </w:r>
      <w:r w:rsidRPr="002D407D">
        <w:t xml:space="preserve"> such amount as </w:t>
      </w:r>
      <w:r w:rsidR="00010A8A">
        <w:t>the DIP Manager</w:t>
      </w:r>
      <w:r w:rsidRPr="002D407D">
        <w:t xml:space="preserve"> requires so as to be sufficiently funded; and</w:t>
      </w:r>
    </w:p>
    <w:p w14:paraId="19538940" w14:textId="1492D6AD" w:rsidR="00717CB0" w:rsidRPr="002D407D" w:rsidRDefault="00717CB0" w:rsidP="00625E99">
      <w:pPr>
        <w:pStyle w:val="Bullets-letters"/>
        <w:numPr>
          <w:ilvl w:val="0"/>
          <w:numId w:val="94"/>
        </w:numPr>
        <w:ind w:left="709" w:hanging="425"/>
      </w:pPr>
      <w:r w:rsidRPr="002D407D">
        <w:t xml:space="preserve">specifying the date for payment of such cash call, which shall not be less than </w:t>
      </w:r>
      <w:r w:rsidR="00010A8A">
        <w:t xml:space="preserve">3 WD </w:t>
      </w:r>
      <w:r w:rsidR="00683D83">
        <w:t>after the date of such notice.</w:t>
      </w:r>
    </w:p>
    <w:p w14:paraId="34C51B1E" w14:textId="0CF055E2" w:rsidR="00717CB0" w:rsidRPr="00717CB0" w:rsidRDefault="00010A8A" w:rsidP="00C04307">
      <w:pPr>
        <w:pStyle w:val="Paragraph"/>
      </w:pPr>
      <w:r>
        <w:t>E</w:t>
      </w:r>
      <w:r w:rsidR="00717CB0" w:rsidRPr="00717CB0">
        <w:t xml:space="preserve">ach </w:t>
      </w:r>
      <w:r>
        <w:t>DIP Payee</w:t>
      </w:r>
      <w:r w:rsidR="00717CB0" w:rsidRPr="00717CB0">
        <w:t xml:space="preserve"> shall pay the amount so notified as payable by it, not later than</w:t>
      </w:r>
      <w:r w:rsidR="00683D83">
        <w:t xml:space="preserve"> the date specified for payment.</w:t>
      </w:r>
    </w:p>
    <w:p w14:paraId="08AE1097" w14:textId="6AC19678" w:rsidR="00717CB0" w:rsidRPr="00717CB0" w:rsidRDefault="00640F20" w:rsidP="00C04307">
      <w:pPr>
        <w:pStyle w:val="Paragraph"/>
      </w:pPr>
      <w:r>
        <w:t>A</w:t>
      </w:r>
      <w:r w:rsidR="00717CB0" w:rsidRPr="00717CB0">
        <w:t xml:space="preserve">mounts so payable by </w:t>
      </w:r>
      <w:r w:rsidR="00010A8A">
        <w:t>DIP Payees</w:t>
      </w:r>
      <w:r w:rsidR="00717CB0" w:rsidRPr="00717CB0">
        <w:t xml:space="preserve"> will be </w:t>
      </w:r>
      <w:r w:rsidR="00010A8A">
        <w:t xml:space="preserve">DIP </w:t>
      </w:r>
      <w:r w:rsidR="00867354">
        <w:t>Charges</w:t>
      </w:r>
      <w:r w:rsidR="00717CB0" w:rsidRPr="00717CB0">
        <w:t xml:space="preserve">, treated as accruing due when so notified, and will be taken into account in determining the amounts subsequently payable as </w:t>
      </w:r>
      <w:r w:rsidR="00010A8A">
        <w:t xml:space="preserve">DIP </w:t>
      </w:r>
      <w:r w:rsidR="004F4180">
        <w:t>Charges</w:t>
      </w:r>
      <w:r w:rsidR="004F4180" w:rsidRPr="00717CB0">
        <w:t xml:space="preserve"> </w:t>
      </w:r>
      <w:r w:rsidR="00717CB0" w:rsidRPr="00717CB0">
        <w:t xml:space="preserve">in the relevant </w:t>
      </w:r>
      <w:r w:rsidR="00010A8A">
        <w:t>DIP</w:t>
      </w:r>
      <w:r w:rsidR="00717CB0" w:rsidRPr="00717CB0">
        <w:t xml:space="preserve"> Year by being taken into account in the invoicing of such charges pursuant to </w:t>
      </w:r>
      <w:r w:rsidR="00717CB0" w:rsidRPr="00683D83">
        <w:t>paragraph</w:t>
      </w:r>
      <w:r w:rsidR="00683D83">
        <w:t xml:space="preserve"> </w:t>
      </w:r>
      <w:r w:rsidR="000250F8" w:rsidRPr="00683D83">
        <w:t>3.7</w:t>
      </w:r>
      <w:r w:rsidR="004F4180">
        <w:t>.</w:t>
      </w:r>
    </w:p>
    <w:p w14:paraId="5684996B" w14:textId="27933878" w:rsidR="00272963" w:rsidRPr="00272963" w:rsidRDefault="00640F20" w:rsidP="00C04307">
      <w:pPr>
        <w:pStyle w:val="Paragraph"/>
      </w:pPr>
      <w:r w:rsidRPr="00B30575">
        <w:t>T</w:t>
      </w:r>
      <w:r w:rsidR="00010A8A" w:rsidRPr="00B30575">
        <w:t>he DIP Manager</w:t>
      </w:r>
      <w:r w:rsidR="00717CB0" w:rsidRPr="00B30575">
        <w:t xml:space="preserve"> shall promptly after making such cash call provide to all </w:t>
      </w:r>
      <w:r w:rsidR="00010A8A" w:rsidRPr="00B30575">
        <w:t>DIP Payees</w:t>
      </w:r>
      <w:r w:rsidR="00717CB0" w:rsidRPr="00B30575">
        <w:t xml:space="preserve"> an </w:t>
      </w:r>
      <w:r w:rsidR="00717CB0" w:rsidRPr="00683D83">
        <w:t xml:space="preserve">explanation of the circumstances which required it to be made, and (without prejudice to </w:t>
      </w:r>
      <w:r w:rsidR="00CC42F8" w:rsidRPr="00683D83">
        <w:t>paragraph 2.5</w:t>
      </w:r>
      <w:r w:rsidR="00717CB0" w:rsidRPr="00683D83">
        <w:t>)</w:t>
      </w:r>
      <w:r w:rsidR="00717CB0" w:rsidRPr="00B30575">
        <w:t xml:space="preserve"> a statement of whether the </w:t>
      </w:r>
      <w:r w:rsidR="00010A8A" w:rsidRPr="00B30575">
        <w:t>DIP</w:t>
      </w:r>
      <w:r w:rsidR="00717CB0" w:rsidRPr="00B30575">
        <w:t xml:space="preserve"> Costs in question represent expenditure in excess of the amount in the </w:t>
      </w:r>
      <w:r w:rsidRPr="00B30575">
        <w:t xml:space="preserve">DIP </w:t>
      </w:r>
      <w:r w:rsidR="00717CB0" w:rsidRPr="00B30575">
        <w:t>Budget.</w:t>
      </w:r>
      <w:bookmarkStart w:id="161" w:name="_Toc147173904"/>
      <w:bookmarkStart w:id="162" w:name="_Toc147913909"/>
      <w:bookmarkStart w:id="163" w:name="_Toc147913945"/>
      <w:bookmarkStart w:id="164" w:name="_Toc147173905"/>
      <w:bookmarkStart w:id="165" w:name="_Toc147913910"/>
      <w:bookmarkStart w:id="166" w:name="_Toc147913946"/>
      <w:bookmarkStart w:id="167" w:name="_Toc147173906"/>
      <w:bookmarkStart w:id="168" w:name="_Toc147913911"/>
      <w:bookmarkStart w:id="169" w:name="_Toc147913947"/>
      <w:bookmarkEnd w:id="161"/>
      <w:bookmarkEnd w:id="162"/>
      <w:bookmarkEnd w:id="163"/>
      <w:bookmarkEnd w:id="164"/>
      <w:bookmarkEnd w:id="165"/>
      <w:bookmarkEnd w:id="166"/>
      <w:bookmarkEnd w:id="167"/>
      <w:bookmarkEnd w:id="168"/>
      <w:bookmarkEnd w:id="169"/>
    </w:p>
    <w:sectPr w:rsidR="00272963" w:rsidRPr="00272963" w:rsidSect="00F33E53">
      <w:headerReference w:type="default" r:id="rId12"/>
      <w:footerReference w:type="even" r:id="rId13"/>
      <w:footerReference w:type="default" r:id="rId14"/>
      <w:footerReference w:type="first" r:id="rId15"/>
      <w:pgSz w:w="11906" w:h="16838" w:code="9"/>
      <w:pgMar w:top="1134" w:right="1134" w:bottom="1134" w:left="1134"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A332ABF" w16cex:dateUtc="2024-05-30T14:41:00Z"/>
  <w16cex:commentExtensible w16cex:durableId="072A7E8B" w16cex:dateUtc="2024-05-30T14:15:00Z"/>
  <w16cex:commentExtensible w16cex:durableId="7FAEDAF8" w16cex:dateUtc="2024-05-30T14:16:00Z"/>
  <w16cex:commentExtensible w16cex:durableId="21A6514A" w16cex:dateUtc="2024-05-30T16:30:00Z"/>
  <w16cex:commentExtensible w16cex:durableId="20B47978" w16cex:dateUtc="2024-05-30T16:32:00Z"/>
  <w16cex:commentExtensible w16cex:durableId="6A3CBDF6" w16cex:dateUtc="2024-05-30T14:19:00Z"/>
  <w16cex:commentExtensible w16cex:durableId="6591DFF4" w16cex:dateUtc="2024-06-04T14:56:00Z"/>
  <w16cex:commentExtensible w16cex:durableId="6C9F66D8" w16cex:dateUtc="2024-05-30T14:20:00Z"/>
  <w16cex:commentExtensible w16cex:durableId="5CAD272D" w16cex:dateUtc="2024-06-04T14:57:00Z"/>
  <w16cex:commentExtensible w16cex:durableId="409C12FD" w16cex:dateUtc="2024-05-30T16:38:00Z"/>
  <w16cex:commentExtensible w16cex:durableId="12EDD994" w16cex:dateUtc="2024-05-30T15:10:00Z"/>
  <w16cex:commentExtensible w16cex:durableId="07C6F042" w16cex:dateUtc="2024-05-30T16:41:00Z"/>
  <w16cex:commentExtensible w16cex:durableId="35E8E37F" w16cex:dateUtc="2024-06-04T15:03:00Z"/>
  <w16cex:commentExtensible w16cex:durableId="018ABFAE" w16cex:dateUtc="2024-05-30T14:22:00Z"/>
  <w16cex:commentExtensible w16cex:durableId="7F4E8032" w16cex:dateUtc="2024-05-30T14:24:00Z"/>
  <w16cex:commentExtensible w16cex:durableId="695B0545" w16cex:dateUtc="2024-05-30T14:27:00Z"/>
  <w16cex:commentExtensible w16cex:durableId="51CCA342" w16cex:dateUtc="2024-05-30T14:29:00Z"/>
  <w16cex:commentExtensible w16cex:durableId="5BAD893D" w16cex:dateUtc="2024-05-30T15:20:00Z"/>
  <w16cex:commentExtensible w16cex:durableId="6E929FEA" w16cex:dateUtc="2024-06-04T15:09:00Z"/>
  <w16cex:commentExtensible w16cex:durableId="2F644A9D" w16cex:dateUtc="2024-05-30T14:34:00Z"/>
  <w16cex:commentExtensible w16cex:durableId="6C1143D6" w16cex:dateUtc="2024-06-04T15:13:00Z"/>
  <w16cex:commentExtensible w16cex:durableId="4BFF0F9C" w16cex:dateUtc="2024-06-04T15:53:00Z"/>
  <w16cex:commentExtensible w16cex:durableId="773D3B09" w16cex:dateUtc="2024-05-30T15:22:00Z"/>
  <w16cex:commentExtensible w16cex:durableId="690AA089" w16cex:dateUtc="2024-05-30T16:53:00Z"/>
  <w16cex:commentExtensible w16cex:durableId="6C9497C2" w16cex:dateUtc="2024-05-30T15:29:00Z"/>
  <w16cex:commentExtensible w16cex:durableId="54E1E709" w16cex:dateUtc="2024-06-04T15:24:00Z"/>
  <w16cex:commentExtensible w16cex:durableId="3EA7145D" w16cex:dateUtc="2024-05-30T15:42:00Z"/>
  <w16cex:commentExtensible w16cex:durableId="2960F9FB" w16cex:dateUtc="2024-06-04T15:29:00Z"/>
  <w16cex:commentExtensible w16cex:durableId="5ECF88CC" w16cex:dateUtc="2024-05-30T15:46:00Z"/>
  <w16cex:commentExtensible w16cex:durableId="1AC07603" w16cex:dateUtc="2024-06-04T15:33:00Z"/>
  <w16cex:commentExtensible w16cex:durableId="1726D1FC" w16cex:dateUtc="2024-05-30T15:49:00Z"/>
  <w16cex:commentExtensible w16cex:durableId="328A0E4A" w16cex:dateUtc="2024-05-30T1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CF3D65B" w16cid:durableId="1A332ABF"/>
  <w16cid:commentId w16cid:paraId="7CCD0A85" w16cid:durableId="072A7E8B"/>
  <w16cid:commentId w16cid:paraId="3F7BAE5C" w16cid:durableId="7FAEDAF8"/>
  <w16cid:commentId w16cid:paraId="4DCCD7AA" w16cid:durableId="21A6514A"/>
  <w16cid:commentId w16cid:paraId="33115472" w16cid:durableId="20B47978"/>
  <w16cid:commentId w16cid:paraId="66ECD297" w16cid:durableId="6A3CBDF6"/>
  <w16cid:commentId w16cid:paraId="1D628AB6" w16cid:durableId="6591DFF4"/>
  <w16cid:commentId w16cid:paraId="7F34070B" w16cid:durableId="6C9F66D8"/>
  <w16cid:commentId w16cid:paraId="0241AA5A" w16cid:durableId="5CAD272D"/>
  <w16cid:commentId w16cid:paraId="52628D14" w16cid:durableId="409C12FD"/>
  <w16cid:commentId w16cid:paraId="1667FC20" w16cid:durableId="12EDD994"/>
  <w16cid:commentId w16cid:paraId="02E74366" w16cid:durableId="07C6F042"/>
  <w16cid:commentId w16cid:paraId="053B6294" w16cid:durableId="35E8E37F"/>
  <w16cid:commentId w16cid:paraId="7074FB40" w16cid:durableId="018ABFAE"/>
  <w16cid:commentId w16cid:paraId="7767C1FA" w16cid:durableId="7F4E8032"/>
  <w16cid:commentId w16cid:paraId="091A8B57" w16cid:durableId="695B0545"/>
  <w16cid:commentId w16cid:paraId="171E5E86" w16cid:durableId="51CCA342"/>
  <w16cid:commentId w16cid:paraId="3A5CD783" w16cid:durableId="5BAD893D"/>
  <w16cid:commentId w16cid:paraId="00C75732" w16cid:durableId="6E929FEA"/>
  <w16cid:commentId w16cid:paraId="78F22987" w16cid:durableId="2F644A9D"/>
  <w16cid:commentId w16cid:paraId="2BAD1308" w16cid:durableId="6C1143D6"/>
  <w16cid:commentId w16cid:paraId="68CCA988" w16cid:durableId="4BFF0F9C"/>
  <w16cid:commentId w16cid:paraId="25608DF6" w16cid:durableId="773D3B09"/>
  <w16cid:commentId w16cid:paraId="1EE9B021" w16cid:durableId="690AA089"/>
  <w16cid:commentId w16cid:paraId="67CE9A11" w16cid:durableId="6C9497C2"/>
  <w16cid:commentId w16cid:paraId="1E3ABBA5" w16cid:durableId="54E1E709"/>
  <w16cid:commentId w16cid:paraId="338E691B" w16cid:durableId="3EA7145D"/>
  <w16cid:commentId w16cid:paraId="17F9C763" w16cid:durableId="2960F9FB"/>
  <w16cid:commentId w16cid:paraId="28B506A8" w16cid:durableId="5ECF88CC"/>
  <w16cid:commentId w16cid:paraId="75A8D0E5" w16cid:durableId="1AC07603"/>
  <w16cid:commentId w16cid:paraId="7C024C81" w16cid:durableId="1726D1FC"/>
  <w16cid:commentId w16cid:paraId="2F26F451" w16cid:durableId="328A0E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E9BA2" w14:textId="77777777" w:rsidR="00A67768" w:rsidRDefault="00A67768" w:rsidP="004C70AD">
      <w:r>
        <w:separator/>
      </w:r>
    </w:p>
  </w:endnote>
  <w:endnote w:type="continuationSeparator" w:id="0">
    <w:p w14:paraId="3DF434B0" w14:textId="77777777" w:rsidR="00A67768" w:rsidRDefault="00A67768" w:rsidP="004C70AD">
      <w:r>
        <w:continuationSeparator/>
      </w:r>
    </w:p>
  </w:endnote>
  <w:endnote w:type="continuationNotice" w:id="1">
    <w:p w14:paraId="07431E7C" w14:textId="77777777" w:rsidR="00A67768" w:rsidRDefault="00A67768" w:rsidP="004C7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83575" w14:textId="20C53125" w:rsidR="00A67768" w:rsidRDefault="00A67768">
    <w:pPr>
      <w:pStyle w:val="Footer"/>
    </w:pPr>
    <w:r>
      <w:rPr>
        <w:noProof/>
        <w:color w:val="2B579A"/>
        <w:shd w:val="clear" w:color="auto" w:fill="E6E6E6"/>
      </w:rPr>
      <mc:AlternateContent>
        <mc:Choice Requires="wps">
          <w:drawing>
            <wp:anchor distT="0" distB="0" distL="0" distR="0" simplePos="0" relativeHeight="251657728" behindDoc="0" locked="0" layoutInCell="1" allowOverlap="1" wp14:anchorId="47FB095F" wp14:editId="04ABAEC0">
              <wp:simplePos x="635" y="635"/>
              <wp:positionH relativeFrom="page">
                <wp:align>center</wp:align>
              </wp:positionH>
              <wp:positionV relativeFrom="page">
                <wp:align>bottom</wp:align>
              </wp:positionV>
              <wp:extent cx="1133475" cy="33337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45F2684C" w14:textId="7F97FC01" w:rsidR="00A67768" w:rsidRPr="00A272DC" w:rsidRDefault="00A67768" w:rsidP="00A272DC">
                          <w:pPr>
                            <w:spacing w:after="0"/>
                            <w:rPr>
                              <w:rFonts w:ascii="Calibri" w:eastAsia="Calibri" w:hAnsi="Calibri" w:cs="Calibri"/>
                              <w:noProof/>
                              <w:color w:val="000000"/>
                              <w:sz w:val="20"/>
                              <w:szCs w:val="20"/>
                            </w:rPr>
                          </w:pPr>
                          <w:r w:rsidRPr="00A272DC">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7FB095F"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9.25pt;height:26.25pt;z-index:2516577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" filled="f" stroked="f">
              <v:textbox style="mso-fit-shape-to-text:t" inset="0,0,0,15pt">
                <w:txbxContent>
                  <w:p w14:paraId="45F2684C" w14:textId="7F97FC01" w:rsidR="00A67768" w:rsidRPr="00A272DC" w:rsidRDefault="00A67768" w:rsidP="00A272DC">
                    <w:pPr>
                      <w:spacing w:after="0"/>
                      <w:rPr>
                        <w:rFonts w:ascii="Calibri" w:eastAsia="Calibri" w:hAnsi="Calibri" w:cs="Calibri"/>
                        <w:noProof/>
                        <w:color w:val="000000"/>
                        <w:sz w:val="20"/>
                        <w:szCs w:val="20"/>
                      </w:rPr>
                    </w:pPr>
                    <w:r w:rsidRPr="00A272DC">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4E1AB" w14:textId="36EF4FAA" w:rsidR="00A67768" w:rsidRDefault="00A67768" w:rsidP="004C70AD">
    <w:pPr>
      <w:pStyle w:val="Footer"/>
    </w:pPr>
  </w:p>
  <w:p w14:paraId="458233AA" w14:textId="271D4B89" w:rsidR="00A67768" w:rsidRDefault="00A67768" w:rsidP="004C70AD">
    <w:pPr>
      <w:pStyle w:val="Footer"/>
      <w:rPr>
        <w:rStyle w:val="PageNumber"/>
        <w:b/>
        <w:sz w:val="20"/>
        <w:szCs w:val="20"/>
      </w:rPr>
    </w:pPr>
    <w:r>
      <w:t>Data Integration Platform</w:t>
    </w:r>
    <w: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B53D6A">
      <w:rPr>
        <w:rStyle w:val="PageNumber"/>
        <w:b/>
        <w:noProof/>
        <w:sz w:val="20"/>
        <w:szCs w:val="20"/>
      </w:rPr>
      <w:t>21</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B53D6A">
      <w:rPr>
        <w:rStyle w:val="PageNumber"/>
        <w:b/>
        <w:noProof/>
        <w:sz w:val="20"/>
        <w:szCs w:val="20"/>
      </w:rPr>
      <w:t>22</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Pr>
        <w:rStyle w:val="PageNumber"/>
        <w:b/>
        <w:sz w:val="20"/>
        <w:szCs w:val="20"/>
      </w:rPr>
      <w:t>DD Month YYYY</w:t>
    </w:r>
    <w:r>
      <w:rPr>
        <w:rStyle w:val="PageNumber"/>
        <w:b/>
        <w:sz w:val="20"/>
        <w:szCs w:val="20"/>
      </w:rPr>
      <w:fldChar w:fldCharType="end"/>
    </w:r>
  </w:p>
  <w:p w14:paraId="67151ED5" w14:textId="5242A46B" w:rsidR="00A67768" w:rsidRDefault="00A67768" w:rsidP="00BA0754">
    <w:pPr>
      <w:pStyle w:val="Footer"/>
    </w:pPr>
    <w:r>
      <w:rPr>
        <w:rStyle w:val="PageNumber"/>
        <w:b/>
        <w:sz w:val="20"/>
        <w:szCs w:val="20"/>
      </w:rPr>
      <w:t>© Elexon Limited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48F28" w14:textId="32EE300A" w:rsidR="00A67768" w:rsidRDefault="00A67768">
    <w:pPr>
      <w:pStyle w:val="Footer"/>
    </w:pPr>
    <w:r>
      <w:rPr>
        <w:noProof/>
        <w:color w:val="2B579A"/>
        <w:shd w:val="clear" w:color="auto" w:fill="E6E6E6"/>
      </w:rPr>
      <mc:AlternateContent>
        <mc:Choice Requires="wps">
          <w:drawing>
            <wp:anchor distT="0" distB="0" distL="0" distR="0" simplePos="0" relativeHeight="251656704" behindDoc="0" locked="0" layoutInCell="1" allowOverlap="1" wp14:anchorId="76B5BDC8" wp14:editId="55223106">
              <wp:simplePos x="635" y="635"/>
              <wp:positionH relativeFrom="page">
                <wp:align>center</wp:align>
              </wp:positionH>
              <wp:positionV relativeFrom="page">
                <wp:align>bottom</wp:align>
              </wp:positionV>
              <wp:extent cx="1133475" cy="33337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65609312" w14:textId="44F70FB3" w:rsidR="00A67768" w:rsidRPr="00A272DC" w:rsidRDefault="00A67768" w:rsidP="00A272DC">
                          <w:pPr>
                            <w:spacing w:after="0"/>
                            <w:rPr>
                              <w:rFonts w:ascii="Calibri" w:eastAsia="Calibri" w:hAnsi="Calibri" w:cs="Calibri"/>
                              <w:noProof/>
                              <w:color w:val="000000"/>
                              <w:sz w:val="20"/>
                              <w:szCs w:val="20"/>
                            </w:rPr>
                          </w:pPr>
                          <w:r w:rsidRPr="00A272DC">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6B5BDC8" id="_x0000_t202" coordsize="21600,21600" o:spt="202" path="m,l,21600r21600,l21600,xe">
              <v:stroke joinstyle="miter"/>
              <v:path gradientshapeok="t" o:connecttype="rect"/>
            </v:shapetype>
            <v:shape id="Text Box 1" o:spid="_x0000_s1027" type="#_x0000_t202" alt="OFFICIAL-InternalOnly" style="position:absolute;left:0;text-align:left;margin-left:0;margin-top:0;width:89.25pt;height:26.25pt;z-index:2516567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" filled="f" stroked="f">
              <v:textbox style="mso-fit-shape-to-text:t" inset="0,0,0,15pt">
                <w:txbxContent>
                  <w:p w14:paraId="65609312" w14:textId="44F70FB3" w:rsidR="00A67768" w:rsidRPr="00A272DC" w:rsidRDefault="00A67768" w:rsidP="00A272DC">
                    <w:pPr>
                      <w:spacing w:after="0"/>
                      <w:rPr>
                        <w:rFonts w:ascii="Calibri" w:eastAsia="Calibri" w:hAnsi="Calibri" w:cs="Calibri"/>
                        <w:noProof/>
                        <w:color w:val="000000"/>
                        <w:sz w:val="20"/>
                        <w:szCs w:val="20"/>
                      </w:rPr>
                    </w:pPr>
                    <w:r w:rsidRPr="00A272DC">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4B2CB" w14:textId="77777777" w:rsidR="00A67768" w:rsidRPr="00FB2A13" w:rsidRDefault="00A67768" w:rsidP="004C70AD">
      <w:r w:rsidRPr="00FB2A13">
        <w:separator/>
      </w:r>
    </w:p>
  </w:footnote>
  <w:footnote w:type="continuationSeparator" w:id="0">
    <w:p w14:paraId="291A5A32" w14:textId="77777777" w:rsidR="00A67768" w:rsidRDefault="00A67768" w:rsidP="004C70AD">
      <w:r>
        <w:continuationSeparator/>
      </w:r>
    </w:p>
  </w:footnote>
  <w:footnote w:type="continuationNotice" w:id="1">
    <w:p w14:paraId="536D7F05" w14:textId="77777777" w:rsidR="00A67768" w:rsidRDefault="00A67768" w:rsidP="004C7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1448F" w14:textId="7E948E22" w:rsidR="00A67768" w:rsidRDefault="00B53D6A" w:rsidP="00580746">
    <w:pPr>
      <w:pStyle w:val="Header"/>
      <w:tabs>
        <w:tab w:val="clear" w:pos="4153"/>
        <w:tab w:val="clear" w:pos="8306"/>
        <w:tab w:val="center" w:pos="4962"/>
        <w:tab w:val="right" w:pos="9638"/>
      </w:tabs>
      <w:jc w:val="left"/>
    </w:pPr>
    <w:sdt>
      <w:sdtPr>
        <w:id w:val="1898786715"/>
        <w:docPartObj>
          <w:docPartGallery w:val="Watermarks"/>
          <w:docPartUnique/>
        </w:docPartObj>
      </w:sdtPr>
      <w:sdtEndPr/>
      <w:sdtContent>
        <w:r>
          <w:rPr>
            <w:noProof/>
            <w:color w:val="2B579A"/>
            <w:shd w:val="clear" w:color="auto" w:fill="E6E6E6"/>
            <w:lang w:val="en-US" w:eastAsia="en-US"/>
          </w:rPr>
          <w:pict w14:anchorId="13A5CF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67768">
      <w:t>DSD005</w:t>
    </w:r>
    <w:r w:rsidR="00A67768">
      <w:tab/>
      <w:t xml:space="preserve">DIP Funding and Budget </w:t>
    </w:r>
    <w:r w:rsidR="00A67768">
      <w:tab/>
    </w:r>
    <w:r>
      <w:fldChar w:fldCharType="begin"/>
    </w:r>
    <w:r>
      <w:instrText>DOCPROPERTY  "Version number"  \* MERGEFORMAT</w:instrText>
    </w:r>
    <w:r>
      <w:fldChar w:fldCharType="separate"/>
    </w:r>
    <w:r>
      <w:t>Version 0.6</w:t>
    </w:r>
    <w:r>
      <w:fldChar w:fldCharType="end"/>
    </w:r>
  </w:p>
  <w:p w14:paraId="2CD800C1" w14:textId="0D3E2940" w:rsidR="00A67768" w:rsidRPr="00580746" w:rsidRDefault="00A67768" w:rsidP="005807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1F04EE"/>
    <w:multiLevelType w:val="hybridMultilevel"/>
    <w:tmpl w:val="BF40A10E"/>
    <w:lvl w:ilvl="0" w:tplc="279019C4">
      <w:start w:val="1"/>
      <w:numFmt w:val="lowerLetter"/>
      <w:lvlText w:val="%1)"/>
      <w:lvlJc w:val="left"/>
      <w:pPr>
        <w:ind w:left="1571"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2291" w:hanging="360"/>
      </w:pPr>
      <w:rPr>
        <w:rFonts w:ascii="Courier New" w:hAnsi="Courier New" w:cs="Courier New" w:hint="default"/>
      </w:rPr>
    </w:lvl>
    <w:lvl w:ilvl="2" w:tplc="08090005">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 w15:restartNumberingAfterBreak="0">
    <w:nsid w:val="615E2B3E"/>
    <w:multiLevelType w:val="hybridMultilevel"/>
    <w:tmpl w:val="617C7162"/>
    <w:lvl w:ilvl="0" w:tplc="21D2EEC2">
      <w:start w:val="1"/>
      <w:numFmt w:val="lowerLetter"/>
      <w:lvlText w:val="%1)"/>
      <w:lvlJc w:val="left"/>
      <w:pPr>
        <w:ind w:left="1571" w:hanging="360"/>
      </w:pPr>
      <w:rPr>
        <w:rFonts w:hint="default"/>
      </w:rPr>
    </w:lvl>
    <w:lvl w:ilvl="1" w:tplc="0809001B">
      <w:start w:val="1"/>
      <w:numFmt w:val="lowerRoman"/>
      <w:lvlText w:val="%2."/>
      <w:lvlJc w:val="right"/>
      <w:pPr>
        <w:ind w:left="927" w:hanging="360"/>
      </w:pPr>
      <w:rPr>
        <w:rFonts w:hint="default"/>
      </w:rPr>
    </w:lvl>
    <w:lvl w:ilvl="2" w:tplc="08090005">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15:restartNumberingAfterBreak="0">
    <w:nsid w:val="66575F4E"/>
    <w:multiLevelType w:val="hybridMultilevel"/>
    <w:tmpl w:val="0C8817BE"/>
    <w:lvl w:ilvl="0" w:tplc="279019C4">
      <w:start w:val="1"/>
      <w:numFmt w:val="lowerLetter"/>
      <w:lvlText w:val="%1)"/>
      <w:lvlJc w:val="left"/>
      <w:pPr>
        <w:ind w:left="1571"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B">
      <w:start w:val="1"/>
      <w:numFmt w:val="lowerRoman"/>
      <w:lvlText w:val="%2."/>
      <w:lvlJc w:val="right"/>
      <w:pPr>
        <w:ind w:left="2291" w:hanging="360"/>
      </w:pPr>
      <w:rPr>
        <w:rFonts w:hint="default"/>
      </w:rPr>
    </w:lvl>
    <w:lvl w:ilvl="2" w:tplc="08090005">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 w15:restartNumberingAfterBreak="0">
    <w:nsid w:val="6B9B7ADD"/>
    <w:multiLevelType w:val="hybridMultilevel"/>
    <w:tmpl w:val="2DC0A6D2"/>
    <w:lvl w:ilvl="0" w:tplc="29C02E84">
      <w:start w:val="1"/>
      <w:numFmt w:val="lowerLetter"/>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67529EE"/>
    <w:multiLevelType w:val="multilevel"/>
    <w:tmpl w:val="BBA660E8"/>
    <w:lvl w:ilvl="0">
      <w:start w:val="1"/>
      <w:numFmt w:val="decimal"/>
      <w:pStyle w:val="Heading1"/>
      <w:lvlText w:val="%1"/>
      <w:lvlJc w:val="left"/>
      <w:pPr>
        <w:tabs>
          <w:tab w:val="num" w:pos="709"/>
        </w:tabs>
        <w:ind w:left="709" w:hanging="709"/>
      </w:pPr>
    </w:lvl>
    <w:lvl w:ilvl="1">
      <w:start w:val="1"/>
      <w:numFmt w:val="decimal"/>
      <w:pStyle w:val="Heading2"/>
      <w:lvlText w:val="%1.%2"/>
      <w:lvlJc w:val="left"/>
      <w:pPr>
        <w:tabs>
          <w:tab w:val="num" w:pos="709"/>
        </w:tabs>
        <w:ind w:left="709" w:hanging="709"/>
      </w:pPr>
    </w:lvl>
    <w:lvl w:ilvl="2">
      <w:start w:val="1"/>
      <w:numFmt w:val="decimal"/>
      <w:pStyle w:val="Heading3"/>
      <w:lvlText w:val="%1.%2.%3"/>
      <w:lvlJc w:val="left"/>
      <w:pPr>
        <w:tabs>
          <w:tab w:val="num" w:pos="1145"/>
        </w:tabs>
        <w:ind w:left="1145" w:hanging="720"/>
      </w:pPr>
      <w:rPr>
        <w:i w:val="0"/>
        <w:sz w:val="22"/>
        <w:szCs w:val="22"/>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7C4A7306"/>
    <w:multiLevelType w:val="hybridMultilevel"/>
    <w:tmpl w:val="0BDE93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1"/>
  </w:num>
  <w:num w:numId="14">
    <w:abstractNumId w:val="0"/>
  </w:num>
  <w:num w:numId="15">
    <w:abstractNumId w:val="0"/>
  </w:num>
  <w:num w:numId="16">
    <w:abstractNumId w:val="0"/>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num>
  <w:num w:numId="22">
    <w:abstractNumId w:val="4"/>
  </w:num>
  <w:num w:numId="23">
    <w:abstractNumId w:val="4"/>
  </w:num>
  <w:num w:numId="24">
    <w:abstractNumId w:val="4"/>
  </w:num>
  <w:num w:numId="25">
    <w:abstractNumId w:val="4"/>
  </w:num>
  <w:num w:numId="26">
    <w:abstractNumId w:val="0"/>
    <w:lvlOverride w:ilvl="0">
      <w:startOverride w:val="1"/>
    </w:lvlOverride>
  </w:num>
  <w:num w:numId="27">
    <w:abstractNumId w:val="0"/>
    <w:lvlOverride w:ilvl="0">
      <w:startOverride w:val="1"/>
    </w:lvlOverride>
  </w:num>
  <w:num w:numId="28">
    <w:abstractNumId w:val="0"/>
  </w:num>
  <w:num w:numId="29">
    <w:abstractNumId w:val="0"/>
  </w:num>
  <w:num w:numId="30">
    <w:abstractNumId w:val="0"/>
  </w:num>
  <w:num w:numId="31">
    <w:abstractNumId w:val="0"/>
  </w:num>
  <w:num w:numId="32">
    <w:abstractNumId w:val="0"/>
    <w:lvlOverride w:ilvl="0">
      <w:startOverride w:val="1"/>
    </w:lvlOverride>
  </w:num>
  <w:num w:numId="33">
    <w:abstractNumId w:val="0"/>
  </w:num>
  <w:num w:numId="34">
    <w:abstractNumId w:val="0"/>
  </w:num>
  <w:num w:numId="35">
    <w:abstractNumId w:val="4"/>
  </w:num>
  <w:num w:numId="36">
    <w:abstractNumId w:val="0"/>
  </w:num>
  <w:num w:numId="37">
    <w:abstractNumId w:val="0"/>
  </w:num>
  <w:num w:numId="38">
    <w:abstractNumId w:val="0"/>
    <w:lvlOverride w:ilvl="0">
      <w:startOverride w:val="1"/>
    </w:lvlOverride>
  </w:num>
  <w:num w:numId="39">
    <w:abstractNumId w:val="0"/>
  </w:num>
  <w:num w:numId="40">
    <w:abstractNumId w:val="0"/>
  </w:num>
  <w:num w:numId="41">
    <w:abstractNumId w:val="3"/>
    <w:lvlOverride w:ilvl="0">
      <w:startOverride w:val="1"/>
    </w:lvlOverride>
  </w:num>
  <w:num w:numId="42">
    <w:abstractNumId w:val="3"/>
    <w:lvlOverride w:ilvl="0">
      <w:startOverride w:val="1"/>
    </w:lvlOverride>
  </w:num>
  <w:num w:numId="43">
    <w:abstractNumId w:val="3"/>
    <w:lvlOverride w:ilvl="0">
      <w:startOverride w:val="1"/>
    </w:lvlOverride>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num>
  <w:num w:numId="59">
    <w:abstractNumId w:val="0"/>
  </w:num>
  <w:num w:numId="60">
    <w:abstractNumId w:val="0"/>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num>
  <w:num w:numId="65">
    <w:abstractNumId w:val="0"/>
  </w:num>
  <w:num w:numId="66">
    <w:abstractNumId w:val="0"/>
  </w:num>
  <w:num w:numId="67">
    <w:abstractNumId w:val="0"/>
  </w:num>
  <w:num w:numId="68">
    <w:abstractNumId w:val="0"/>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lvlOverride w:ilvl="0">
      <w:startOverride w:val="1"/>
    </w:lvlOverride>
  </w:num>
  <w:num w:numId="88">
    <w:abstractNumId w:val="0"/>
    <w:lvlOverride w:ilvl="0">
      <w:startOverride w:val="1"/>
    </w:lvlOverride>
  </w:num>
  <w:num w:numId="89">
    <w:abstractNumId w:val="0"/>
    <w:lvlOverride w:ilvl="0">
      <w:startOverride w:val="1"/>
    </w:lvlOverride>
  </w:num>
  <w:num w:numId="90">
    <w:abstractNumId w:val="0"/>
    <w:lvlOverride w:ilvl="0">
      <w:startOverride w:val="1"/>
    </w:lvlOverride>
  </w:num>
  <w:num w:numId="91">
    <w:abstractNumId w:val="0"/>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
  </w:num>
  <w:num w:numId="99">
    <w:abstractNumId w:val="0"/>
    <w:lvlOverride w:ilvl="0">
      <w:startOverride w:val="1"/>
    </w:lvlOverride>
  </w:num>
  <w:num w:numId="100">
    <w:abstractNumId w:val="0"/>
  </w:num>
  <w:num w:numId="101">
    <w:abstractNumId w:val="0"/>
  </w:num>
  <w:num w:numId="102">
    <w:abstractNumId w:val="0"/>
    <w:lvlOverride w:ilvl="0">
      <w:startOverride w:val="1"/>
    </w:lvlOverride>
  </w:num>
  <w:num w:numId="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0"/>
    <w:lvlOverride w:ilvl="0">
      <w:startOverride w:val="1"/>
    </w:lvlOverride>
  </w:num>
  <w:num w:numId="105">
    <w:abstractNumId w:val="2"/>
  </w:num>
  <w:num w:numId="106">
    <w:abstractNumId w:val="0"/>
  </w:num>
  <w:num w:numId="107">
    <w:abstractNumId w:val="0"/>
  </w:num>
  <w:num w:numId="108">
    <w:abstractNumId w:val="4"/>
  </w:num>
  <w:num w:numId="109">
    <w:abstractNumId w:val="4"/>
  </w:num>
  <w:num w:numId="110">
    <w:abstractNumId w:val="4"/>
  </w:num>
  <w:num w:numId="111">
    <w:abstractNumId w:val="0"/>
    <w:lvlOverride w:ilvl="0">
      <w:startOverride w:val="1"/>
    </w:lvlOverride>
  </w:num>
  <w:num w:numId="112">
    <w:abstractNumId w:val="4"/>
  </w:num>
  <w:num w:numId="113">
    <w:abstractNumId w:val="0"/>
    <w:lvlOverride w:ilvl="0">
      <w:startOverride w:val="1"/>
    </w:lvlOverride>
  </w:num>
  <w:num w:numId="114">
    <w:abstractNumId w:val="0"/>
    <w:lvlOverride w:ilvl="0">
      <w:startOverride w:val="1"/>
    </w:lvlOverride>
  </w:num>
  <w:num w:numId="115">
    <w:abstractNumId w:val="4"/>
  </w:num>
  <w:num w:numId="116">
    <w:abstractNumId w:val="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F6"/>
    <w:rsid w:val="00001620"/>
    <w:rsid w:val="00003DDA"/>
    <w:rsid w:val="00006F7B"/>
    <w:rsid w:val="00010A8A"/>
    <w:rsid w:val="000133BF"/>
    <w:rsid w:val="00014CC4"/>
    <w:rsid w:val="00015F38"/>
    <w:rsid w:val="00022567"/>
    <w:rsid w:val="00024FA3"/>
    <w:rsid w:val="000250F8"/>
    <w:rsid w:val="00025206"/>
    <w:rsid w:val="00026770"/>
    <w:rsid w:val="00027061"/>
    <w:rsid w:val="00030429"/>
    <w:rsid w:val="00030979"/>
    <w:rsid w:val="00031EAD"/>
    <w:rsid w:val="000327A0"/>
    <w:rsid w:val="00032DB3"/>
    <w:rsid w:val="00033828"/>
    <w:rsid w:val="00033B4D"/>
    <w:rsid w:val="00036B2F"/>
    <w:rsid w:val="00036D2A"/>
    <w:rsid w:val="000377D7"/>
    <w:rsid w:val="00041272"/>
    <w:rsid w:val="000446E5"/>
    <w:rsid w:val="0005062E"/>
    <w:rsid w:val="0005093A"/>
    <w:rsid w:val="00053F0C"/>
    <w:rsid w:val="000578EA"/>
    <w:rsid w:val="00061F7A"/>
    <w:rsid w:val="00062950"/>
    <w:rsid w:val="00062D55"/>
    <w:rsid w:val="000641D1"/>
    <w:rsid w:val="000646A9"/>
    <w:rsid w:val="00065121"/>
    <w:rsid w:val="0006550F"/>
    <w:rsid w:val="000655FF"/>
    <w:rsid w:val="000675EA"/>
    <w:rsid w:val="00071469"/>
    <w:rsid w:val="0007234B"/>
    <w:rsid w:val="0007408B"/>
    <w:rsid w:val="00074253"/>
    <w:rsid w:val="00074449"/>
    <w:rsid w:val="000753D3"/>
    <w:rsid w:val="00075952"/>
    <w:rsid w:val="00075AEA"/>
    <w:rsid w:val="000777D6"/>
    <w:rsid w:val="00081933"/>
    <w:rsid w:val="0008211C"/>
    <w:rsid w:val="0008298C"/>
    <w:rsid w:val="00083045"/>
    <w:rsid w:val="00084267"/>
    <w:rsid w:val="000847F0"/>
    <w:rsid w:val="00084E91"/>
    <w:rsid w:val="00086E06"/>
    <w:rsid w:val="00090D65"/>
    <w:rsid w:val="00093A09"/>
    <w:rsid w:val="00093F5B"/>
    <w:rsid w:val="00093FD2"/>
    <w:rsid w:val="0009471A"/>
    <w:rsid w:val="00094DDF"/>
    <w:rsid w:val="00095263"/>
    <w:rsid w:val="00095858"/>
    <w:rsid w:val="00097DA4"/>
    <w:rsid w:val="000A01D8"/>
    <w:rsid w:val="000A17A2"/>
    <w:rsid w:val="000A17F1"/>
    <w:rsid w:val="000A2D79"/>
    <w:rsid w:val="000A359F"/>
    <w:rsid w:val="000A43A3"/>
    <w:rsid w:val="000A6CFC"/>
    <w:rsid w:val="000A6E21"/>
    <w:rsid w:val="000A70B7"/>
    <w:rsid w:val="000B0533"/>
    <w:rsid w:val="000B06CB"/>
    <w:rsid w:val="000B0F9F"/>
    <w:rsid w:val="000B258F"/>
    <w:rsid w:val="000B4043"/>
    <w:rsid w:val="000B6BA9"/>
    <w:rsid w:val="000B7D33"/>
    <w:rsid w:val="000C05A7"/>
    <w:rsid w:val="000C09FF"/>
    <w:rsid w:val="000C317C"/>
    <w:rsid w:val="000D0059"/>
    <w:rsid w:val="000D1C3C"/>
    <w:rsid w:val="000D2CBE"/>
    <w:rsid w:val="000D2DF7"/>
    <w:rsid w:val="000D4D6E"/>
    <w:rsid w:val="000D603C"/>
    <w:rsid w:val="000E0274"/>
    <w:rsid w:val="000E0B98"/>
    <w:rsid w:val="000E0F61"/>
    <w:rsid w:val="000E1050"/>
    <w:rsid w:val="000E477C"/>
    <w:rsid w:val="000E6442"/>
    <w:rsid w:val="000E6D18"/>
    <w:rsid w:val="000F02AB"/>
    <w:rsid w:val="000F152C"/>
    <w:rsid w:val="000F164B"/>
    <w:rsid w:val="000F18C1"/>
    <w:rsid w:val="000F1E54"/>
    <w:rsid w:val="000F5DF5"/>
    <w:rsid w:val="000F6BC1"/>
    <w:rsid w:val="000FCC3D"/>
    <w:rsid w:val="0010086F"/>
    <w:rsid w:val="001027EF"/>
    <w:rsid w:val="001038B3"/>
    <w:rsid w:val="00104828"/>
    <w:rsid w:val="00105853"/>
    <w:rsid w:val="00105964"/>
    <w:rsid w:val="00105FF5"/>
    <w:rsid w:val="00106C2B"/>
    <w:rsid w:val="00106C92"/>
    <w:rsid w:val="00110AB1"/>
    <w:rsid w:val="001118D8"/>
    <w:rsid w:val="00111D7A"/>
    <w:rsid w:val="0011228F"/>
    <w:rsid w:val="00117562"/>
    <w:rsid w:val="00117FBE"/>
    <w:rsid w:val="001210D9"/>
    <w:rsid w:val="0012145C"/>
    <w:rsid w:val="001218E3"/>
    <w:rsid w:val="00123B4E"/>
    <w:rsid w:val="00124215"/>
    <w:rsid w:val="00124E33"/>
    <w:rsid w:val="00125C7C"/>
    <w:rsid w:val="001277D3"/>
    <w:rsid w:val="00127BE7"/>
    <w:rsid w:val="00131AAD"/>
    <w:rsid w:val="00133142"/>
    <w:rsid w:val="001346B1"/>
    <w:rsid w:val="00135D30"/>
    <w:rsid w:val="00135F71"/>
    <w:rsid w:val="00136498"/>
    <w:rsid w:val="00136BBD"/>
    <w:rsid w:val="00140BC2"/>
    <w:rsid w:val="001410E6"/>
    <w:rsid w:val="00141121"/>
    <w:rsid w:val="0014223F"/>
    <w:rsid w:val="0014370A"/>
    <w:rsid w:val="00144CA3"/>
    <w:rsid w:val="0014766C"/>
    <w:rsid w:val="001519F1"/>
    <w:rsid w:val="00151B68"/>
    <w:rsid w:val="00151FFC"/>
    <w:rsid w:val="00153D67"/>
    <w:rsid w:val="001550C6"/>
    <w:rsid w:val="001554C3"/>
    <w:rsid w:val="00155840"/>
    <w:rsid w:val="00157C98"/>
    <w:rsid w:val="00160AFB"/>
    <w:rsid w:val="001610C1"/>
    <w:rsid w:val="001622D6"/>
    <w:rsid w:val="00163362"/>
    <w:rsid w:val="00163395"/>
    <w:rsid w:val="001640A2"/>
    <w:rsid w:val="00165451"/>
    <w:rsid w:val="001654C2"/>
    <w:rsid w:val="00165D63"/>
    <w:rsid w:val="00165DB4"/>
    <w:rsid w:val="00167167"/>
    <w:rsid w:val="001676EC"/>
    <w:rsid w:val="00167A2A"/>
    <w:rsid w:val="00171C91"/>
    <w:rsid w:val="0017278F"/>
    <w:rsid w:val="0017334B"/>
    <w:rsid w:val="00173CCA"/>
    <w:rsid w:val="00173CCD"/>
    <w:rsid w:val="00174961"/>
    <w:rsid w:val="001750E1"/>
    <w:rsid w:val="00177186"/>
    <w:rsid w:val="00177F5E"/>
    <w:rsid w:val="00180627"/>
    <w:rsid w:val="0018148D"/>
    <w:rsid w:val="00183C01"/>
    <w:rsid w:val="00183FE5"/>
    <w:rsid w:val="00184E99"/>
    <w:rsid w:val="00186C09"/>
    <w:rsid w:val="0018766F"/>
    <w:rsid w:val="0018780B"/>
    <w:rsid w:val="00187F46"/>
    <w:rsid w:val="00187FAD"/>
    <w:rsid w:val="00190452"/>
    <w:rsid w:val="00191B23"/>
    <w:rsid w:val="00192395"/>
    <w:rsid w:val="001942C6"/>
    <w:rsid w:val="00194EA6"/>
    <w:rsid w:val="001959ED"/>
    <w:rsid w:val="00196FF6"/>
    <w:rsid w:val="001A02BD"/>
    <w:rsid w:val="001A11EA"/>
    <w:rsid w:val="001A13FD"/>
    <w:rsid w:val="001A187B"/>
    <w:rsid w:val="001A21A8"/>
    <w:rsid w:val="001A2D42"/>
    <w:rsid w:val="001A2DF1"/>
    <w:rsid w:val="001A4730"/>
    <w:rsid w:val="001A7006"/>
    <w:rsid w:val="001B043E"/>
    <w:rsid w:val="001B3278"/>
    <w:rsid w:val="001B3624"/>
    <w:rsid w:val="001B369B"/>
    <w:rsid w:val="001B4AB2"/>
    <w:rsid w:val="001B4E20"/>
    <w:rsid w:val="001B4E80"/>
    <w:rsid w:val="001C0CDB"/>
    <w:rsid w:val="001C2B63"/>
    <w:rsid w:val="001C2BBE"/>
    <w:rsid w:val="001C3DDF"/>
    <w:rsid w:val="001C4CAF"/>
    <w:rsid w:val="001C519D"/>
    <w:rsid w:val="001C7851"/>
    <w:rsid w:val="001C78CF"/>
    <w:rsid w:val="001D096E"/>
    <w:rsid w:val="001D1427"/>
    <w:rsid w:val="001D2658"/>
    <w:rsid w:val="001D2A3B"/>
    <w:rsid w:val="001D61C1"/>
    <w:rsid w:val="001D7DEF"/>
    <w:rsid w:val="001E285B"/>
    <w:rsid w:val="001E2CF2"/>
    <w:rsid w:val="001E52B7"/>
    <w:rsid w:val="001E7970"/>
    <w:rsid w:val="001F0C66"/>
    <w:rsid w:val="001F1796"/>
    <w:rsid w:val="001F1D91"/>
    <w:rsid w:val="001F4A6A"/>
    <w:rsid w:val="001F50F6"/>
    <w:rsid w:val="001F5143"/>
    <w:rsid w:val="001F5CBF"/>
    <w:rsid w:val="001F5DA5"/>
    <w:rsid w:val="001F5FE2"/>
    <w:rsid w:val="001F6259"/>
    <w:rsid w:val="0020308D"/>
    <w:rsid w:val="00204C2B"/>
    <w:rsid w:val="00204E7E"/>
    <w:rsid w:val="0020531A"/>
    <w:rsid w:val="00211078"/>
    <w:rsid w:val="00211BC4"/>
    <w:rsid w:val="00216411"/>
    <w:rsid w:val="00216EBD"/>
    <w:rsid w:val="00217879"/>
    <w:rsid w:val="002179C4"/>
    <w:rsid w:val="00220590"/>
    <w:rsid w:val="00221FA7"/>
    <w:rsid w:val="002220A2"/>
    <w:rsid w:val="00222291"/>
    <w:rsid w:val="002229D0"/>
    <w:rsid w:val="00222D07"/>
    <w:rsid w:val="00223238"/>
    <w:rsid w:val="00225173"/>
    <w:rsid w:val="00225841"/>
    <w:rsid w:val="0022681E"/>
    <w:rsid w:val="0022771F"/>
    <w:rsid w:val="002305D4"/>
    <w:rsid w:val="00232FED"/>
    <w:rsid w:val="00233DBC"/>
    <w:rsid w:val="00235A8C"/>
    <w:rsid w:val="00235DC9"/>
    <w:rsid w:val="00236507"/>
    <w:rsid w:val="00240260"/>
    <w:rsid w:val="00242CF7"/>
    <w:rsid w:val="00244CF3"/>
    <w:rsid w:val="00250C36"/>
    <w:rsid w:val="00250DA3"/>
    <w:rsid w:val="0025100E"/>
    <w:rsid w:val="0025183F"/>
    <w:rsid w:val="00251DF8"/>
    <w:rsid w:val="00252406"/>
    <w:rsid w:val="002535C9"/>
    <w:rsid w:val="0025364C"/>
    <w:rsid w:val="002539BA"/>
    <w:rsid w:val="002539D5"/>
    <w:rsid w:val="00253BB3"/>
    <w:rsid w:val="00254025"/>
    <w:rsid w:val="0025566A"/>
    <w:rsid w:val="00256633"/>
    <w:rsid w:val="002623DC"/>
    <w:rsid w:val="002630F2"/>
    <w:rsid w:val="0026364E"/>
    <w:rsid w:val="00264573"/>
    <w:rsid w:val="00265D34"/>
    <w:rsid w:val="00270DF5"/>
    <w:rsid w:val="002726B5"/>
    <w:rsid w:val="00272963"/>
    <w:rsid w:val="00273142"/>
    <w:rsid w:val="002738E8"/>
    <w:rsid w:val="00276540"/>
    <w:rsid w:val="00276A8B"/>
    <w:rsid w:val="002803C3"/>
    <w:rsid w:val="00283C14"/>
    <w:rsid w:val="002841DC"/>
    <w:rsid w:val="002842D2"/>
    <w:rsid w:val="002853FA"/>
    <w:rsid w:val="00285540"/>
    <w:rsid w:val="002857DE"/>
    <w:rsid w:val="00291B67"/>
    <w:rsid w:val="00293220"/>
    <w:rsid w:val="00295B1E"/>
    <w:rsid w:val="00296037"/>
    <w:rsid w:val="00296AD3"/>
    <w:rsid w:val="00297CA5"/>
    <w:rsid w:val="002A0C43"/>
    <w:rsid w:val="002A16BA"/>
    <w:rsid w:val="002A337E"/>
    <w:rsid w:val="002A4968"/>
    <w:rsid w:val="002A4EA9"/>
    <w:rsid w:val="002A65A9"/>
    <w:rsid w:val="002A71DE"/>
    <w:rsid w:val="002A7ECC"/>
    <w:rsid w:val="002B0970"/>
    <w:rsid w:val="002B0D62"/>
    <w:rsid w:val="002B1158"/>
    <w:rsid w:val="002B1897"/>
    <w:rsid w:val="002B26B5"/>
    <w:rsid w:val="002B4DF6"/>
    <w:rsid w:val="002B4FAD"/>
    <w:rsid w:val="002B5408"/>
    <w:rsid w:val="002C0384"/>
    <w:rsid w:val="002C0C14"/>
    <w:rsid w:val="002C2CD5"/>
    <w:rsid w:val="002C36D5"/>
    <w:rsid w:val="002C511B"/>
    <w:rsid w:val="002C629D"/>
    <w:rsid w:val="002C6FA8"/>
    <w:rsid w:val="002D08E5"/>
    <w:rsid w:val="002D0F27"/>
    <w:rsid w:val="002D318D"/>
    <w:rsid w:val="002D4058"/>
    <w:rsid w:val="002D407D"/>
    <w:rsid w:val="002D51A0"/>
    <w:rsid w:val="002D53B6"/>
    <w:rsid w:val="002D5B82"/>
    <w:rsid w:val="002D6396"/>
    <w:rsid w:val="002D73C4"/>
    <w:rsid w:val="002E2909"/>
    <w:rsid w:val="002E3349"/>
    <w:rsid w:val="002E3DCF"/>
    <w:rsid w:val="002E3E9C"/>
    <w:rsid w:val="002E6BB3"/>
    <w:rsid w:val="002F0D5B"/>
    <w:rsid w:val="002F5051"/>
    <w:rsid w:val="002F6BCC"/>
    <w:rsid w:val="002F6BF1"/>
    <w:rsid w:val="002F6DFA"/>
    <w:rsid w:val="00300220"/>
    <w:rsid w:val="00301E31"/>
    <w:rsid w:val="00302800"/>
    <w:rsid w:val="003035DC"/>
    <w:rsid w:val="003053AF"/>
    <w:rsid w:val="00305E42"/>
    <w:rsid w:val="00306E0B"/>
    <w:rsid w:val="00311AF4"/>
    <w:rsid w:val="003121B6"/>
    <w:rsid w:val="00314165"/>
    <w:rsid w:val="00314253"/>
    <w:rsid w:val="00315DC6"/>
    <w:rsid w:val="0031607E"/>
    <w:rsid w:val="0031623A"/>
    <w:rsid w:val="003175E1"/>
    <w:rsid w:val="00317930"/>
    <w:rsid w:val="00320F0A"/>
    <w:rsid w:val="00321664"/>
    <w:rsid w:val="00321957"/>
    <w:rsid w:val="00323F61"/>
    <w:rsid w:val="00325BCF"/>
    <w:rsid w:val="003266BF"/>
    <w:rsid w:val="00331305"/>
    <w:rsid w:val="00331CE3"/>
    <w:rsid w:val="00332EF6"/>
    <w:rsid w:val="00341CD3"/>
    <w:rsid w:val="00342828"/>
    <w:rsid w:val="00344FE5"/>
    <w:rsid w:val="0034539F"/>
    <w:rsid w:val="00346A07"/>
    <w:rsid w:val="0035129A"/>
    <w:rsid w:val="00351996"/>
    <w:rsid w:val="003538B0"/>
    <w:rsid w:val="00353A7F"/>
    <w:rsid w:val="003543B8"/>
    <w:rsid w:val="003543D5"/>
    <w:rsid w:val="0035608A"/>
    <w:rsid w:val="0035677D"/>
    <w:rsid w:val="0035699E"/>
    <w:rsid w:val="00357CBA"/>
    <w:rsid w:val="003635B0"/>
    <w:rsid w:val="00366532"/>
    <w:rsid w:val="00367F91"/>
    <w:rsid w:val="003708D5"/>
    <w:rsid w:val="0037141B"/>
    <w:rsid w:val="00374660"/>
    <w:rsid w:val="00374A65"/>
    <w:rsid w:val="00375810"/>
    <w:rsid w:val="003805B2"/>
    <w:rsid w:val="003805DC"/>
    <w:rsid w:val="00381908"/>
    <w:rsid w:val="003821A3"/>
    <w:rsid w:val="00382600"/>
    <w:rsid w:val="00382CD9"/>
    <w:rsid w:val="00382D05"/>
    <w:rsid w:val="0038315C"/>
    <w:rsid w:val="003844D3"/>
    <w:rsid w:val="00386ADC"/>
    <w:rsid w:val="0039534C"/>
    <w:rsid w:val="003954C8"/>
    <w:rsid w:val="0039684E"/>
    <w:rsid w:val="003A0326"/>
    <w:rsid w:val="003A0B7C"/>
    <w:rsid w:val="003A52E0"/>
    <w:rsid w:val="003A5AC5"/>
    <w:rsid w:val="003A68E7"/>
    <w:rsid w:val="003A6ED9"/>
    <w:rsid w:val="003B000D"/>
    <w:rsid w:val="003B08F2"/>
    <w:rsid w:val="003B22F9"/>
    <w:rsid w:val="003B3AE1"/>
    <w:rsid w:val="003B407D"/>
    <w:rsid w:val="003B49C7"/>
    <w:rsid w:val="003B705B"/>
    <w:rsid w:val="003B7691"/>
    <w:rsid w:val="003B7BA3"/>
    <w:rsid w:val="003B7CDB"/>
    <w:rsid w:val="003C0CDC"/>
    <w:rsid w:val="003C12C0"/>
    <w:rsid w:val="003C1985"/>
    <w:rsid w:val="003C298D"/>
    <w:rsid w:val="003C312B"/>
    <w:rsid w:val="003C40A2"/>
    <w:rsid w:val="003C4164"/>
    <w:rsid w:val="003C41AE"/>
    <w:rsid w:val="003C6491"/>
    <w:rsid w:val="003D0569"/>
    <w:rsid w:val="003D0FD7"/>
    <w:rsid w:val="003D1399"/>
    <w:rsid w:val="003D4117"/>
    <w:rsid w:val="003D5052"/>
    <w:rsid w:val="003D561A"/>
    <w:rsid w:val="003D5FB0"/>
    <w:rsid w:val="003E1502"/>
    <w:rsid w:val="003E2B42"/>
    <w:rsid w:val="003E3BD6"/>
    <w:rsid w:val="003E3E76"/>
    <w:rsid w:val="003E43C5"/>
    <w:rsid w:val="003E4AB8"/>
    <w:rsid w:val="003E6657"/>
    <w:rsid w:val="003E743B"/>
    <w:rsid w:val="003E7FC1"/>
    <w:rsid w:val="003F0A51"/>
    <w:rsid w:val="003F0DE4"/>
    <w:rsid w:val="003F0E0A"/>
    <w:rsid w:val="003F131E"/>
    <w:rsid w:val="003F17B2"/>
    <w:rsid w:val="003F3C16"/>
    <w:rsid w:val="003F4427"/>
    <w:rsid w:val="003F53B3"/>
    <w:rsid w:val="003F58CC"/>
    <w:rsid w:val="003F59BB"/>
    <w:rsid w:val="003F6179"/>
    <w:rsid w:val="003F63C4"/>
    <w:rsid w:val="003F6F99"/>
    <w:rsid w:val="00401EC9"/>
    <w:rsid w:val="00401EFD"/>
    <w:rsid w:val="00402C22"/>
    <w:rsid w:val="004034FD"/>
    <w:rsid w:val="004045DC"/>
    <w:rsid w:val="00404AB2"/>
    <w:rsid w:val="004076D3"/>
    <w:rsid w:val="004110F2"/>
    <w:rsid w:val="00412AB9"/>
    <w:rsid w:val="004142AB"/>
    <w:rsid w:val="0041697B"/>
    <w:rsid w:val="00421BE9"/>
    <w:rsid w:val="00421FE0"/>
    <w:rsid w:val="00422049"/>
    <w:rsid w:val="00422481"/>
    <w:rsid w:val="004231F0"/>
    <w:rsid w:val="0042566A"/>
    <w:rsid w:val="004268E2"/>
    <w:rsid w:val="004275EF"/>
    <w:rsid w:val="004312E9"/>
    <w:rsid w:val="004318E7"/>
    <w:rsid w:val="00432425"/>
    <w:rsid w:val="004328F3"/>
    <w:rsid w:val="00432F70"/>
    <w:rsid w:val="00441091"/>
    <w:rsid w:val="00441107"/>
    <w:rsid w:val="004413D3"/>
    <w:rsid w:val="0044228A"/>
    <w:rsid w:val="0044514A"/>
    <w:rsid w:val="00446071"/>
    <w:rsid w:val="00446DCC"/>
    <w:rsid w:val="004509E5"/>
    <w:rsid w:val="00453DBF"/>
    <w:rsid w:val="00454379"/>
    <w:rsid w:val="00455D6D"/>
    <w:rsid w:val="004567B0"/>
    <w:rsid w:val="00457E14"/>
    <w:rsid w:val="00461FC6"/>
    <w:rsid w:val="00463E27"/>
    <w:rsid w:val="00464012"/>
    <w:rsid w:val="0046416F"/>
    <w:rsid w:val="00465992"/>
    <w:rsid w:val="0046611D"/>
    <w:rsid w:val="004705A5"/>
    <w:rsid w:val="00470C69"/>
    <w:rsid w:val="00470DA2"/>
    <w:rsid w:val="004721C2"/>
    <w:rsid w:val="0047250B"/>
    <w:rsid w:val="00473DDC"/>
    <w:rsid w:val="00474B33"/>
    <w:rsid w:val="00474CF7"/>
    <w:rsid w:val="00475888"/>
    <w:rsid w:val="00475CAB"/>
    <w:rsid w:val="004764B9"/>
    <w:rsid w:val="0048253D"/>
    <w:rsid w:val="004849B5"/>
    <w:rsid w:val="00485068"/>
    <w:rsid w:val="00485217"/>
    <w:rsid w:val="00485AD0"/>
    <w:rsid w:val="00487634"/>
    <w:rsid w:val="00487E73"/>
    <w:rsid w:val="00491C84"/>
    <w:rsid w:val="00492CAA"/>
    <w:rsid w:val="00495693"/>
    <w:rsid w:val="00495F68"/>
    <w:rsid w:val="004A0508"/>
    <w:rsid w:val="004A05AA"/>
    <w:rsid w:val="004A1776"/>
    <w:rsid w:val="004A191A"/>
    <w:rsid w:val="004A20A2"/>
    <w:rsid w:val="004A29CB"/>
    <w:rsid w:val="004A3795"/>
    <w:rsid w:val="004A3F51"/>
    <w:rsid w:val="004A463A"/>
    <w:rsid w:val="004A68B3"/>
    <w:rsid w:val="004A6926"/>
    <w:rsid w:val="004B040F"/>
    <w:rsid w:val="004B2D0A"/>
    <w:rsid w:val="004B3D57"/>
    <w:rsid w:val="004B5C5A"/>
    <w:rsid w:val="004B6016"/>
    <w:rsid w:val="004B605E"/>
    <w:rsid w:val="004B771F"/>
    <w:rsid w:val="004C01B0"/>
    <w:rsid w:val="004C026C"/>
    <w:rsid w:val="004C1B14"/>
    <w:rsid w:val="004C3836"/>
    <w:rsid w:val="004C453D"/>
    <w:rsid w:val="004C70AD"/>
    <w:rsid w:val="004D0E4A"/>
    <w:rsid w:val="004D129E"/>
    <w:rsid w:val="004D1E7B"/>
    <w:rsid w:val="004D263E"/>
    <w:rsid w:val="004D6811"/>
    <w:rsid w:val="004D760A"/>
    <w:rsid w:val="004E0FD6"/>
    <w:rsid w:val="004E3861"/>
    <w:rsid w:val="004E6AAF"/>
    <w:rsid w:val="004F09F7"/>
    <w:rsid w:val="004F305F"/>
    <w:rsid w:val="004F3309"/>
    <w:rsid w:val="004F33A9"/>
    <w:rsid w:val="004F34B8"/>
    <w:rsid w:val="004F3FE4"/>
    <w:rsid w:val="004F40CE"/>
    <w:rsid w:val="004F4180"/>
    <w:rsid w:val="004F52D2"/>
    <w:rsid w:val="004F5927"/>
    <w:rsid w:val="004F6D70"/>
    <w:rsid w:val="00500316"/>
    <w:rsid w:val="00501AF8"/>
    <w:rsid w:val="00502E96"/>
    <w:rsid w:val="005038ED"/>
    <w:rsid w:val="00504F5F"/>
    <w:rsid w:val="00506016"/>
    <w:rsid w:val="00506127"/>
    <w:rsid w:val="005065DD"/>
    <w:rsid w:val="00506790"/>
    <w:rsid w:val="00506D10"/>
    <w:rsid w:val="005076A7"/>
    <w:rsid w:val="00507DA0"/>
    <w:rsid w:val="00510DE4"/>
    <w:rsid w:val="00512132"/>
    <w:rsid w:val="005122B1"/>
    <w:rsid w:val="00512478"/>
    <w:rsid w:val="0051641F"/>
    <w:rsid w:val="00521ED6"/>
    <w:rsid w:val="00525833"/>
    <w:rsid w:val="00526001"/>
    <w:rsid w:val="0052692B"/>
    <w:rsid w:val="00531052"/>
    <w:rsid w:val="005321F1"/>
    <w:rsid w:val="005323CA"/>
    <w:rsid w:val="00535DB4"/>
    <w:rsid w:val="00535E67"/>
    <w:rsid w:val="005369CF"/>
    <w:rsid w:val="00537545"/>
    <w:rsid w:val="005401C6"/>
    <w:rsid w:val="00540DB6"/>
    <w:rsid w:val="00540F0F"/>
    <w:rsid w:val="00543342"/>
    <w:rsid w:val="00545750"/>
    <w:rsid w:val="00545D2A"/>
    <w:rsid w:val="00546494"/>
    <w:rsid w:val="00546C7A"/>
    <w:rsid w:val="0055042E"/>
    <w:rsid w:val="00552D7B"/>
    <w:rsid w:val="00553467"/>
    <w:rsid w:val="00554293"/>
    <w:rsid w:val="00554D3E"/>
    <w:rsid w:val="00555B02"/>
    <w:rsid w:val="005562C1"/>
    <w:rsid w:val="005564C8"/>
    <w:rsid w:val="0055733E"/>
    <w:rsid w:val="005578C7"/>
    <w:rsid w:val="00561F55"/>
    <w:rsid w:val="0056283D"/>
    <w:rsid w:val="00562FB0"/>
    <w:rsid w:val="00564759"/>
    <w:rsid w:val="005661E1"/>
    <w:rsid w:val="00566E82"/>
    <w:rsid w:val="00566F50"/>
    <w:rsid w:val="00570991"/>
    <w:rsid w:val="00571A51"/>
    <w:rsid w:val="0057209B"/>
    <w:rsid w:val="005739AB"/>
    <w:rsid w:val="005752A9"/>
    <w:rsid w:val="00575C94"/>
    <w:rsid w:val="00575EE7"/>
    <w:rsid w:val="0057620E"/>
    <w:rsid w:val="00576809"/>
    <w:rsid w:val="00580746"/>
    <w:rsid w:val="00580798"/>
    <w:rsid w:val="00580E21"/>
    <w:rsid w:val="005823E1"/>
    <w:rsid w:val="00582DE4"/>
    <w:rsid w:val="005837DC"/>
    <w:rsid w:val="00583867"/>
    <w:rsid w:val="00587883"/>
    <w:rsid w:val="00587A28"/>
    <w:rsid w:val="005923CB"/>
    <w:rsid w:val="005930A0"/>
    <w:rsid w:val="00593228"/>
    <w:rsid w:val="0059357C"/>
    <w:rsid w:val="005955B6"/>
    <w:rsid w:val="00595E02"/>
    <w:rsid w:val="005965DC"/>
    <w:rsid w:val="005A00C8"/>
    <w:rsid w:val="005A1AEB"/>
    <w:rsid w:val="005A30EC"/>
    <w:rsid w:val="005A61FB"/>
    <w:rsid w:val="005A6C26"/>
    <w:rsid w:val="005A7A33"/>
    <w:rsid w:val="005A7B5C"/>
    <w:rsid w:val="005B03CC"/>
    <w:rsid w:val="005B1669"/>
    <w:rsid w:val="005B3FFA"/>
    <w:rsid w:val="005B4272"/>
    <w:rsid w:val="005B4442"/>
    <w:rsid w:val="005B5364"/>
    <w:rsid w:val="005B688E"/>
    <w:rsid w:val="005C168B"/>
    <w:rsid w:val="005C1C79"/>
    <w:rsid w:val="005C23E0"/>
    <w:rsid w:val="005C3D8F"/>
    <w:rsid w:val="005C6D36"/>
    <w:rsid w:val="005C78EE"/>
    <w:rsid w:val="005D1FB0"/>
    <w:rsid w:val="005D3540"/>
    <w:rsid w:val="005D4B04"/>
    <w:rsid w:val="005D52F1"/>
    <w:rsid w:val="005D52F8"/>
    <w:rsid w:val="005D7FB5"/>
    <w:rsid w:val="005E1416"/>
    <w:rsid w:val="005E25C7"/>
    <w:rsid w:val="005E331F"/>
    <w:rsid w:val="005E59B9"/>
    <w:rsid w:val="005E5FED"/>
    <w:rsid w:val="005E6DF4"/>
    <w:rsid w:val="005E742C"/>
    <w:rsid w:val="005F0142"/>
    <w:rsid w:val="005F0C7C"/>
    <w:rsid w:val="005F0D22"/>
    <w:rsid w:val="005F17B4"/>
    <w:rsid w:val="005F18B5"/>
    <w:rsid w:val="005F36C4"/>
    <w:rsid w:val="005F4640"/>
    <w:rsid w:val="005F499B"/>
    <w:rsid w:val="005F5E86"/>
    <w:rsid w:val="005F6290"/>
    <w:rsid w:val="005F62DD"/>
    <w:rsid w:val="00600471"/>
    <w:rsid w:val="006039AF"/>
    <w:rsid w:val="00607781"/>
    <w:rsid w:val="00610022"/>
    <w:rsid w:val="0061035D"/>
    <w:rsid w:val="0061186C"/>
    <w:rsid w:val="0061519B"/>
    <w:rsid w:val="00615B7D"/>
    <w:rsid w:val="00615BD9"/>
    <w:rsid w:val="00617AE3"/>
    <w:rsid w:val="00620A73"/>
    <w:rsid w:val="006225E7"/>
    <w:rsid w:val="00624D0C"/>
    <w:rsid w:val="00625E99"/>
    <w:rsid w:val="006317E6"/>
    <w:rsid w:val="00631826"/>
    <w:rsid w:val="00631ABD"/>
    <w:rsid w:val="00632F4B"/>
    <w:rsid w:val="00635626"/>
    <w:rsid w:val="00636A63"/>
    <w:rsid w:val="006377E7"/>
    <w:rsid w:val="00637DBB"/>
    <w:rsid w:val="00640F20"/>
    <w:rsid w:val="00641531"/>
    <w:rsid w:val="00643FCD"/>
    <w:rsid w:val="00646CBA"/>
    <w:rsid w:val="00647EF8"/>
    <w:rsid w:val="00651651"/>
    <w:rsid w:val="00653241"/>
    <w:rsid w:val="00653B89"/>
    <w:rsid w:val="00653BFA"/>
    <w:rsid w:val="006545B3"/>
    <w:rsid w:val="006572D3"/>
    <w:rsid w:val="00661AAD"/>
    <w:rsid w:val="00662A8D"/>
    <w:rsid w:val="0066548C"/>
    <w:rsid w:val="006662D7"/>
    <w:rsid w:val="0066653F"/>
    <w:rsid w:val="0066760A"/>
    <w:rsid w:val="0067130F"/>
    <w:rsid w:val="00674FD1"/>
    <w:rsid w:val="006765AE"/>
    <w:rsid w:val="006770A3"/>
    <w:rsid w:val="006771B1"/>
    <w:rsid w:val="006778CE"/>
    <w:rsid w:val="00682339"/>
    <w:rsid w:val="00683D83"/>
    <w:rsid w:val="00687922"/>
    <w:rsid w:val="00687C41"/>
    <w:rsid w:val="00690804"/>
    <w:rsid w:val="00691B93"/>
    <w:rsid w:val="006929AE"/>
    <w:rsid w:val="006934B3"/>
    <w:rsid w:val="00694A00"/>
    <w:rsid w:val="006955D2"/>
    <w:rsid w:val="00697050"/>
    <w:rsid w:val="00697122"/>
    <w:rsid w:val="00697FCF"/>
    <w:rsid w:val="006A18FC"/>
    <w:rsid w:val="006A2D4D"/>
    <w:rsid w:val="006A3F03"/>
    <w:rsid w:val="006A4085"/>
    <w:rsid w:val="006A4752"/>
    <w:rsid w:val="006B0ADE"/>
    <w:rsid w:val="006B5C10"/>
    <w:rsid w:val="006B62DC"/>
    <w:rsid w:val="006B73D1"/>
    <w:rsid w:val="006B79BF"/>
    <w:rsid w:val="006C13D1"/>
    <w:rsid w:val="006C29BA"/>
    <w:rsid w:val="006C2C8F"/>
    <w:rsid w:val="006C34E7"/>
    <w:rsid w:val="006C43E0"/>
    <w:rsid w:val="006C5B10"/>
    <w:rsid w:val="006C5ED6"/>
    <w:rsid w:val="006C67EC"/>
    <w:rsid w:val="006C71DB"/>
    <w:rsid w:val="006C721B"/>
    <w:rsid w:val="006D02E2"/>
    <w:rsid w:val="006D0385"/>
    <w:rsid w:val="006D1436"/>
    <w:rsid w:val="006D24A5"/>
    <w:rsid w:val="006D3050"/>
    <w:rsid w:val="006D37B3"/>
    <w:rsid w:val="006D3BD2"/>
    <w:rsid w:val="006D4EE5"/>
    <w:rsid w:val="006D759A"/>
    <w:rsid w:val="006E07DA"/>
    <w:rsid w:val="006E11D9"/>
    <w:rsid w:val="006E1EB5"/>
    <w:rsid w:val="006E3725"/>
    <w:rsid w:val="006E37D5"/>
    <w:rsid w:val="006F0D50"/>
    <w:rsid w:val="006F203D"/>
    <w:rsid w:val="006F3C7C"/>
    <w:rsid w:val="006F4741"/>
    <w:rsid w:val="006F4782"/>
    <w:rsid w:val="006F6466"/>
    <w:rsid w:val="006F6A74"/>
    <w:rsid w:val="006F7346"/>
    <w:rsid w:val="006F7473"/>
    <w:rsid w:val="006F7723"/>
    <w:rsid w:val="00700CA8"/>
    <w:rsid w:val="00700E45"/>
    <w:rsid w:val="00701F9C"/>
    <w:rsid w:val="00703F90"/>
    <w:rsid w:val="00704C67"/>
    <w:rsid w:val="0070575E"/>
    <w:rsid w:val="0070588C"/>
    <w:rsid w:val="00706ABB"/>
    <w:rsid w:val="00713182"/>
    <w:rsid w:val="007137AE"/>
    <w:rsid w:val="007140E6"/>
    <w:rsid w:val="00717B35"/>
    <w:rsid w:val="00717CB0"/>
    <w:rsid w:val="0072175C"/>
    <w:rsid w:val="00723D85"/>
    <w:rsid w:val="00724F01"/>
    <w:rsid w:val="007254E8"/>
    <w:rsid w:val="00725FC3"/>
    <w:rsid w:val="00734F0F"/>
    <w:rsid w:val="007350CA"/>
    <w:rsid w:val="00736AAB"/>
    <w:rsid w:val="00736D24"/>
    <w:rsid w:val="007373A6"/>
    <w:rsid w:val="0074014E"/>
    <w:rsid w:val="00740254"/>
    <w:rsid w:val="00742600"/>
    <w:rsid w:val="00744148"/>
    <w:rsid w:val="00745313"/>
    <w:rsid w:val="00745B45"/>
    <w:rsid w:val="00745F69"/>
    <w:rsid w:val="00747B00"/>
    <w:rsid w:val="007502C7"/>
    <w:rsid w:val="00750713"/>
    <w:rsid w:val="0075092D"/>
    <w:rsid w:val="007512DA"/>
    <w:rsid w:val="00754923"/>
    <w:rsid w:val="00755DEA"/>
    <w:rsid w:val="0075648F"/>
    <w:rsid w:val="007566BD"/>
    <w:rsid w:val="00761156"/>
    <w:rsid w:val="00761C9F"/>
    <w:rsid w:val="00762997"/>
    <w:rsid w:val="00762ACD"/>
    <w:rsid w:val="00763535"/>
    <w:rsid w:val="00764597"/>
    <w:rsid w:val="00764799"/>
    <w:rsid w:val="00766EA3"/>
    <w:rsid w:val="00766FA1"/>
    <w:rsid w:val="0077008C"/>
    <w:rsid w:val="00771B1E"/>
    <w:rsid w:val="00772862"/>
    <w:rsid w:val="00772EE2"/>
    <w:rsid w:val="00774FC0"/>
    <w:rsid w:val="00775025"/>
    <w:rsid w:val="007751D2"/>
    <w:rsid w:val="0077754B"/>
    <w:rsid w:val="0078013C"/>
    <w:rsid w:val="007802B4"/>
    <w:rsid w:val="0078044A"/>
    <w:rsid w:val="00780878"/>
    <w:rsid w:val="00780B57"/>
    <w:rsid w:val="00783C38"/>
    <w:rsid w:val="0078605C"/>
    <w:rsid w:val="00790449"/>
    <w:rsid w:val="0079112C"/>
    <w:rsid w:val="007916C2"/>
    <w:rsid w:val="00791ECF"/>
    <w:rsid w:val="00792116"/>
    <w:rsid w:val="00793FB5"/>
    <w:rsid w:val="007942D7"/>
    <w:rsid w:val="00794708"/>
    <w:rsid w:val="007958AA"/>
    <w:rsid w:val="00795B6B"/>
    <w:rsid w:val="00797066"/>
    <w:rsid w:val="007A0B4D"/>
    <w:rsid w:val="007A0FB6"/>
    <w:rsid w:val="007A1B4D"/>
    <w:rsid w:val="007A2DD1"/>
    <w:rsid w:val="007A3202"/>
    <w:rsid w:val="007A7B05"/>
    <w:rsid w:val="007A7E74"/>
    <w:rsid w:val="007B00CE"/>
    <w:rsid w:val="007B03ED"/>
    <w:rsid w:val="007B27D6"/>
    <w:rsid w:val="007B4FDE"/>
    <w:rsid w:val="007C07AA"/>
    <w:rsid w:val="007C1067"/>
    <w:rsid w:val="007C32E7"/>
    <w:rsid w:val="007C44A1"/>
    <w:rsid w:val="007C5041"/>
    <w:rsid w:val="007C7016"/>
    <w:rsid w:val="007C7257"/>
    <w:rsid w:val="007C7C67"/>
    <w:rsid w:val="007D01F0"/>
    <w:rsid w:val="007D29E2"/>
    <w:rsid w:val="007D4A7E"/>
    <w:rsid w:val="007D4D60"/>
    <w:rsid w:val="007D5657"/>
    <w:rsid w:val="007D62E7"/>
    <w:rsid w:val="007D63FE"/>
    <w:rsid w:val="007D7FAF"/>
    <w:rsid w:val="007E0565"/>
    <w:rsid w:val="007E2032"/>
    <w:rsid w:val="007E27B3"/>
    <w:rsid w:val="007E48AE"/>
    <w:rsid w:val="007E6D21"/>
    <w:rsid w:val="007E7C73"/>
    <w:rsid w:val="007F45B0"/>
    <w:rsid w:val="007F4A03"/>
    <w:rsid w:val="007F63EB"/>
    <w:rsid w:val="007F7203"/>
    <w:rsid w:val="007F73F3"/>
    <w:rsid w:val="008009B9"/>
    <w:rsid w:val="008023B3"/>
    <w:rsid w:val="00803692"/>
    <w:rsid w:val="008042B5"/>
    <w:rsid w:val="0080558A"/>
    <w:rsid w:val="008074E4"/>
    <w:rsid w:val="008076D9"/>
    <w:rsid w:val="00811203"/>
    <w:rsid w:val="0081145D"/>
    <w:rsid w:val="00812DFF"/>
    <w:rsid w:val="00814268"/>
    <w:rsid w:val="008147E0"/>
    <w:rsid w:val="00814DEA"/>
    <w:rsid w:val="00815A6C"/>
    <w:rsid w:val="00816269"/>
    <w:rsid w:val="00817B4D"/>
    <w:rsid w:val="008210F5"/>
    <w:rsid w:val="008223A2"/>
    <w:rsid w:val="0082258A"/>
    <w:rsid w:val="008248A9"/>
    <w:rsid w:val="00824F11"/>
    <w:rsid w:val="0082712D"/>
    <w:rsid w:val="00827DDA"/>
    <w:rsid w:val="00830BB3"/>
    <w:rsid w:val="00831500"/>
    <w:rsid w:val="008317BB"/>
    <w:rsid w:val="00831DDA"/>
    <w:rsid w:val="00832228"/>
    <w:rsid w:val="00832337"/>
    <w:rsid w:val="008336BB"/>
    <w:rsid w:val="00836038"/>
    <w:rsid w:val="00837D08"/>
    <w:rsid w:val="0084085A"/>
    <w:rsid w:val="008416CA"/>
    <w:rsid w:val="008418AB"/>
    <w:rsid w:val="00845CA7"/>
    <w:rsid w:val="00846491"/>
    <w:rsid w:val="0084652D"/>
    <w:rsid w:val="00847599"/>
    <w:rsid w:val="00847C08"/>
    <w:rsid w:val="00850B60"/>
    <w:rsid w:val="0085125C"/>
    <w:rsid w:val="008536E3"/>
    <w:rsid w:val="00854E80"/>
    <w:rsid w:val="00855413"/>
    <w:rsid w:val="00855D71"/>
    <w:rsid w:val="0086035C"/>
    <w:rsid w:val="008604BA"/>
    <w:rsid w:val="00861F26"/>
    <w:rsid w:val="008621CD"/>
    <w:rsid w:val="0086242B"/>
    <w:rsid w:val="00862837"/>
    <w:rsid w:val="00862FB0"/>
    <w:rsid w:val="008635D5"/>
    <w:rsid w:val="00863662"/>
    <w:rsid w:val="00863BB0"/>
    <w:rsid w:val="00864724"/>
    <w:rsid w:val="00864C7E"/>
    <w:rsid w:val="00866145"/>
    <w:rsid w:val="00867354"/>
    <w:rsid w:val="00870FF8"/>
    <w:rsid w:val="00871440"/>
    <w:rsid w:val="00873090"/>
    <w:rsid w:val="00873225"/>
    <w:rsid w:val="00873466"/>
    <w:rsid w:val="00874C05"/>
    <w:rsid w:val="00874E51"/>
    <w:rsid w:val="00875B15"/>
    <w:rsid w:val="00880460"/>
    <w:rsid w:val="00881B74"/>
    <w:rsid w:val="008820F9"/>
    <w:rsid w:val="008826F1"/>
    <w:rsid w:val="00885922"/>
    <w:rsid w:val="00887BDC"/>
    <w:rsid w:val="00890628"/>
    <w:rsid w:val="00892983"/>
    <w:rsid w:val="00893044"/>
    <w:rsid w:val="00893101"/>
    <w:rsid w:val="00895187"/>
    <w:rsid w:val="00896131"/>
    <w:rsid w:val="00896E26"/>
    <w:rsid w:val="008973FB"/>
    <w:rsid w:val="008979A2"/>
    <w:rsid w:val="008A0E9D"/>
    <w:rsid w:val="008A2294"/>
    <w:rsid w:val="008A2A66"/>
    <w:rsid w:val="008A6454"/>
    <w:rsid w:val="008B02B9"/>
    <w:rsid w:val="008B13DB"/>
    <w:rsid w:val="008B369D"/>
    <w:rsid w:val="008B3BAC"/>
    <w:rsid w:val="008B4471"/>
    <w:rsid w:val="008B469B"/>
    <w:rsid w:val="008B4D18"/>
    <w:rsid w:val="008B5184"/>
    <w:rsid w:val="008B5756"/>
    <w:rsid w:val="008B688F"/>
    <w:rsid w:val="008B6B34"/>
    <w:rsid w:val="008B70B1"/>
    <w:rsid w:val="008B70B4"/>
    <w:rsid w:val="008C06C6"/>
    <w:rsid w:val="008C07A4"/>
    <w:rsid w:val="008C112F"/>
    <w:rsid w:val="008C12E6"/>
    <w:rsid w:val="008C21C3"/>
    <w:rsid w:val="008C3ABA"/>
    <w:rsid w:val="008C449F"/>
    <w:rsid w:val="008C6900"/>
    <w:rsid w:val="008D0A63"/>
    <w:rsid w:val="008D0D1A"/>
    <w:rsid w:val="008D1EA1"/>
    <w:rsid w:val="008D2C61"/>
    <w:rsid w:val="008D3141"/>
    <w:rsid w:val="008D31AF"/>
    <w:rsid w:val="008D3969"/>
    <w:rsid w:val="008D4620"/>
    <w:rsid w:val="008D663B"/>
    <w:rsid w:val="008D6E61"/>
    <w:rsid w:val="008D785F"/>
    <w:rsid w:val="008E055E"/>
    <w:rsid w:val="008E0B07"/>
    <w:rsid w:val="008E0E75"/>
    <w:rsid w:val="008E2524"/>
    <w:rsid w:val="008E48B3"/>
    <w:rsid w:val="008E5DC6"/>
    <w:rsid w:val="008E7A04"/>
    <w:rsid w:val="008E7EEA"/>
    <w:rsid w:val="008F50C0"/>
    <w:rsid w:val="008F6DE1"/>
    <w:rsid w:val="00901C76"/>
    <w:rsid w:val="009020AE"/>
    <w:rsid w:val="0090231B"/>
    <w:rsid w:val="009051F0"/>
    <w:rsid w:val="0090521C"/>
    <w:rsid w:val="00905CA4"/>
    <w:rsid w:val="00906670"/>
    <w:rsid w:val="00906FCB"/>
    <w:rsid w:val="009071A0"/>
    <w:rsid w:val="00907BA5"/>
    <w:rsid w:val="0091202C"/>
    <w:rsid w:val="00912915"/>
    <w:rsid w:val="00912FBB"/>
    <w:rsid w:val="009160D9"/>
    <w:rsid w:val="00916BCA"/>
    <w:rsid w:val="009172A8"/>
    <w:rsid w:val="00917F21"/>
    <w:rsid w:val="00920530"/>
    <w:rsid w:val="0092120D"/>
    <w:rsid w:val="009221B7"/>
    <w:rsid w:val="009229A1"/>
    <w:rsid w:val="00923FA8"/>
    <w:rsid w:val="00925822"/>
    <w:rsid w:val="00926C88"/>
    <w:rsid w:val="00926DE0"/>
    <w:rsid w:val="0092798E"/>
    <w:rsid w:val="00927B32"/>
    <w:rsid w:val="0093077B"/>
    <w:rsid w:val="00930DE8"/>
    <w:rsid w:val="009315DB"/>
    <w:rsid w:val="00931BAD"/>
    <w:rsid w:val="00932077"/>
    <w:rsid w:val="00933FB8"/>
    <w:rsid w:val="0093600F"/>
    <w:rsid w:val="0093618C"/>
    <w:rsid w:val="00936CB1"/>
    <w:rsid w:val="009418C9"/>
    <w:rsid w:val="00941D51"/>
    <w:rsid w:val="009434B2"/>
    <w:rsid w:val="00943B7A"/>
    <w:rsid w:val="00944D83"/>
    <w:rsid w:val="00944EC8"/>
    <w:rsid w:val="0094631B"/>
    <w:rsid w:val="00946C0F"/>
    <w:rsid w:val="0095061F"/>
    <w:rsid w:val="00950DC6"/>
    <w:rsid w:val="00951530"/>
    <w:rsid w:val="00957770"/>
    <w:rsid w:val="0096126D"/>
    <w:rsid w:val="0096131B"/>
    <w:rsid w:val="00962D5A"/>
    <w:rsid w:val="00965907"/>
    <w:rsid w:val="00965F42"/>
    <w:rsid w:val="00966940"/>
    <w:rsid w:val="009703F3"/>
    <w:rsid w:val="00970E84"/>
    <w:rsid w:val="00972655"/>
    <w:rsid w:val="00972CA3"/>
    <w:rsid w:val="00973457"/>
    <w:rsid w:val="00973AA5"/>
    <w:rsid w:val="00973F2C"/>
    <w:rsid w:val="00975DE9"/>
    <w:rsid w:val="00980458"/>
    <w:rsid w:val="00981259"/>
    <w:rsid w:val="00982DA0"/>
    <w:rsid w:val="00982E14"/>
    <w:rsid w:val="0098329C"/>
    <w:rsid w:val="0098341E"/>
    <w:rsid w:val="00983580"/>
    <w:rsid w:val="00984C1A"/>
    <w:rsid w:val="00984E6E"/>
    <w:rsid w:val="00985BFA"/>
    <w:rsid w:val="00986B1F"/>
    <w:rsid w:val="009903AE"/>
    <w:rsid w:val="0099124E"/>
    <w:rsid w:val="00992054"/>
    <w:rsid w:val="00994787"/>
    <w:rsid w:val="00994833"/>
    <w:rsid w:val="00994902"/>
    <w:rsid w:val="00994956"/>
    <w:rsid w:val="00997625"/>
    <w:rsid w:val="00997BD1"/>
    <w:rsid w:val="00997F5C"/>
    <w:rsid w:val="009A0410"/>
    <w:rsid w:val="009A249D"/>
    <w:rsid w:val="009A29D5"/>
    <w:rsid w:val="009A3162"/>
    <w:rsid w:val="009A31DA"/>
    <w:rsid w:val="009A40C0"/>
    <w:rsid w:val="009A45D9"/>
    <w:rsid w:val="009A4901"/>
    <w:rsid w:val="009A4BEE"/>
    <w:rsid w:val="009B0584"/>
    <w:rsid w:val="009B0A8A"/>
    <w:rsid w:val="009B1CB2"/>
    <w:rsid w:val="009B26A3"/>
    <w:rsid w:val="009B3601"/>
    <w:rsid w:val="009B3FA8"/>
    <w:rsid w:val="009B5C4A"/>
    <w:rsid w:val="009B5FC2"/>
    <w:rsid w:val="009B6972"/>
    <w:rsid w:val="009B6986"/>
    <w:rsid w:val="009C186E"/>
    <w:rsid w:val="009C3473"/>
    <w:rsid w:val="009C6E10"/>
    <w:rsid w:val="009C782F"/>
    <w:rsid w:val="009D16C2"/>
    <w:rsid w:val="009D1E5C"/>
    <w:rsid w:val="009D2570"/>
    <w:rsid w:val="009D305E"/>
    <w:rsid w:val="009D3FB4"/>
    <w:rsid w:val="009D6A17"/>
    <w:rsid w:val="009D6B92"/>
    <w:rsid w:val="009E161B"/>
    <w:rsid w:val="009E2511"/>
    <w:rsid w:val="009E5402"/>
    <w:rsid w:val="009E593F"/>
    <w:rsid w:val="009F15B3"/>
    <w:rsid w:val="009F5B13"/>
    <w:rsid w:val="009F6297"/>
    <w:rsid w:val="009F6345"/>
    <w:rsid w:val="009F7267"/>
    <w:rsid w:val="00A00CD0"/>
    <w:rsid w:val="00A03443"/>
    <w:rsid w:val="00A0357A"/>
    <w:rsid w:val="00A0645B"/>
    <w:rsid w:val="00A06894"/>
    <w:rsid w:val="00A06B6E"/>
    <w:rsid w:val="00A07391"/>
    <w:rsid w:val="00A115DB"/>
    <w:rsid w:val="00A11C22"/>
    <w:rsid w:val="00A11DE4"/>
    <w:rsid w:val="00A128D1"/>
    <w:rsid w:val="00A139CB"/>
    <w:rsid w:val="00A1446E"/>
    <w:rsid w:val="00A15864"/>
    <w:rsid w:val="00A172CF"/>
    <w:rsid w:val="00A174F9"/>
    <w:rsid w:val="00A17A05"/>
    <w:rsid w:val="00A223FA"/>
    <w:rsid w:val="00A25782"/>
    <w:rsid w:val="00A2680B"/>
    <w:rsid w:val="00A26EBE"/>
    <w:rsid w:val="00A272DC"/>
    <w:rsid w:val="00A307AE"/>
    <w:rsid w:val="00A3101D"/>
    <w:rsid w:val="00A367F4"/>
    <w:rsid w:val="00A37355"/>
    <w:rsid w:val="00A37B5C"/>
    <w:rsid w:val="00A37C76"/>
    <w:rsid w:val="00A400CF"/>
    <w:rsid w:val="00A4042A"/>
    <w:rsid w:val="00A42CEE"/>
    <w:rsid w:val="00A43867"/>
    <w:rsid w:val="00A439BF"/>
    <w:rsid w:val="00A44AB1"/>
    <w:rsid w:val="00A45EF4"/>
    <w:rsid w:val="00A471F6"/>
    <w:rsid w:val="00A5323B"/>
    <w:rsid w:val="00A53314"/>
    <w:rsid w:val="00A54913"/>
    <w:rsid w:val="00A54AC2"/>
    <w:rsid w:val="00A54BDC"/>
    <w:rsid w:val="00A556EB"/>
    <w:rsid w:val="00A564CE"/>
    <w:rsid w:val="00A574DA"/>
    <w:rsid w:val="00A61047"/>
    <w:rsid w:val="00A61CA9"/>
    <w:rsid w:val="00A6428D"/>
    <w:rsid w:val="00A67768"/>
    <w:rsid w:val="00A67D30"/>
    <w:rsid w:val="00A70FEB"/>
    <w:rsid w:val="00A71632"/>
    <w:rsid w:val="00A716F0"/>
    <w:rsid w:val="00A71A9D"/>
    <w:rsid w:val="00A72D66"/>
    <w:rsid w:val="00A738C3"/>
    <w:rsid w:val="00A739AA"/>
    <w:rsid w:val="00A73F88"/>
    <w:rsid w:val="00A75057"/>
    <w:rsid w:val="00A75810"/>
    <w:rsid w:val="00A75833"/>
    <w:rsid w:val="00A761E5"/>
    <w:rsid w:val="00A800EF"/>
    <w:rsid w:val="00A80C22"/>
    <w:rsid w:val="00A831DA"/>
    <w:rsid w:val="00A83523"/>
    <w:rsid w:val="00A84039"/>
    <w:rsid w:val="00A87DF0"/>
    <w:rsid w:val="00A913CA"/>
    <w:rsid w:val="00A91B2A"/>
    <w:rsid w:val="00A92536"/>
    <w:rsid w:val="00A92E61"/>
    <w:rsid w:val="00A93B4E"/>
    <w:rsid w:val="00A93B7E"/>
    <w:rsid w:val="00A94D1D"/>
    <w:rsid w:val="00A97431"/>
    <w:rsid w:val="00A975C9"/>
    <w:rsid w:val="00AA1D74"/>
    <w:rsid w:val="00AA5CB0"/>
    <w:rsid w:val="00AA67F5"/>
    <w:rsid w:val="00AA747F"/>
    <w:rsid w:val="00AB09EC"/>
    <w:rsid w:val="00AB268D"/>
    <w:rsid w:val="00AB515F"/>
    <w:rsid w:val="00AB56AF"/>
    <w:rsid w:val="00AB576E"/>
    <w:rsid w:val="00AB76DE"/>
    <w:rsid w:val="00AC01E6"/>
    <w:rsid w:val="00AC30D7"/>
    <w:rsid w:val="00AC3EDF"/>
    <w:rsid w:val="00AC4FAF"/>
    <w:rsid w:val="00AC546F"/>
    <w:rsid w:val="00AC5A0A"/>
    <w:rsid w:val="00AC62B5"/>
    <w:rsid w:val="00AC7BAD"/>
    <w:rsid w:val="00AD0264"/>
    <w:rsid w:val="00AD0D4E"/>
    <w:rsid w:val="00AD107D"/>
    <w:rsid w:val="00AD1E83"/>
    <w:rsid w:val="00AD28C4"/>
    <w:rsid w:val="00AD2FC9"/>
    <w:rsid w:val="00AD321C"/>
    <w:rsid w:val="00AD32B5"/>
    <w:rsid w:val="00AD5570"/>
    <w:rsid w:val="00AD7EE5"/>
    <w:rsid w:val="00AE03D2"/>
    <w:rsid w:val="00AE0C54"/>
    <w:rsid w:val="00AE3B26"/>
    <w:rsid w:val="00AF29C3"/>
    <w:rsid w:val="00AF3B03"/>
    <w:rsid w:val="00AF5044"/>
    <w:rsid w:val="00AF635E"/>
    <w:rsid w:val="00B018DB"/>
    <w:rsid w:val="00B02338"/>
    <w:rsid w:val="00B0776D"/>
    <w:rsid w:val="00B07D58"/>
    <w:rsid w:val="00B101D5"/>
    <w:rsid w:val="00B12FA7"/>
    <w:rsid w:val="00B140F9"/>
    <w:rsid w:val="00B14394"/>
    <w:rsid w:val="00B14E22"/>
    <w:rsid w:val="00B154BD"/>
    <w:rsid w:val="00B1618D"/>
    <w:rsid w:val="00B164D5"/>
    <w:rsid w:val="00B20BA7"/>
    <w:rsid w:val="00B23B95"/>
    <w:rsid w:val="00B30575"/>
    <w:rsid w:val="00B30BF3"/>
    <w:rsid w:val="00B30CA3"/>
    <w:rsid w:val="00B30D63"/>
    <w:rsid w:val="00B312BB"/>
    <w:rsid w:val="00B31F2B"/>
    <w:rsid w:val="00B31F56"/>
    <w:rsid w:val="00B32D28"/>
    <w:rsid w:val="00B34B20"/>
    <w:rsid w:val="00B35577"/>
    <w:rsid w:val="00B364C4"/>
    <w:rsid w:val="00B40800"/>
    <w:rsid w:val="00B428D4"/>
    <w:rsid w:val="00B42DDE"/>
    <w:rsid w:val="00B444D1"/>
    <w:rsid w:val="00B51862"/>
    <w:rsid w:val="00B52E98"/>
    <w:rsid w:val="00B53C0E"/>
    <w:rsid w:val="00B53D6A"/>
    <w:rsid w:val="00B53FE4"/>
    <w:rsid w:val="00B5467A"/>
    <w:rsid w:val="00B576BC"/>
    <w:rsid w:val="00B60AD6"/>
    <w:rsid w:val="00B61E5C"/>
    <w:rsid w:val="00B61F86"/>
    <w:rsid w:val="00B61FD3"/>
    <w:rsid w:val="00B64B17"/>
    <w:rsid w:val="00B64FEA"/>
    <w:rsid w:val="00B652BA"/>
    <w:rsid w:val="00B653FD"/>
    <w:rsid w:val="00B6588F"/>
    <w:rsid w:val="00B65E93"/>
    <w:rsid w:val="00B6615F"/>
    <w:rsid w:val="00B6664B"/>
    <w:rsid w:val="00B722EA"/>
    <w:rsid w:val="00B7327B"/>
    <w:rsid w:val="00B735D7"/>
    <w:rsid w:val="00B73C61"/>
    <w:rsid w:val="00B746FF"/>
    <w:rsid w:val="00B76D64"/>
    <w:rsid w:val="00B81E74"/>
    <w:rsid w:val="00B82CA0"/>
    <w:rsid w:val="00B83A33"/>
    <w:rsid w:val="00B8552A"/>
    <w:rsid w:val="00B85C12"/>
    <w:rsid w:val="00B86837"/>
    <w:rsid w:val="00B900D1"/>
    <w:rsid w:val="00B90946"/>
    <w:rsid w:val="00B91896"/>
    <w:rsid w:val="00B9319F"/>
    <w:rsid w:val="00B939D8"/>
    <w:rsid w:val="00B97AF6"/>
    <w:rsid w:val="00BA0754"/>
    <w:rsid w:val="00BA0F4A"/>
    <w:rsid w:val="00BA122E"/>
    <w:rsid w:val="00BA188F"/>
    <w:rsid w:val="00BA4579"/>
    <w:rsid w:val="00BA498B"/>
    <w:rsid w:val="00BA5AE4"/>
    <w:rsid w:val="00BA5FB6"/>
    <w:rsid w:val="00BB2208"/>
    <w:rsid w:val="00BB26EE"/>
    <w:rsid w:val="00BB2ED1"/>
    <w:rsid w:val="00BB3447"/>
    <w:rsid w:val="00BB6659"/>
    <w:rsid w:val="00BB6A3A"/>
    <w:rsid w:val="00BB6F4B"/>
    <w:rsid w:val="00BC259B"/>
    <w:rsid w:val="00BC34F8"/>
    <w:rsid w:val="00BC4AA2"/>
    <w:rsid w:val="00BC666D"/>
    <w:rsid w:val="00BC7836"/>
    <w:rsid w:val="00BD0C3E"/>
    <w:rsid w:val="00BD0FE5"/>
    <w:rsid w:val="00BD3279"/>
    <w:rsid w:val="00BD3C33"/>
    <w:rsid w:val="00BD50E4"/>
    <w:rsid w:val="00BD60EC"/>
    <w:rsid w:val="00BD6765"/>
    <w:rsid w:val="00BD6DFD"/>
    <w:rsid w:val="00BD6F5B"/>
    <w:rsid w:val="00BD7434"/>
    <w:rsid w:val="00BD7813"/>
    <w:rsid w:val="00BD7E1F"/>
    <w:rsid w:val="00BD7E54"/>
    <w:rsid w:val="00BE1FEF"/>
    <w:rsid w:val="00BE22A4"/>
    <w:rsid w:val="00BE390C"/>
    <w:rsid w:val="00BE48D7"/>
    <w:rsid w:val="00BE58CE"/>
    <w:rsid w:val="00BE600C"/>
    <w:rsid w:val="00BF2304"/>
    <w:rsid w:val="00BF2385"/>
    <w:rsid w:val="00BF33C1"/>
    <w:rsid w:val="00BF37F9"/>
    <w:rsid w:val="00BF3E81"/>
    <w:rsid w:val="00BF50C0"/>
    <w:rsid w:val="00BF55B8"/>
    <w:rsid w:val="00BF56A7"/>
    <w:rsid w:val="00BF5F5B"/>
    <w:rsid w:val="00BF6A45"/>
    <w:rsid w:val="00C01E01"/>
    <w:rsid w:val="00C02894"/>
    <w:rsid w:val="00C03489"/>
    <w:rsid w:val="00C04153"/>
    <w:rsid w:val="00C04307"/>
    <w:rsid w:val="00C050DA"/>
    <w:rsid w:val="00C054D9"/>
    <w:rsid w:val="00C06ADE"/>
    <w:rsid w:val="00C07835"/>
    <w:rsid w:val="00C1045F"/>
    <w:rsid w:val="00C10595"/>
    <w:rsid w:val="00C10D34"/>
    <w:rsid w:val="00C114BE"/>
    <w:rsid w:val="00C12B9E"/>
    <w:rsid w:val="00C12EE8"/>
    <w:rsid w:val="00C13546"/>
    <w:rsid w:val="00C13766"/>
    <w:rsid w:val="00C1546E"/>
    <w:rsid w:val="00C15752"/>
    <w:rsid w:val="00C1601A"/>
    <w:rsid w:val="00C16350"/>
    <w:rsid w:val="00C16BE6"/>
    <w:rsid w:val="00C17616"/>
    <w:rsid w:val="00C17C8C"/>
    <w:rsid w:val="00C2488D"/>
    <w:rsid w:val="00C26112"/>
    <w:rsid w:val="00C26341"/>
    <w:rsid w:val="00C279BE"/>
    <w:rsid w:val="00C32644"/>
    <w:rsid w:val="00C32C81"/>
    <w:rsid w:val="00C32FE9"/>
    <w:rsid w:val="00C34308"/>
    <w:rsid w:val="00C34DAA"/>
    <w:rsid w:val="00C3591B"/>
    <w:rsid w:val="00C402AC"/>
    <w:rsid w:val="00C425FE"/>
    <w:rsid w:val="00C42785"/>
    <w:rsid w:val="00C43563"/>
    <w:rsid w:val="00C438D7"/>
    <w:rsid w:val="00C46120"/>
    <w:rsid w:val="00C479A7"/>
    <w:rsid w:val="00C510BB"/>
    <w:rsid w:val="00C518FB"/>
    <w:rsid w:val="00C528D0"/>
    <w:rsid w:val="00C53848"/>
    <w:rsid w:val="00C5626C"/>
    <w:rsid w:val="00C56399"/>
    <w:rsid w:val="00C57C71"/>
    <w:rsid w:val="00C60CCE"/>
    <w:rsid w:val="00C610B9"/>
    <w:rsid w:val="00C61A88"/>
    <w:rsid w:val="00C6348C"/>
    <w:rsid w:val="00C63C3D"/>
    <w:rsid w:val="00C65D8B"/>
    <w:rsid w:val="00C66076"/>
    <w:rsid w:val="00C675A2"/>
    <w:rsid w:val="00C67F80"/>
    <w:rsid w:val="00C716D6"/>
    <w:rsid w:val="00C73E41"/>
    <w:rsid w:val="00C73EF6"/>
    <w:rsid w:val="00C771CE"/>
    <w:rsid w:val="00C77224"/>
    <w:rsid w:val="00C80624"/>
    <w:rsid w:val="00C812D7"/>
    <w:rsid w:val="00C8147E"/>
    <w:rsid w:val="00C8195E"/>
    <w:rsid w:val="00C82D62"/>
    <w:rsid w:val="00C84B88"/>
    <w:rsid w:val="00C85004"/>
    <w:rsid w:val="00C86645"/>
    <w:rsid w:val="00C872E8"/>
    <w:rsid w:val="00C87DB8"/>
    <w:rsid w:val="00C910BA"/>
    <w:rsid w:val="00C911E5"/>
    <w:rsid w:val="00C93C13"/>
    <w:rsid w:val="00C957A0"/>
    <w:rsid w:val="00C97080"/>
    <w:rsid w:val="00CA2E2E"/>
    <w:rsid w:val="00CA3D95"/>
    <w:rsid w:val="00CA6D0E"/>
    <w:rsid w:val="00CA7741"/>
    <w:rsid w:val="00CB0088"/>
    <w:rsid w:val="00CB1DCF"/>
    <w:rsid w:val="00CB2046"/>
    <w:rsid w:val="00CB3976"/>
    <w:rsid w:val="00CB486D"/>
    <w:rsid w:val="00CB5C3E"/>
    <w:rsid w:val="00CB7781"/>
    <w:rsid w:val="00CB7C59"/>
    <w:rsid w:val="00CB7EA7"/>
    <w:rsid w:val="00CC354E"/>
    <w:rsid w:val="00CC42F8"/>
    <w:rsid w:val="00CC4F91"/>
    <w:rsid w:val="00CC5757"/>
    <w:rsid w:val="00CC6F47"/>
    <w:rsid w:val="00CD17C0"/>
    <w:rsid w:val="00CD2882"/>
    <w:rsid w:val="00CD37CD"/>
    <w:rsid w:val="00CD4D2F"/>
    <w:rsid w:val="00CD724C"/>
    <w:rsid w:val="00CD7E40"/>
    <w:rsid w:val="00CE301C"/>
    <w:rsid w:val="00CE407B"/>
    <w:rsid w:val="00CE4ACE"/>
    <w:rsid w:val="00CE522F"/>
    <w:rsid w:val="00CE59A9"/>
    <w:rsid w:val="00CE5E25"/>
    <w:rsid w:val="00CF06C6"/>
    <w:rsid w:val="00CF1931"/>
    <w:rsid w:val="00CF57D5"/>
    <w:rsid w:val="00D00EB0"/>
    <w:rsid w:val="00D036FB"/>
    <w:rsid w:val="00D10B8C"/>
    <w:rsid w:val="00D1256A"/>
    <w:rsid w:val="00D12756"/>
    <w:rsid w:val="00D13EF2"/>
    <w:rsid w:val="00D13EF4"/>
    <w:rsid w:val="00D14295"/>
    <w:rsid w:val="00D16B3F"/>
    <w:rsid w:val="00D17629"/>
    <w:rsid w:val="00D217A6"/>
    <w:rsid w:val="00D21D02"/>
    <w:rsid w:val="00D222C6"/>
    <w:rsid w:val="00D23970"/>
    <w:rsid w:val="00D245E4"/>
    <w:rsid w:val="00D249F0"/>
    <w:rsid w:val="00D27A90"/>
    <w:rsid w:val="00D30DC0"/>
    <w:rsid w:val="00D33CDA"/>
    <w:rsid w:val="00D357F4"/>
    <w:rsid w:val="00D37F53"/>
    <w:rsid w:val="00D41C21"/>
    <w:rsid w:val="00D424CE"/>
    <w:rsid w:val="00D43E68"/>
    <w:rsid w:val="00D43E99"/>
    <w:rsid w:val="00D5041C"/>
    <w:rsid w:val="00D506A9"/>
    <w:rsid w:val="00D519F2"/>
    <w:rsid w:val="00D5512E"/>
    <w:rsid w:val="00D554C9"/>
    <w:rsid w:val="00D55928"/>
    <w:rsid w:val="00D55DD2"/>
    <w:rsid w:val="00D60A21"/>
    <w:rsid w:val="00D61547"/>
    <w:rsid w:val="00D62FBD"/>
    <w:rsid w:val="00D6389D"/>
    <w:rsid w:val="00D63B3C"/>
    <w:rsid w:val="00D63B68"/>
    <w:rsid w:val="00D641EB"/>
    <w:rsid w:val="00D65B0B"/>
    <w:rsid w:val="00D6619A"/>
    <w:rsid w:val="00D66D6C"/>
    <w:rsid w:val="00D71D83"/>
    <w:rsid w:val="00D72277"/>
    <w:rsid w:val="00D7267A"/>
    <w:rsid w:val="00D74B18"/>
    <w:rsid w:val="00D74D59"/>
    <w:rsid w:val="00D769B3"/>
    <w:rsid w:val="00D7787B"/>
    <w:rsid w:val="00D77D73"/>
    <w:rsid w:val="00D808E3"/>
    <w:rsid w:val="00D81BC6"/>
    <w:rsid w:val="00D81BDF"/>
    <w:rsid w:val="00D83B8D"/>
    <w:rsid w:val="00D85837"/>
    <w:rsid w:val="00D85A48"/>
    <w:rsid w:val="00D86B24"/>
    <w:rsid w:val="00D90D1E"/>
    <w:rsid w:val="00D91EF5"/>
    <w:rsid w:val="00D92323"/>
    <w:rsid w:val="00D9240C"/>
    <w:rsid w:val="00D92CA4"/>
    <w:rsid w:val="00D92DAB"/>
    <w:rsid w:val="00D92EBD"/>
    <w:rsid w:val="00D92FE9"/>
    <w:rsid w:val="00D93056"/>
    <w:rsid w:val="00D95C2C"/>
    <w:rsid w:val="00D9615E"/>
    <w:rsid w:val="00D979FD"/>
    <w:rsid w:val="00DA305A"/>
    <w:rsid w:val="00DA3BD5"/>
    <w:rsid w:val="00DA3D3E"/>
    <w:rsid w:val="00DB00D2"/>
    <w:rsid w:val="00DB0E4D"/>
    <w:rsid w:val="00DB1EE2"/>
    <w:rsid w:val="00DB22E7"/>
    <w:rsid w:val="00DB5603"/>
    <w:rsid w:val="00DB69FF"/>
    <w:rsid w:val="00DB6D6A"/>
    <w:rsid w:val="00DC1DE0"/>
    <w:rsid w:val="00DC2D34"/>
    <w:rsid w:val="00DC47C7"/>
    <w:rsid w:val="00DC53BF"/>
    <w:rsid w:val="00DC7411"/>
    <w:rsid w:val="00DD1690"/>
    <w:rsid w:val="00DD33BE"/>
    <w:rsid w:val="00DD3E06"/>
    <w:rsid w:val="00DD59F9"/>
    <w:rsid w:val="00DD6D09"/>
    <w:rsid w:val="00DE3E6D"/>
    <w:rsid w:val="00DE5B2F"/>
    <w:rsid w:val="00DE6C1B"/>
    <w:rsid w:val="00DF06F3"/>
    <w:rsid w:val="00DF2A33"/>
    <w:rsid w:val="00DF2B2B"/>
    <w:rsid w:val="00DF3E9C"/>
    <w:rsid w:val="00DF5544"/>
    <w:rsid w:val="00DF6752"/>
    <w:rsid w:val="00DF7E90"/>
    <w:rsid w:val="00E0010A"/>
    <w:rsid w:val="00E00686"/>
    <w:rsid w:val="00E00FCE"/>
    <w:rsid w:val="00E013CE"/>
    <w:rsid w:val="00E014A1"/>
    <w:rsid w:val="00E02300"/>
    <w:rsid w:val="00E030F1"/>
    <w:rsid w:val="00E0352B"/>
    <w:rsid w:val="00E0388A"/>
    <w:rsid w:val="00E049F5"/>
    <w:rsid w:val="00E05B18"/>
    <w:rsid w:val="00E05C94"/>
    <w:rsid w:val="00E0662A"/>
    <w:rsid w:val="00E07BBC"/>
    <w:rsid w:val="00E10895"/>
    <w:rsid w:val="00E11606"/>
    <w:rsid w:val="00E1234F"/>
    <w:rsid w:val="00E12BE9"/>
    <w:rsid w:val="00E15513"/>
    <w:rsid w:val="00E15F5A"/>
    <w:rsid w:val="00E16F7F"/>
    <w:rsid w:val="00E23AAC"/>
    <w:rsid w:val="00E253FB"/>
    <w:rsid w:val="00E26D31"/>
    <w:rsid w:val="00E27517"/>
    <w:rsid w:val="00E27728"/>
    <w:rsid w:val="00E30F32"/>
    <w:rsid w:val="00E31FD0"/>
    <w:rsid w:val="00E32121"/>
    <w:rsid w:val="00E32E80"/>
    <w:rsid w:val="00E33D77"/>
    <w:rsid w:val="00E36904"/>
    <w:rsid w:val="00E41220"/>
    <w:rsid w:val="00E416B4"/>
    <w:rsid w:val="00E417F5"/>
    <w:rsid w:val="00E41E2D"/>
    <w:rsid w:val="00E43045"/>
    <w:rsid w:val="00E432DF"/>
    <w:rsid w:val="00E4360A"/>
    <w:rsid w:val="00E46654"/>
    <w:rsid w:val="00E4771C"/>
    <w:rsid w:val="00E512E4"/>
    <w:rsid w:val="00E5142B"/>
    <w:rsid w:val="00E52C88"/>
    <w:rsid w:val="00E56013"/>
    <w:rsid w:val="00E560AB"/>
    <w:rsid w:val="00E6373C"/>
    <w:rsid w:val="00E64464"/>
    <w:rsid w:val="00E64FFE"/>
    <w:rsid w:val="00E6738F"/>
    <w:rsid w:val="00E67CB6"/>
    <w:rsid w:val="00E732E0"/>
    <w:rsid w:val="00E84E14"/>
    <w:rsid w:val="00E85AD4"/>
    <w:rsid w:val="00E870D3"/>
    <w:rsid w:val="00E90ADB"/>
    <w:rsid w:val="00E9239F"/>
    <w:rsid w:val="00E935C0"/>
    <w:rsid w:val="00E96314"/>
    <w:rsid w:val="00E9658C"/>
    <w:rsid w:val="00E96A0A"/>
    <w:rsid w:val="00E9728C"/>
    <w:rsid w:val="00EA047B"/>
    <w:rsid w:val="00EA0BE7"/>
    <w:rsid w:val="00EA0EA2"/>
    <w:rsid w:val="00EA1867"/>
    <w:rsid w:val="00EA19C0"/>
    <w:rsid w:val="00EA225A"/>
    <w:rsid w:val="00EA3565"/>
    <w:rsid w:val="00EA497C"/>
    <w:rsid w:val="00EA5575"/>
    <w:rsid w:val="00EA615F"/>
    <w:rsid w:val="00EA674A"/>
    <w:rsid w:val="00EB0552"/>
    <w:rsid w:val="00EB0BC8"/>
    <w:rsid w:val="00EB123A"/>
    <w:rsid w:val="00EB1284"/>
    <w:rsid w:val="00EB1AF3"/>
    <w:rsid w:val="00EB1BBC"/>
    <w:rsid w:val="00EB2712"/>
    <w:rsid w:val="00EB4DAC"/>
    <w:rsid w:val="00EB53F9"/>
    <w:rsid w:val="00EB6DFF"/>
    <w:rsid w:val="00EC019A"/>
    <w:rsid w:val="00EC1319"/>
    <w:rsid w:val="00EC1862"/>
    <w:rsid w:val="00EC3DBE"/>
    <w:rsid w:val="00EC4969"/>
    <w:rsid w:val="00EC5E50"/>
    <w:rsid w:val="00EC67DD"/>
    <w:rsid w:val="00EC6C61"/>
    <w:rsid w:val="00EC7BCC"/>
    <w:rsid w:val="00ED0202"/>
    <w:rsid w:val="00ED0693"/>
    <w:rsid w:val="00ED2901"/>
    <w:rsid w:val="00ED2ED0"/>
    <w:rsid w:val="00ED3916"/>
    <w:rsid w:val="00ED3EA3"/>
    <w:rsid w:val="00ED4DC3"/>
    <w:rsid w:val="00ED782B"/>
    <w:rsid w:val="00ED791A"/>
    <w:rsid w:val="00EE136C"/>
    <w:rsid w:val="00EE1DF8"/>
    <w:rsid w:val="00EE1DFF"/>
    <w:rsid w:val="00EE37C1"/>
    <w:rsid w:val="00EE7192"/>
    <w:rsid w:val="00EF051B"/>
    <w:rsid w:val="00EF197E"/>
    <w:rsid w:val="00EF1A71"/>
    <w:rsid w:val="00EF1B1C"/>
    <w:rsid w:val="00EF3599"/>
    <w:rsid w:val="00EF41D9"/>
    <w:rsid w:val="00EF4402"/>
    <w:rsid w:val="00EF485C"/>
    <w:rsid w:val="00EF536A"/>
    <w:rsid w:val="00EF647E"/>
    <w:rsid w:val="00EF6E38"/>
    <w:rsid w:val="00F01F9F"/>
    <w:rsid w:val="00F02C21"/>
    <w:rsid w:val="00F02E7C"/>
    <w:rsid w:val="00F02F02"/>
    <w:rsid w:val="00F037F6"/>
    <w:rsid w:val="00F04692"/>
    <w:rsid w:val="00F04F04"/>
    <w:rsid w:val="00F04FF2"/>
    <w:rsid w:val="00F055E6"/>
    <w:rsid w:val="00F10025"/>
    <w:rsid w:val="00F10DDD"/>
    <w:rsid w:val="00F12DC7"/>
    <w:rsid w:val="00F13F5B"/>
    <w:rsid w:val="00F17923"/>
    <w:rsid w:val="00F21594"/>
    <w:rsid w:val="00F23632"/>
    <w:rsid w:val="00F24E55"/>
    <w:rsid w:val="00F26287"/>
    <w:rsid w:val="00F269FB"/>
    <w:rsid w:val="00F2717D"/>
    <w:rsid w:val="00F31226"/>
    <w:rsid w:val="00F31B6F"/>
    <w:rsid w:val="00F321C8"/>
    <w:rsid w:val="00F32355"/>
    <w:rsid w:val="00F33087"/>
    <w:rsid w:val="00F3390A"/>
    <w:rsid w:val="00F33E53"/>
    <w:rsid w:val="00F34E0B"/>
    <w:rsid w:val="00F35075"/>
    <w:rsid w:val="00F35698"/>
    <w:rsid w:val="00F36CAD"/>
    <w:rsid w:val="00F37137"/>
    <w:rsid w:val="00F37ACC"/>
    <w:rsid w:val="00F37F7F"/>
    <w:rsid w:val="00F42DD8"/>
    <w:rsid w:val="00F45C2E"/>
    <w:rsid w:val="00F47996"/>
    <w:rsid w:val="00F52042"/>
    <w:rsid w:val="00F536D9"/>
    <w:rsid w:val="00F5404D"/>
    <w:rsid w:val="00F54D60"/>
    <w:rsid w:val="00F55592"/>
    <w:rsid w:val="00F5645F"/>
    <w:rsid w:val="00F61BCD"/>
    <w:rsid w:val="00F653BB"/>
    <w:rsid w:val="00F66F48"/>
    <w:rsid w:val="00F72B75"/>
    <w:rsid w:val="00F73EF6"/>
    <w:rsid w:val="00F74AA1"/>
    <w:rsid w:val="00F74C4E"/>
    <w:rsid w:val="00F80FA2"/>
    <w:rsid w:val="00F836A0"/>
    <w:rsid w:val="00F850DE"/>
    <w:rsid w:val="00F85AD1"/>
    <w:rsid w:val="00F9108C"/>
    <w:rsid w:val="00F9253D"/>
    <w:rsid w:val="00F933EF"/>
    <w:rsid w:val="00F939D3"/>
    <w:rsid w:val="00F93C48"/>
    <w:rsid w:val="00F952A6"/>
    <w:rsid w:val="00F96676"/>
    <w:rsid w:val="00F96CC9"/>
    <w:rsid w:val="00FA525B"/>
    <w:rsid w:val="00FA6993"/>
    <w:rsid w:val="00FA6F52"/>
    <w:rsid w:val="00FA766A"/>
    <w:rsid w:val="00FB0D12"/>
    <w:rsid w:val="00FB0DB4"/>
    <w:rsid w:val="00FB2A13"/>
    <w:rsid w:val="00FB3420"/>
    <w:rsid w:val="00FB4FDC"/>
    <w:rsid w:val="00FB6A25"/>
    <w:rsid w:val="00FC05F6"/>
    <w:rsid w:val="00FC0ED0"/>
    <w:rsid w:val="00FC116D"/>
    <w:rsid w:val="00FC18B4"/>
    <w:rsid w:val="00FC1B5E"/>
    <w:rsid w:val="00FC1D19"/>
    <w:rsid w:val="00FC561C"/>
    <w:rsid w:val="00FC7263"/>
    <w:rsid w:val="00FC78EC"/>
    <w:rsid w:val="00FC7E2E"/>
    <w:rsid w:val="00FD1510"/>
    <w:rsid w:val="00FD2DDE"/>
    <w:rsid w:val="00FD4B41"/>
    <w:rsid w:val="00FD5681"/>
    <w:rsid w:val="00FD5802"/>
    <w:rsid w:val="00FD58E8"/>
    <w:rsid w:val="00FE1259"/>
    <w:rsid w:val="00FE13CB"/>
    <w:rsid w:val="00FE34A5"/>
    <w:rsid w:val="00FE3D2E"/>
    <w:rsid w:val="00FE5534"/>
    <w:rsid w:val="00FE7291"/>
    <w:rsid w:val="00FE79DA"/>
    <w:rsid w:val="00FF02F1"/>
    <w:rsid w:val="00FF522A"/>
    <w:rsid w:val="00FF6203"/>
    <w:rsid w:val="0106F4E1"/>
    <w:rsid w:val="02F5290E"/>
    <w:rsid w:val="0399D281"/>
    <w:rsid w:val="049B72C8"/>
    <w:rsid w:val="075CDD04"/>
    <w:rsid w:val="09E96C42"/>
    <w:rsid w:val="0C70407E"/>
    <w:rsid w:val="0DB47BFF"/>
    <w:rsid w:val="0EB31E72"/>
    <w:rsid w:val="11B38795"/>
    <w:rsid w:val="126875BA"/>
    <w:rsid w:val="12DA85B9"/>
    <w:rsid w:val="15DBCE19"/>
    <w:rsid w:val="179447B5"/>
    <w:rsid w:val="1B9BA62C"/>
    <w:rsid w:val="1D3A65E8"/>
    <w:rsid w:val="1F3D0C69"/>
    <w:rsid w:val="203B32BA"/>
    <w:rsid w:val="24683E2D"/>
    <w:rsid w:val="246E327F"/>
    <w:rsid w:val="2596AF4A"/>
    <w:rsid w:val="2602EEF2"/>
    <w:rsid w:val="289C571E"/>
    <w:rsid w:val="28F5F9F8"/>
    <w:rsid w:val="29CA0C20"/>
    <w:rsid w:val="29D311FF"/>
    <w:rsid w:val="29E9F39B"/>
    <w:rsid w:val="2A1DA72C"/>
    <w:rsid w:val="2C0F08E3"/>
    <w:rsid w:val="2F46AB65"/>
    <w:rsid w:val="30ACD6C4"/>
    <w:rsid w:val="3165CD54"/>
    <w:rsid w:val="31AB0186"/>
    <w:rsid w:val="31ADCDED"/>
    <w:rsid w:val="348606D7"/>
    <w:rsid w:val="3580E6E4"/>
    <w:rsid w:val="374C2458"/>
    <w:rsid w:val="38D4654E"/>
    <w:rsid w:val="39AA0FB2"/>
    <w:rsid w:val="3AB1ECEC"/>
    <w:rsid w:val="3ADA4832"/>
    <w:rsid w:val="3CEDBDF3"/>
    <w:rsid w:val="3E95A5D8"/>
    <w:rsid w:val="41760CFD"/>
    <w:rsid w:val="41FAF69B"/>
    <w:rsid w:val="466DC4CE"/>
    <w:rsid w:val="47CB0393"/>
    <w:rsid w:val="4871FBBD"/>
    <w:rsid w:val="4900C8CA"/>
    <w:rsid w:val="4AE73AED"/>
    <w:rsid w:val="4EF03C1C"/>
    <w:rsid w:val="50F7C91E"/>
    <w:rsid w:val="51417F21"/>
    <w:rsid w:val="527DC02E"/>
    <w:rsid w:val="53F461A3"/>
    <w:rsid w:val="54ED10DD"/>
    <w:rsid w:val="558E0AA2"/>
    <w:rsid w:val="59B4A3DC"/>
    <w:rsid w:val="5AAEA3B2"/>
    <w:rsid w:val="5F1AEB90"/>
    <w:rsid w:val="60D7ACB7"/>
    <w:rsid w:val="6137D4F5"/>
    <w:rsid w:val="6281296B"/>
    <w:rsid w:val="644C13E8"/>
    <w:rsid w:val="6465ADF9"/>
    <w:rsid w:val="659CF707"/>
    <w:rsid w:val="65BEECC7"/>
    <w:rsid w:val="6B00000F"/>
    <w:rsid w:val="6C79F77B"/>
    <w:rsid w:val="6D25E63E"/>
    <w:rsid w:val="6D9E6674"/>
    <w:rsid w:val="6F471FDD"/>
    <w:rsid w:val="6F795145"/>
    <w:rsid w:val="72E3D242"/>
    <w:rsid w:val="7502754F"/>
    <w:rsid w:val="76CE6FBE"/>
    <w:rsid w:val="78C0E432"/>
    <w:rsid w:val="79AB62AF"/>
    <w:rsid w:val="7ADD7524"/>
    <w:rsid w:val="7EAF96E0"/>
    <w:rsid w:val="7FE71C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6F3F79"/>
  <w15:docId w15:val="{DC76F892-3F10-4218-B235-7E7F51920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w:qFormat/>
    <w:rsid w:val="004C70AD"/>
    <w:pPr>
      <w:spacing w:after="240"/>
      <w:jc w:val="both"/>
    </w:pPr>
    <w:rPr>
      <w:sz w:val="24"/>
      <w:szCs w:val="24"/>
    </w:rPr>
  </w:style>
  <w:style w:type="paragraph" w:styleId="Heading1">
    <w:name w:val="heading 1"/>
    <w:basedOn w:val="Normal"/>
    <w:next w:val="Normal"/>
    <w:link w:val="Heading1Char"/>
    <w:qFormat/>
    <w:rsid w:val="00C510BB"/>
    <w:pPr>
      <w:pageBreakBefore/>
      <w:numPr>
        <w:numId w:val="1"/>
      </w:numPr>
      <w:outlineLvl w:val="0"/>
    </w:pPr>
    <w:rPr>
      <w:rFonts w:cs="Arial"/>
      <w:b/>
      <w:bCs/>
      <w:kern w:val="32"/>
      <w:sz w:val="32"/>
      <w:szCs w:val="32"/>
    </w:rPr>
  </w:style>
  <w:style w:type="paragraph" w:styleId="Heading2">
    <w:name w:val="heading 2"/>
    <w:basedOn w:val="Normal"/>
    <w:next w:val="Normal"/>
    <w:link w:val="Heading2Char"/>
    <w:qFormat/>
    <w:rsid w:val="009B1CB2"/>
    <w:pPr>
      <w:keepNext/>
      <w:numPr>
        <w:ilvl w:val="1"/>
        <w:numId w:val="1"/>
      </w:numPr>
      <w:spacing w:before="240"/>
      <w:outlineLvl w:val="1"/>
    </w:pPr>
    <w:rPr>
      <w:rFonts w:cs="Arial"/>
      <w:b/>
      <w:bCs/>
      <w:iCs/>
      <w:sz w:val="28"/>
      <w:szCs w:val="28"/>
    </w:rPr>
  </w:style>
  <w:style w:type="paragraph" w:styleId="Heading3">
    <w:name w:val="heading 3"/>
    <w:basedOn w:val="Normal"/>
    <w:next w:val="Normal"/>
    <w:link w:val="Heading3Char"/>
    <w:qFormat/>
    <w:rsid w:val="00F3390A"/>
    <w:pPr>
      <w:numPr>
        <w:ilvl w:val="2"/>
        <w:numId w:val="1"/>
      </w:numPr>
      <w:tabs>
        <w:tab w:val="clear" w:pos="1145"/>
        <w:tab w:val="num" w:pos="720"/>
      </w:tabs>
      <w:ind w:left="720"/>
      <w:outlineLvl w:val="2"/>
    </w:pPr>
    <w:rPr>
      <w:rFonts w:cs="Arial"/>
      <w:b/>
      <w:bCs/>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customStyle="1" w:styleId="Heading1Char">
    <w:name w:val="Heading 1 Char"/>
    <w:basedOn w:val="DefaultParagraphFont"/>
    <w:link w:val="Heading1"/>
    <w:rsid w:val="00C510BB"/>
    <w:rPr>
      <w:rFonts w:cs="Arial"/>
      <w:b/>
      <w:bCs/>
      <w:kern w:val="32"/>
      <w:sz w:val="32"/>
      <w:szCs w:val="32"/>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2Char">
    <w:name w:val="Heading 2 Char"/>
    <w:basedOn w:val="DefaultParagraphFont"/>
    <w:link w:val="Heading2"/>
    <w:rsid w:val="009B1CB2"/>
    <w:rPr>
      <w:rFonts w:cs="Arial"/>
      <w:b/>
      <w:bCs/>
      <w:iCs/>
      <w:sz w:val="28"/>
      <w:szCs w:val="28"/>
    </w:rPr>
  </w:style>
  <w:style w:type="paragraph" w:styleId="FootnoteText">
    <w:name w:val="footnote text"/>
    <w:basedOn w:val="Normal"/>
    <w:link w:val="FootnoteTextChar"/>
    <w:uiPriority w:val="99"/>
    <w:semiHidden/>
    <w:rPr>
      <w:sz w:val="20"/>
      <w:szCs w:val="20"/>
    </w:rPr>
  </w:style>
  <w:style w:type="character" w:styleId="FootnoteReference">
    <w:name w:val="footnote reference"/>
    <w:basedOn w:val="DefaultParagraphFont"/>
    <w:uiPriority w:val="99"/>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rsid w:val="00F21594"/>
    <w:pPr>
      <w:tabs>
        <w:tab w:val="left" w:pos="567"/>
        <w:tab w:val="right" w:pos="9072"/>
      </w:tabs>
      <w:ind w:left="709" w:hanging="709"/>
    </w:pPr>
    <w:rPr>
      <w:b/>
    </w:rPr>
  </w:style>
  <w:style w:type="paragraph" w:styleId="TOC2">
    <w:name w:val="toc 2"/>
    <w:basedOn w:val="Normal"/>
    <w:next w:val="Normal"/>
    <w:uiPriority w:val="39"/>
    <w:pPr>
      <w:tabs>
        <w:tab w:val="left" w:pos="567"/>
        <w:tab w:val="right" w:pos="9072"/>
      </w:tabs>
    </w:pPr>
    <w:rPr>
      <w:b/>
      <w:sz w:val="20"/>
    </w:rPr>
  </w:style>
  <w:style w:type="paragraph" w:customStyle="1" w:styleId="Table1">
    <w:name w:val="Table 1"/>
    <w:basedOn w:val="Normal"/>
    <w:pPr>
      <w:ind w:left="-3"/>
      <w:jc w:val="left"/>
    </w:pPr>
    <w:rPr>
      <w:sz w:val="20"/>
      <w:szCs w:val="20"/>
    </w:rPr>
  </w:style>
  <w:style w:type="paragraph" w:customStyle="1" w:styleId="Table">
    <w:name w:val="Table"/>
    <w:basedOn w:val="Normal"/>
    <w:pPr>
      <w:ind w:left="-3"/>
      <w:jc w:val="left"/>
    </w:pPr>
    <w:rPr>
      <w:sz w:val="20"/>
      <w:szCs w:val="20"/>
    </w:rPr>
  </w:style>
  <w:style w:type="paragraph" w:customStyle="1" w:styleId="StyleAfter12pt">
    <w:name w:val="Style After:  12 pt"/>
    <w:basedOn w:val="Normal"/>
    <w:link w:val="StyleAfter12ptChar"/>
    <w:rPr>
      <w:szCs w:val="20"/>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BodyText">
    <w:name w:val="Body Text"/>
    <w:basedOn w:val="Normal"/>
    <w:pPr>
      <w:spacing w:after="120"/>
    </w:pPr>
  </w:style>
  <w:style w:type="paragraph" w:styleId="NormalWeb">
    <w:name w:val="Normal (Web)"/>
    <w:basedOn w:val="Normal"/>
    <w:uiPriority w:val="99"/>
    <w:semiHidden/>
    <w:unhideWhenUsed/>
    <w:rsid w:val="00253BB3"/>
    <w:pPr>
      <w:spacing w:before="100" w:beforeAutospacing="1" w:after="100" w:afterAutospacing="1"/>
      <w:jc w:val="left"/>
    </w:pPr>
  </w:style>
  <w:style w:type="paragraph" w:styleId="ListParagraph">
    <w:name w:val="List Paragraph"/>
    <w:basedOn w:val="Normal"/>
    <w:link w:val="ListParagraphChar"/>
    <w:uiPriority w:val="34"/>
    <w:qFormat/>
    <w:rsid w:val="00EA1867"/>
    <w:pPr>
      <w:ind w:left="720"/>
      <w:contextualSpacing/>
    </w:pPr>
  </w:style>
  <w:style w:type="paragraph" w:customStyle="1" w:styleId="reporttable">
    <w:name w:val="report table"/>
    <w:basedOn w:val="Normal"/>
    <w:rsid w:val="003D5052"/>
    <w:pPr>
      <w:keepNext/>
      <w:keepLines/>
      <w:overflowPunct w:val="0"/>
      <w:autoSpaceDE w:val="0"/>
      <w:autoSpaceDN w:val="0"/>
      <w:adjustRightInd w:val="0"/>
      <w:spacing w:after="0"/>
      <w:jc w:val="left"/>
      <w:textAlignment w:val="baseline"/>
    </w:pPr>
    <w:rPr>
      <w:rFonts w:ascii="Arial" w:hAnsi="Arial"/>
      <w:sz w:val="18"/>
      <w:szCs w:val="20"/>
      <w:lang w:eastAsia="en-US"/>
    </w:rPr>
  </w:style>
  <w:style w:type="character" w:styleId="CommentReference">
    <w:name w:val="annotation reference"/>
    <w:basedOn w:val="DefaultParagraphFont"/>
    <w:uiPriority w:val="99"/>
    <w:semiHidden/>
    <w:unhideWhenUsed/>
    <w:rsid w:val="003D5052"/>
    <w:rPr>
      <w:sz w:val="16"/>
      <w:szCs w:val="16"/>
    </w:rPr>
  </w:style>
  <w:style w:type="paragraph" w:styleId="CommentText">
    <w:name w:val="annotation text"/>
    <w:basedOn w:val="Normal"/>
    <w:link w:val="CommentTextChar"/>
    <w:uiPriority w:val="99"/>
    <w:unhideWhenUsed/>
    <w:rsid w:val="003D5052"/>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3D5052"/>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3D50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052"/>
    <w:rPr>
      <w:rFonts w:ascii="Tahoma" w:hAnsi="Tahoma" w:cs="Tahoma"/>
      <w:sz w:val="16"/>
      <w:szCs w:val="16"/>
    </w:rPr>
  </w:style>
  <w:style w:type="paragraph" w:customStyle="1" w:styleId="Tabletext">
    <w:name w:val="Table text"/>
    <w:basedOn w:val="BodyText"/>
    <w:link w:val="TabletextChar"/>
    <w:uiPriority w:val="8"/>
    <w:qFormat/>
    <w:rsid w:val="00AD32B5"/>
    <w:pPr>
      <w:spacing w:after="0" w:line="260" w:lineRule="atLeast"/>
      <w:ind w:left="113" w:right="113"/>
      <w:jc w:val="left"/>
    </w:pPr>
    <w:rPr>
      <w:rFonts w:ascii="Tahoma" w:hAnsi="Tahoma" w:cs="Tahoma"/>
      <w:color w:val="000000" w:themeColor="text1"/>
      <w:sz w:val="20"/>
      <w:szCs w:val="20"/>
      <w:lang w:eastAsia="en-US"/>
    </w:rPr>
  </w:style>
  <w:style w:type="character" w:customStyle="1" w:styleId="TabletextChar">
    <w:name w:val="Table text Char"/>
    <w:basedOn w:val="DefaultParagraphFont"/>
    <w:link w:val="Tabletext"/>
    <w:uiPriority w:val="8"/>
    <w:rsid w:val="00AD32B5"/>
    <w:rPr>
      <w:rFonts w:ascii="Tahoma" w:hAnsi="Tahoma" w:cs="Tahoma"/>
      <w:color w:val="000000" w:themeColor="text1"/>
      <w:lang w:eastAsia="en-US"/>
    </w:rPr>
  </w:style>
  <w:style w:type="character" w:customStyle="1" w:styleId="FootnoteTextChar">
    <w:name w:val="Footnote Text Char"/>
    <w:basedOn w:val="DefaultParagraphFont"/>
    <w:link w:val="FootnoteText"/>
    <w:uiPriority w:val="99"/>
    <w:semiHidden/>
    <w:rsid w:val="00AD32B5"/>
  </w:style>
  <w:style w:type="paragraph" w:styleId="CommentSubject">
    <w:name w:val="annotation subject"/>
    <w:basedOn w:val="CommentText"/>
    <w:next w:val="CommentText"/>
    <w:link w:val="CommentSubjectChar"/>
    <w:uiPriority w:val="99"/>
    <w:semiHidden/>
    <w:unhideWhenUsed/>
    <w:rsid w:val="00EC1319"/>
    <w:pPr>
      <w:tabs>
        <w:tab w:val="left" w:pos="709"/>
      </w:tabs>
      <w:spacing w:after="240"/>
      <w:ind w:left="709"/>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C1319"/>
    <w:rPr>
      <w:rFonts w:asciiTheme="minorHAnsi" w:eastAsiaTheme="minorEastAsia" w:hAnsiTheme="minorHAnsi" w:cstheme="minorBidi"/>
      <w:b/>
      <w:bCs/>
    </w:rPr>
  </w:style>
  <w:style w:type="paragraph" w:styleId="Revision">
    <w:name w:val="Revision"/>
    <w:hidden/>
    <w:uiPriority w:val="99"/>
    <w:semiHidden/>
    <w:rsid w:val="00EC1319"/>
    <w:rPr>
      <w:sz w:val="24"/>
      <w:szCs w:val="24"/>
    </w:rPr>
  </w:style>
  <w:style w:type="paragraph" w:styleId="TOC3">
    <w:name w:val="toc 3"/>
    <w:basedOn w:val="Normal"/>
    <w:next w:val="Normal"/>
    <w:uiPriority w:val="39"/>
    <w:unhideWhenUsed/>
    <w:rsid w:val="008B688F"/>
    <w:pPr>
      <w:spacing w:after="100"/>
      <w:ind w:left="480"/>
    </w:pPr>
  </w:style>
  <w:style w:type="paragraph" w:customStyle="1" w:styleId="APHFland">
    <w:name w:val="AP_HF_land"/>
    <w:basedOn w:val="Normal"/>
    <w:rsid w:val="00917F21"/>
    <w:pPr>
      <w:tabs>
        <w:tab w:val="center" w:pos="6912"/>
        <w:tab w:val="right" w:pos="13954"/>
      </w:tabs>
      <w:suppressAutoHyphens/>
      <w:spacing w:after="0"/>
      <w:ind w:right="4"/>
    </w:pPr>
    <w:rPr>
      <w:rFonts w:ascii="TimesNewRomanPS" w:hAnsi="TimesNewRomanPS"/>
      <w:b/>
      <w:spacing w:val="-3"/>
      <w:sz w:val="20"/>
      <w:szCs w:val="20"/>
    </w:rPr>
  </w:style>
  <w:style w:type="paragraph" w:customStyle="1" w:styleId="APHFPort">
    <w:name w:val="AP_HF_Port"/>
    <w:basedOn w:val="Normal"/>
    <w:rsid w:val="00917F21"/>
    <w:pPr>
      <w:tabs>
        <w:tab w:val="center" w:pos="4464"/>
        <w:tab w:val="right" w:pos="8928"/>
      </w:tabs>
      <w:suppressAutoHyphens/>
      <w:spacing w:after="0"/>
    </w:pPr>
    <w:rPr>
      <w:b/>
      <w:spacing w:val="-3"/>
      <w:sz w:val="20"/>
      <w:szCs w:val="20"/>
    </w:rPr>
  </w:style>
  <w:style w:type="table" w:customStyle="1" w:styleId="GridTable41">
    <w:name w:val="Grid Table 41"/>
    <w:basedOn w:val="TableNormal"/>
    <w:next w:val="GridTable4"/>
    <w:uiPriority w:val="49"/>
    <w:rsid w:val="00917F21"/>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Emphasis">
    <w:name w:val="Emphasis"/>
    <w:basedOn w:val="DefaultParagraphFont"/>
    <w:uiPriority w:val="20"/>
    <w:qFormat/>
    <w:rsid w:val="00917F21"/>
    <w:rPr>
      <w:b/>
      <w:bCs/>
      <w:i w:val="0"/>
      <w:iCs w:val="0"/>
    </w:rPr>
  </w:style>
  <w:style w:type="table" w:styleId="GridTable4">
    <w:name w:val="Grid Table 4"/>
    <w:basedOn w:val="TableNormal"/>
    <w:uiPriority w:val="49"/>
    <w:rsid w:val="00917F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761156"/>
    <w:rPr>
      <w:color w:val="800080" w:themeColor="followedHyperlink"/>
      <w:u w:val="single"/>
    </w:rPr>
  </w:style>
  <w:style w:type="character" w:customStyle="1" w:styleId="ListParagraphChar">
    <w:name w:val="List Paragraph Char"/>
    <w:basedOn w:val="DefaultParagraphFont"/>
    <w:link w:val="ListParagraph"/>
    <w:uiPriority w:val="34"/>
    <w:rsid w:val="00D17629"/>
    <w:rPr>
      <w:sz w:val="24"/>
      <w:szCs w:val="24"/>
    </w:rPr>
  </w:style>
  <w:style w:type="paragraph" w:customStyle="1" w:styleId="Paragraph">
    <w:name w:val="Paragraph"/>
    <w:basedOn w:val="Heading3"/>
    <w:link w:val="ParagraphChar"/>
    <w:qFormat/>
    <w:rsid w:val="00C04307"/>
    <w:pPr>
      <w:tabs>
        <w:tab w:val="clear" w:pos="720"/>
        <w:tab w:val="num" w:pos="709"/>
      </w:tabs>
      <w:ind w:left="709" w:hanging="709"/>
    </w:pPr>
    <w:rPr>
      <w:b w:val="0"/>
    </w:rPr>
  </w:style>
  <w:style w:type="paragraph" w:styleId="TOCHeading">
    <w:name w:val="TOC Heading"/>
    <w:basedOn w:val="Heading1"/>
    <w:next w:val="Normal"/>
    <w:uiPriority w:val="39"/>
    <w:unhideWhenUsed/>
    <w:qFormat/>
    <w:rsid w:val="005C168B"/>
    <w:pPr>
      <w:keepNext/>
      <w:keepLines/>
      <w:pageBreakBefore w:val="0"/>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kern w:val="0"/>
      <w:lang w:val="en-US" w:eastAsia="en-US"/>
    </w:rPr>
  </w:style>
  <w:style w:type="character" w:customStyle="1" w:styleId="Heading3Char">
    <w:name w:val="Heading 3 Char"/>
    <w:basedOn w:val="DefaultParagraphFont"/>
    <w:link w:val="Heading3"/>
    <w:rsid w:val="00125C7C"/>
    <w:rPr>
      <w:rFonts w:cs="Arial"/>
      <w:b/>
      <w:bCs/>
      <w:sz w:val="24"/>
      <w:szCs w:val="26"/>
    </w:rPr>
  </w:style>
  <w:style w:type="character" w:customStyle="1" w:styleId="ParagraphChar">
    <w:name w:val="Paragraph Char"/>
    <w:basedOn w:val="Heading3Char"/>
    <w:link w:val="Paragraph"/>
    <w:rsid w:val="00C04307"/>
    <w:rPr>
      <w:rFonts w:cs="Arial"/>
      <w:b w:val="0"/>
      <w:bCs/>
      <w:sz w:val="24"/>
      <w:szCs w:val="26"/>
    </w:rPr>
  </w:style>
  <w:style w:type="paragraph" w:customStyle="1" w:styleId="Bullets-letters">
    <w:name w:val="Bullets - letters"/>
    <w:basedOn w:val="StyleAfter12pt"/>
    <w:link w:val="Bullets-lettersChar"/>
    <w:qFormat/>
    <w:rsid w:val="00235DC9"/>
    <w:rPr>
      <w:shd w:val="clear" w:color="auto" w:fill="FDFCFC"/>
    </w:rPr>
  </w:style>
  <w:style w:type="character" w:customStyle="1" w:styleId="StyleAfter12ptChar">
    <w:name w:val="Style After:  12 pt Char"/>
    <w:basedOn w:val="DefaultParagraphFont"/>
    <w:link w:val="StyleAfter12pt"/>
    <w:rsid w:val="00855D71"/>
    <w:rPr>
      <w:sz w:val="24"/>
    </w:rPr>
  </w:style>
  <w:style w:type="character" w:customStyle="1" w:styleId="Bullets-lettersChar">
    <w:name w:val="Bullets - letters Char"/>
    <w:basedOn w:val="StyleAfter12ptChar"/>
    <w:link w:val="Bullets-letters"/>
    <w:rsid w:val="00235DC9"/>
    <w:rPr>
      <w:sz w:val="24"/>
    </w:rPr>
  </w:style>
  <w:style w:type="character" w:styleId="PlaceholderText">
    <w:name w:val="Placeholder Text"/>
    <w:basedOn w:val="DefaultParagraphFont"/>
    <w:uiPriority w:val="99"/>
    <w:semiHidden/>
    <w:rsid w:val="00AD7EE5"/>
    <w:rPr>
      <w:color w:val="808080"/>
    </w:rPr>
  </w:style>
  <w:style w:type="table" w:styleId="ListTable3">
    <w:name w:val="List Table 3"/>
    <w:basedOn w:val="TableNormal"/>
    <w:uiPriority w:val="48"/>
    <w:rsid w:val="0027296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1">
    <w:name w:val="List Table 31"/>
    <w:basedOn w:val="TableNormal"/>
    <w:uiPriority w:val="48"/>
    <w:rsid w:val="00D43E99"/>
    <w:rPr>
      <w:lang w:eastAsia="en-US"/>
    </w:rPr>
    <w:tblPr>
      <w:tblStyleRowBandSize w:val="1"/>
      <w:tblStyleColBandSize w:val="1"/>
      <w:tblInd w:w="0" w:type="nil"/>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character" w:customStyle="1" w:styleId="Mention1">
    <w:name w:val="Mention1"/>
    <w:basedOn w:val="DefaultParagraphFont"/>
    <w:uiPriority w:val="99"/>
    <w:unhideWhenUsed/>
    <w:rPr>
      <w:color w:val="2B579A"/>
      <w:shd w:val="clear" w:color="auto" w:fill="E6E6E6"/>
    </w:rPr>
  </w:style>
  <w:style w:type="character" w:customStyle="1"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755">
      <w:bodyDiv w:val="1"/>
      <w:marLeft w:val="0"/>
      <w:marRight w:val="0"/>
      <w:marTop w:val="0"/>
      <w:marBottom w:val="0"/>
      <w:divBdr>
        <w:top w:val="none" w:sz="0" w:space="0" w:color="auto"/>
        <w:left w:val="none" w:sz="0" w:space="0" w:color="auto"/>
        <w:bottom w:val="none" w:sz="0" w:space="0" w:color="auto"/>
        <w:right w:val="none" w:sz="0" w:space="0" w:color="auto"/>
      </w:divBdr>
    </w:div>
    <w:div w:id="20976867">
      <w:bodyDiv w:val="1"/>
      <w:marLeft w:val="0"/>
      <w:marRight w:val="0"/>
      <w:marTop w:val="0"/>
      <w:marBottom w:val="0"/>
      <w:divBdr>
        <w:top w:val="none" w:sz="0" w:space="0" w:color="auto"/>
        <w:left w:val="none" w:sz="0" w:space="0" w:color="auto"/>
        <w:bottom w:val="none" w:sz="0" w:space="0" w:color="auto"/>
        <w:right w:val="none" w:sz="0" w:space="0" w:color="auto"/>
      </w:divBdr>
      <w:divsChild>
        <w:div w:id="1390418662">
          <w:marLeft w:val="850"/>
          <w:marRight w:val="0"/>
          <w:marTop w:val="0"/>
          <w:marBottom w:val="112"/>
          <w:divBdr>
            <w:top w:val="none" w:sz="0" w:space="0" w:color="auto"/>
            <w:left w:val="none" w:sz="0" w:space="0" w:color="auto"/>
            <w:bottom w:val="none" w:sz="0" w:space="0" w:color="auto"/>
            <w:right w:val="none" w:sz="0" w:space="0" w:color="auto"/>
          </w:divBdr>
        </w:div>
      </w:divsChild>
    </w:div>
    <w:div w:id="374089217">
      <w:bodyDiv w:val="1"/>
      <w:marLeft w:val="0"/>
      <w:marRight w:val="0"/>
      <w:marTop w:val="0"/>
      <w:marBottom w:val="0"/>
      <w:divBdr>
        <w:top w:val="none" w:sz="0" w:space="0" w:color="auto"/>
        <w:left w:val="none" w:sz="0" w:space="0" w:color="auto"/>
        <w:bottom w:val="none" w:sz="0" w:space="0" w:color="auto"/>
        <w:right w:val="none" w:sz="0" w:space="0" w:color="auto"/>
      </w:divBdr>
    </w:div>
    <w:div w:id="427851210">
      <w:bodyDiv w:val="1"/>
      <w:marLeft w:val="0"/>
      <w:marRight w:val="0"/>
      <w:marTop w:val="0"/>
      <w:marBottom w:val="0"/>
      <w:divBdr>
        <w:top w:val="none" w:sz="0" w:space="0" w:color="auto"/>
        <w:left w:val="none" w:sz="0" w:space="0" w:color="auto"/>
        <w:bottom w:val="none" w:sz="0" w:space="0" w:color="auto"/>
        <w:right w:val="none" w:sz="0" w:space="0" w:color="auto"/>
      </w:divBdr>
    </w:div>
    <w:div w:id="652494255">
      <w:bodyDiv w:val="1"/>
      <w:marLeft w:val="0"/>
      <w:marRight w:val="0"/>
      <w:marTop w:val="0"/>
      <w:marBottom w:val="0"/>
      <w:divBdr>
        <w:top w:val="none" w:sz="0" w:space="0" w:color="auto"/>
        <w:left w:val="none" w:sz="0" w:space="0" w:color="auto"/>
        <w:bottom w:val="none" w:sz="0" w:space="0" w:color="auto"/>
        <w:right w:val="none" w:sz="0" w:space="0" w:color="auto"/>
      </w:divBdr>
    </w:div>
    <w:div w:id="660162722">
      <w:bodyDiv w:val="1"/>
      <w:marLeft w:val="0"/>
      <w:marRight w:val="0"/>
      <w:marTop w:val="0"/>
      <w:marBottom w:val="0"/>
      <w:divBdr>
        <w:top w:val="none" w:sz="0" w:space="0" w:color="auto"/>
        <w:left w:val="none" w:sz="0" w:space="0" w:color="auto"/>
        <w:bottom w:val="none" w:sz="0" w:space="0" w:color="auto"/>
        <w:right w:val="none" w:sz="0" w:space="0" w:color="auto"/>
      </w:divBdr>
      <w:divsChild>
        <w:div w:id="720594177">
          <w:marLeft w:val="994"/>
          <w:marRight w:val="0"/>
          <w:marTop w:val="0"/>
          <w:marBottom w:val="0"/>
          <w:divBdr>
            <w:top w:val="none" w:sz="0" w:space="0" w:color="auto"/>
            <w:left w:val="none" w:sz="0" w:space="0" w:color="auto"/>
            <w:bottom w:val="none" w:sz="0" w:space="0" w:color="auto"/>
            <w:right w:val="none" w:sz="0" w:space="0" w:color="auto"/>
          </w:divBdr>
        </w:div>
        <w:div w:id="1617441101">
          <w:marLeft w:val="994"/>
          <w:marRight w:val="0"/>
          <w:marTop w:val="0"/>
          <w:marBottom w:val="0"/>
          <w:divBdr>
            <w:top w:val="none" w:sz="0" w:space="0" w:color="auto"/>
            <w:left w:val="none" w:sz="0" w:space="0" w:color="auto"/>
            <w:bottom w:val="none" w:sz="0" w:space="0" w:color="auto"/>
            <w:right w:val="none" w:sz="0" w:space="0" w:color="auto"/>
          </w:divBdr>
        </w:div>
        <w:div w:id="1741320906">
          <w:marLeft w:val="994"/>
          <w:marRight w:val="0"/>
          <w:marTop w:val="0"/>
          <w:marBottom w:val="0"/>
          <w:divBdr>
            <w:top w:val="none" w:sz="0" w:space="0" w:color="auto"/>
            <w:left w:val="none" w:sz="0" w:space="0" w:color="auto"/>
            <w:bottom w:val="none" w:sz="0" w:space="0" w:color="auto"/>
            <w:right w:val="none" w:sz="0" w:space="0" w:color="auto"/>
          </w:divBdr>
        </w:div>
        <w:div w:id="1799642251">
          <w:marLeft w:val="994"/>
          <w:marRight w:val="0"/>
          <w:marTop w:val="0"/>
          <w:marBottom w:val="0"/>
          <w:divBdr>
            <w:top w:val="none" w:sz="0" w:space="0" w:color="auto"/>
            <w:left w:val="none" w:sz="0" w:space="0" w:color="auto"/>
            <w:bottom w:val="none" w:sz="0" w:space="0" w:color="auto"/>
            <w:right w:val="none" w:sz="0" w:space="0" w:color="auto"/>
          </w:divBdr>
        </w:div>
        <w:div w:id="2027974121">
          <w:marLeft w:val="994"/>
          <w:marRight w:val="0"/>
          <w:marTop w:val="0"/>
          <w:marBottom w:val="0"/>
          <w:divBdr>
            <w:top w:val="none" w:sz="0" w:space="0" w:color="auto"/>
            <w:left w:val="none" w:sz="0" w:space="0" w:color="auto"/>
            <w:bottom w:val="none" w:sz="0" w:space="0" w:color="auto"/>
            <w:right w:val="none" w:sz="0" w:space="0" w:color="auto"/>
          </w:divBdr>
        </w:div>
      </w:divsChild>
    </w:div>
    <w:div w:id="812215075">
      <w:bodyDiv w:val="1"/>
      <w:marLeft w:val="0"/>
      <w:marRight w:val="0"/>
      <w:marTop w:val="0"/>
      <w:marBottom w:val="0"/>
      <w:divBdr>
        <w:top w:val="none" w:sz="0" w:space="0" w:color="auto"/>
        <w:left w:val="none" w:sz="0" w:space="0" w:color="auto"/>
        <w:bottom w:val="none" w:sz="0" w:space="0" w:color="auto"/>
        <w:right w:val="none" w:sz="0" w:space="0" w:color="auto"/>
      </w:divBdr>
      <w:divsChild>
        <w:div w:id="1981154139">
          <w:marLeft w:val="0"/>
          <w:marRight w:val="0"/>
          <w:marTop w:val="0"/>
          <w:marBottom w:val="0"/>
          <w:divBdr>
            <w:top w:val="none" w:sz="0" w:space="0" w:color="auto"/>
            <w:left w:val="none" w:sz="0" w:space="0" w:color="auto"/>
            <w:bottom w:val="none" w:sz="0" w:space="0" w:color="auto"/>
            <w:right w:val="none" w:sz="0" w:space="0" w:color="auto"/>
          </w:divBdr>
        </w:div>
      </w:divsChild>
    </w:div>
    <w:div w:id="913440912">
      <w:bodyDiv w:val="1"/>
      <w:marLeft w:val="0"/>
      <w:marRight w:val="0"/>
      <w:marTop w:val="0"/>
      <w:marBottom w:val="0"/>
      <w:divBdr>
        <w:top w:val="none" w:sz="0" w:space="0" w:color="auto"/>
        <w:left w:val="none" w:sz="0" w:space="0" w:color="auto"/>
        <w:bottom w:val="none" w:sz="0" w:space="0" w:color="auto"/>
        <w:right w:val="none" w:sz="0" w:space="0" w:color="auto"/>
      </w:divBdr>
    </w:div>
    <w:div w:id="935484216">
      <w:bodyDiv w:val="1"/>
      <w:marLeft w:val="0"/>
      <w:marRight w:val="0"/>
      <w:marTop w:val="0"/>
      <w:marBottom w:val="0"/>
      <w:divBdr>
        <w:top w:val="none" w:sz="0" w:space="0" w:color="auto"/>
        <w:left w:val="none" w:sz="0" w:space="0" w:color="auto"/>
        <w:bottom w:val="none" w:sz="0" w:space="0" w:color="auto"/>
        <w:right w:val="none" w:sz="0" w:space="0" w:color="auto"/>
      </w:divBdr>
    </w:div>
    <w:div w:id="1144471882">
      <w:bodyDiv w:val="1"/>
      <w:marLeft w:val="0"/>
      <w:marRight w:val="0"/>
      <w:marTop w:val="0"/>
      <w:marBottom w:val="0"/>
      <w:divBdr>
        <w:top w:val="none" w:sz="0" w:space="0" w:color="auto"/>
        <w:left w:val="none" w:sz="0" w:space="0" w:color="auto"/>
        <w:bottom w:val="none" w:sz="0" w:space="0" w:color="auto"/>
        <w:right w:val="none" w:sz="0" w:space="0" w:color="auto"/>
      </w:divBdr>
    </w:div>
    <w:div w:id="1169445294">
      <w:bodyDiv w:val="1"/>
      <w:marLeft w:val="0"/>
      <w:marRight w:val="0"/>
      <w:marTop w:val="0"/>
      <w:marBottom w:val="0"/>
      <w:divBdr>
        <w:top w:val="none" w:sz="0" w:space="0" w:color="auto"/>
        <w:left w:val="none" w:sz="0" w:space="0" w:color="auto"/>
        <w:bottom w:val="none" w:sz="0" w:space="0" w:color="auto"/>
        <w:right w:val="none" w:sz="0" w:space="0" w:color="auto"/>
      </w:divBdr>
    </w:div>
    <w:div w:id="1175412518">
      <w:bodyDiv w:val="1"/>
      <w:marLeft w:val="0"/>
      <w:marRight w:val="0"/>
      <w:marTop w:val="0"/>
      <w:marBottom w:val="0"/>
      <w:divBdr>
        <w:top w:val="none" w:sz="0" w:space="0" w:color="auto"/>
        <w:left w:val="none" w:sz="0" w:space="0" w:color="auto"/>
        <w:bottom w:val="none" w:sz="0" w:space="0" w:color="auto"/>
        <w:right w:val="none" w:sz="0" w:space="0" w:color="auto"/>
      </w:divBdr>
    </w:div>
    <w:div w:id="1251427610">
      <w:bodyDiv w:val="1"/>
      <w:marLeft w:val="0"/>
      <w:marRight w:val="0"/>
      <w:marTop w:val="0"/>
      <w:marBottom w:val="0"/>
      <w:divBdr>
        <w:top w:val="none" w:sz="0" w:space="0" w:color="auto"/>
        <w:left w:val="none" w:sz="0" w:space="0" w:color="auto"/>
        <w:bottom w:val="none" w:sz="0" w:space="0" w:color="auto"/>
        <w:right w:val="none" w:sz="0" w:space="0" w:color="auto"/>
      </w:divBdr>
      <w:divsChild>
        <w:div w:id="107353608">
          <w:marLeft w:val="0"/>
          <w:marRight w:val="0"/>
          <w:marTop w:val="0"/>
          <w:marBottom w:val="0"/>
          <w:divBdr>
            <w:top w:val="none" w:sz="0" w:space="0" w:color="auto"/>
            <w:left w:val="none" w:sz="0" w:space="0" w:color="auto"/>
            <w:bottom w:val="none" w:sz="0" w:space="0" w:color="auto"/>
            <w:right w:val="none" w:sz="0" w:space="0" w:color="auto"/>
          </w:divBdr>
        </w:div>
        <w:div w:id="417025648">
          <w:marLeft w:val="0"/>
          <w:marRight w:val="0"/>
          <w:marTop w:val="0"/>
          <w:marBottom w:val="0"/>
          <w:divBdr>
            <w:top w:val="none" w:sz="0" w:space="0" w:color="auto"/>
            <w:left w:val="none" w:sz="0" w:space="0" w:color="auto"/>
            <w:bottom w:val="none" w:sz="0" w:space="0" w:color="auto"/>
            <w:right w:val="none" w:sz="0" w:space="0" w:color="auto"/>
          </w:divBdr>
        </w:div>
        <w:div w:id="1267469468">
          <w:marLeft w:val="0"/>
          <w:marRight w:val="0"/>
          <w:marTop w:val="0"/>
          <w:marBottom w:val="0"/>
          <w:divBdr>
            <w:top w:val="none" w:sz="0" w:space="0" w:color="auto"/>
            <w:left w:val="none" w:sz="0" w:space="0" w:color="auto"/>
            <w:bottom w:val="none" w:sz="0" w:space="0" w:color="auto"/>
            <w:right w:val="none" w:sz="0" w:space="0" w:color="auto"/>
          </w:divBdr>
        </w:div>
        <w:div w:id="1728797268">
          <w:marLeft w:val="0"/>
          <w:marRight w:val="0"/>
          <w:marTop w:val="0"/>
          <w:marBottom w:val="0"/>
          <w:divBdr>
            <w:top w:val="none" w:sz="0" w:space="0" w:color="auto"/>
            <w:left w:val="none" w:sz="0" w:space="0" w:color="auto"/>
            <w:bottom w:val="none" w:sz="0" w:space="0" w:color="auto"/>
            <w:right w:val="none" w:sz="0" w:space="0" w:color="auto"/>
          </w:divBdr>
        </w:div>
        <w:div w:id="1908295180">
          <w:marLeft w:val="0"/>
          <w:marRight w:val="0"/>
          <w:marTop w:val="0"/>
          <w:marBottom w:val="0"/>
          <w:divBdr>
            <w:top w:val="none" w:sz="0" w:space="0" w:color="auto"/>
            <w:left w:val="none" w:sz="0" w:space="0" w:color="auto"/>
            <w:bottom w:val="none" w:sz="0" w:space="0" w:color="auto"/>
            <w:right w:val="none" w:sz="0" w:space="0" w:color="auto"/>
          </w:divBdr>
        </w:div>
      </w:divsChild>
    </w:div>
    <w:div w:id="1370305275">
      <w:bodyDiv w:val="1"/>
      <w:marLeft w:val="0"/>
      <w:marRight w:val="0"/>
      <w:marTop w:val="0"/>
      <w:marBottom w:val="0"/>
      <w:divBdr>
        <w:top w:val="none" w:sz="0" w:space="0" w:color="auto"/>
        <w:left w:val="none" w:sz="0" w:space="0" w:color="auto"/>
        <w:bottom w:val="none" w:sz="0" w:space="0" w:color="auto"/>
        <w:right w:val="none" w:sz="0" w:space="0" w:color="auto"/>
      </w:divBdr>
      <w:divsChild>
        <w:div w:id="19865518">
          <w:marLeft w:val="850"/>
          <w:marRight w:val="0"/>
          <w:marTop w:val="0"/>
          <w:marBottom w:val="112"/>
          <w:divBdr>
            <w:top w:val="none" w:sz="0" w:space="0" w:color="auto"/>
            <w:left w:val="none" w:sz="0" w:space="0" w:color="auto"/>
            <w:bottom w:val="none" w:sz="0" w:space="0" w:color="auto"/>
            <w:right w:val="none" w:sz="0" w:space="0" w:color="auto"/>
          </w:divBdr>
        </w:div>
        <w:div w:id="107311209">
          <w:marLeft w:val="562"/>
          <w:marRight w:val="0"/>
          <w:marTop w:val="0"/>
          <w:marBottom w:val="227"/>
          <w:divBdr>
            <w:top w:val="none" w:sz="0" w:space="0" w:color="auto"/>
            <w:left w:val="none" w:sz="0" w:space="0" w:color="auto"/>
            <w:bottom w:val="none" w:sz="0" w:space="0" w:color="auto"/>
            <w:right w:val="none" w:sz="0" w:space="0" w:color="auto"/>
          </w:divBdr>
        </w:div>
        <w:div w:id="921530002">
          <w:marLeft w:val="850"/>
          <w:marRight w:val="0"/>
          <w:marTop w:val="0"/>
          <w:marBottom w:val="112"/>
          <w:divBdr>
            <w:top w:val="none" w:sz="0" w:space="0" w:color="auto"/>
            <w:left w:val="none" w:sz="0" w:space="0" w:color="auto"/>
            <w:bottom w:val="none" w:sz="0" w:space="0" w:color="auto"/>
            <w:right w:val="none" w:sz="0" w:space="0" w:color="auto"/>
          </w:divBdr>
        </w:div>
        <w:div w:id="1489784035">
          <w:marLeft w:val="850"/>
          <w:marRight w:val="0"/>
          <w:marTop w:val="0"/>
          <w:marBottom w:val="112"/>
          <w:divBdr>
            <w:top w:val="none" w:sz="0" w:space="0" w:color="auto"/>
            <w:left w:val="none" w:sz="0" w:space="0" w:color="auto"/>
            <w:bottom w:val="none" w:sz="0" w:space="0" w:color="auto"/>
            <w:right w:val="none" w:sz="0" w:space="0" w:color="auto"/>
          </w:divBdr>
        </w:div>
      </w:divsChild>
    </w:div>
    <w:div w:id="1445148501">
      <w:bodyDiv w:val="1"/>
      <w:marLeft w:val="0"/>
      <w:marRight w:val="0"/>
      <w:marTop w:val="0"/>
      <w:marBottom w:val="0"/>
      <w:divBdr>
        <w:top w:val="none" w:sz="0" w:space="0" w:color="auto"/>
        <w:left w:val="none" w:sz="0" w:space="0" w:color="auto"/>
        <w:bottom w:val="none" w:sz="0" w:space="0" w:color="auto"/>
        <w:right w:val="none" w:sz="0" w:space="0" w:color="auto"/>
      </w:divBdr>
    </w:div>
    <w:div w:id="1494176142">
      <w:bodyDiv w:val="1"/>
      <w:marLeft w:val="0"/>
      <w:marRight w:val="0"/>
      <w:marTop w:val="0"/>
      <w:marBottom w:val="0"/>
      <w:divBdr>
        <w:top w:val="none" w:sz="0" w:space="0" w:color="auto"/>
        <w:left w:val="none" w:sz="0" w:space="0" w:color="auto"/>
        <w:bottom w:val="none" w:sz="0" w:space="0" w:color="auto"/>
        <w:right w:val="none" w:sz="0" w:space="0" w:color="auto"/>
      </w:divBdr>
    </w:div>
    <w:div w:id="1513496298">
      <w:bodyDiv w:val="1"/>
      <w:marLeft w:val="0"/>
      <w:marRight w:val="0"/>
      <w:marTop w:val="0"/>
      <w:marBottom w:val="0"/>
      <w:divBdr>
        <w:top w:val="none" w:sz="0" w:space="0" w:color="auto"/>
        <w:left w:val="none" w:sz="0" w:space="0" w:color="auto"/>
        <w:bottom w:val="none" w:sz="0" w:space="0" w:color="auto"/>
        <w:right w:val="none" w:sz="0" w:space="0" w:color="auto"/>
      </w:divBdr>
      <w:divsChild>
        <w:div w:id="1847090378">
          <w:marLeft w:val="850"/>
          <w:marRight w:val="0"/>
          <w:marTop w:val="0"/>
          <w:marBottom w:val="112"/>
          <w:divBdr>
            <w:top w:val="none" w:sz="0" w:space="0" w:color="auto"/>
            <w:left w:val="none" w:sz="0" w:space="0" w:color="auto"/>
            <w:bottom w:val="none" w:sz="0" w:space="0" w:color="auto"/>
            <w:right w:val="none" w:sz="0" w:space="0" w:color="auto"/>
          </w:divBdr>
        </w:div>
      </w:divsChild>
    </w:div>
    <w:div w:id="1550998579">
      <w:bodyDiv w:val="1"/>
      <w:marLeft w:val="0"/>
      <w:marRight w:val="0"/>
      <w:marTop w:val="0"/>
      <w:marBottom w:val="0"/>
      <w:divBdr>
        <w:top w:val="none" w:sz="0" w:space="0" w:color="auto"/>
        <w:left w:val="none" w:sz="0" w:space="0" w:color="auto"/>
        <w:bottom w:val="none" w:sz="0" w:space="0" w:color="auto"/>
        <w:right w:val="none" w:sz="0" w:space="0" w:color="auto"/>
      </w:divBdr>
    </w:div>
    <w:div w:id="1578052384">
      <w:bodyDiv w:val="1"/>
      <w:marLeft w:val="0"/>
      <w:marRight w:val="0"/>
      <w:marTop w:val="0"/>
      <w:marBottom w:val="0"/>
      <w:divBdr>
        <w:top w:val="none" w:sz="0" w:space="0" w:color="auto"/>
        <w:left w:val="none" w:sz="0" w:space="0" w:color="auto"/>
        <w:bottom w:val="none" w:sz="0" w:space="0" w:color="auto"/>
        <w:right w:val="none" w:sz="0" w:space="0" w:color="auto"/>
      </w:divBdr>
    </w:div>
    <w:div w:id="1620604355">
      <w:bodyDiv w:val="1"/>
      <w:marLeft w:val="0"/>
      <w:marRight w:val="0"/>
      <w:marTop w:val="0"/>
      <w:marBottom w:val="0"/>
      <w:divBdr>
        <w:top w:val="none" w:sz="0" w:space="0" w:color="auto"/>
        <w:left w:val="none" w:sz="0" w:space="0" w:color="auto"/>
        <w:bottom w:val="none" w:sz="0" w:space="0" w:color="auto"/>
        <w:right w:val="none" w:sz="0" w:space="0" w:color="auto"/>
      </w:divBdr>
    </w:div>
    <w:div w:id="1629970296">
      <w:bodyDiv w:val="1"/>
      <w:marLeft w:val="0"/>
      <w:marRight w:val="0"/>
      <w:marTop w:val="0"/>
      <w:marBottom w:val="0"/>
      <w:divBdr>
        <w:top w:val="none" w:sz="0" w:space="0" w:color="auto"/>
        <w:left w:val="none" w:sz="0" w:space="0" w:color="auto"/>
        <w:bottom w:val="none" w:sz="0" w:space="0" w:color="auto"/>
        <w:right w:val="none" w:sz="0" w:space="0" w:color="auto"/>
      </w:divBdr>
    </w:div>
    <w:div w:id="1659379143">
      <w:bodyDiv w:val="1"/>
      <w:marLeft w:val="0"/>
      <w:marRight w:val="0"/>
      <w:marTop w:val="0"/>
      <w:marBottom w:val="0"/>
      <w:divBdr>
        <w:top w:val="none" w:sz="0" w:space="0" w:color="auto"/>
        <w:left w:val="none" w:sz="0" w:space="0" w:color="auto"/>
        <w:bottom w:val="none" w:sz="0" w:space="0" w:color="auto"/>
        <w:right w:val="none" w:sz="0" w:space="0" w:color="auto"/>
      </w:divBdr>
      <w:divsChild>
        <w:div w:id="335813431">
          <w:marLeft w:val="2405"/>
          <w:marRight w:val="0"/>
          <w:marTop w:val="0"/>
          <w:marBottom w:val="0"/>
          <w:divBdr>
            <w:top w:val="none" w:sz="0" w:space="0" w:color="auto"/>
            <w:left w:val="none" w:sz="0" w:space="0" w:color="auto"/>
            <w:bottom w:val="none" w:sz="0" w:space="0" w:color="auto"/>
            <w:right w:val="none" w:sz="0" w:space="0" w:color="auto"/>
          </w:divBdr>
        </w:div>
        <w:div w:id="358747093">
          <w:marLeft w:val="2405"/>
          <w:marRight w:val="0"/>
          <w:marTop w:val="0"/>
          <w:marBottom w:val="0"/>
          <w:divBdr>
            <w:top w:val="none" w:sz="0" w:space="0" w:color="auto"/>
            <w:left w:val="none" w:sz="0" w:space="0" w:color="auto"/>
            <w:bottom w:val="none" w:sz="0" w:space="0" w:color="auto"/>
            <w:right w:val="none" w:sz="0" w:space="0" w:color="auto"/>
          </w:divBdr>
        </w:div>
        <w:div w:id="445924689">
          <w:marLeft w:val="2405"/>
          <w:marRight w:val="0"/>
          <w:marTop w:val="0"/>
          <w:marBottom w:val="0"/>
          <w:divBdr>
            <w:top w:val="none" w:sz="0" w:space="0" w:color="auto"/>
            <w:left w:val="none" w:sz="0" w:space="0" w:color="auto"/>
            <w:bottom w:val="none" w:sz="0" w:space="0" w:color="auto"/>
            <w:right w:val="none" w:sz="0" w:space="0" w:color="auto"/>
          </w:divBdr>
        </w:div>
        <w:div w:id="453602335">
          <w:marLeft w:val="2405"/>
          <w:marRight w:val="0"/>
          <w:marTop w:val="0"/>
          <w:marBottom w:val="0"/>
          <w:divBdr>
            <w:top w:val="none" w:sz="0" w:space="0" w:color="auto"/>
            <w:left w:val="none" w:sz="0" w:space="0" w:color="auto"/>
            <w:bottom w:val="none" w:sz="0" w:space="0" w:color="auto"/>
            <w:right w:val="none" w:sz="0" w:space="0" w:color="auto"/>
          </w:divBdr>
        </w:div>
        <w:div w:id="801734063">
          <w:marLeft w:val="2405"/>
          <w:marRight w:val="0"/>
          <w:marTop w:val="0"/>
          <w:marBottom w:val="0"/>
          <w:divBdr>
            <w:top w:val="none" w:sz="0" w:space="0" w:color="auto"/>
            <w:left w:val="none" w:sz="0" w:space="0" w:color="auto"/>
            <w:bottom w:val="none" w:sz="0" w:space="0" w:color="auto"/>
            <w:right w:val="none" w:sz="0" w:space="0" w:color="auto"/>
          </w:divBdr>
        </w:div>
        <w:div w:id="1118183867">
          <w:marLeft w:val="2405"/>
          <w:marRight w:val="0"/>
          <w:marTop w:val="0"/>
          <w:marBottom w:val="0"/>
          <w:divBdr>
            <w:top w:val="none" w:sz="0" w:space="0" w:color="auto"/>
            <w:left w:val="none" w:sz="0" w:space="0" w:color="auto"/>
            <w:bottom w:val="none" w:sz="0" w:space="0" w:color="auto"/>
            <w:right w:val="none" w:sz="0" w:space="0" w:color="auto"/>
          </w:divBdr>
        </w:div>
        <w:div w:id="1140152000">
          <w:marLeft w:val="2405"/>
          <w:marRight w:val="0"/>
          <w:marTop w:val="0"/>
          <w:marBottom w:val="0"/>
          <w:divBdr>
            <w:top w:val="none" w:sz="0" w:space="0" w:color="auto"/>
            <w:left w:val="none" w:sz="0" w:space="0" w:color="auto"/>
            <w:bottom w:val="none" w:sz="0" w:space="0" w:color="auto"/>
            <w:right w:val="none" w:sz="0" w:space="0" w:color="auto"/>
          </w:divBdr>
        </w:div>
        <w:div w:id="1554273766">
          <w:marLeft w:val="2405"/>
          <w:marRight w:val="0"/>
          <w:marTop w:val="0"/>
          <w:marBottom w:val="0"/>
          <w:divBdr>
            <w:top w:val="none" w:sz="0" w:space="0" w:color="auto"/>
            <w:left w:val="none" w:sz="0" w:space="0" w:color="auto"/>
            <w:bottom w:val="none" w:sz="0" w:space="0" w:color="auto"/>
            <w:right w:val="none" w:sz="0" w:space="0" w:color="auto"/>
          </w:divBdr>
        </w:div>
        <w:div w:id="1741365173">
          <w:marLeft w:val="2405"/>
          <w:marRight w:val="0"/>
          <w:marTop w:val="0"/>
          <w:marBottom w:val="0"/>
          <w:divBdr>
            <w:top w:val="none" w:sz="0" w:space="0" w:color="auto"/>
            <w:left w:val="none" w:sz="0" w:space="0" w:color="auto"/>
            <w:bottom w:val="none" w:sz="0" w:space="0" w:color="auto"/>
            <w:right w:val="none" w:sz="0" w:space="0" w:color="auto"/>
          </w:divBdr>
        </w:div>
        <w:div w:id="1918251240">
          <w:marLeft w:val="2405"/>
          <w:marRight w:val="0"/>
          <w:marTop w:val="0"/>
          <w:marBottom w:val="0"/>
          <w:divBdr>
            <w:top w:val="none" w:sz="0" w:space="0" w:color="auto"/>
            <w:left w:val="none" w:sz="0" w:space="0" w:color="auto"/>
            <w:bottom w:val="none" w:sz="0" w:space="0" w:color="auto"/>
            <w:right w:val="none" w:sz="0" w:space="0" w:color="auto"/>
          </w:divBdr>
        </w:div>
      </w:divsChild>
    </w:div>
    <w:div w:id="1697806983">
      <w:bodyDiv w:val="1"/>
      <w:marLeft w:val="0"/>
      <w:marRight w:val="0"/>
      <w:marTop w:val="0"/>
      <w:marBottom w:val="0"/>
      <w:divBdr>
        <w:top w:val="none" w:sz="0" w:space="0" w:color="auto"/>
        <w:left w:val="none" w:sz="0" w:space="0" w:color="auto"/>
        <w:bottom w:val="none" w:sz="0" w:space="0" w:color="auto"/>
        <w:right w:val="none" w:sz="0" w:space="0" w:color="auto"/>
      </w:divBdr>
      <w:divsChild>
        <w:div w:id="850683910">
          <w:marLeft w:val="850"/>
          <w:marRight w:val="0"/>
          <w:marTop w:val="0"/>
          <w:marBottom w:val="112"/>
          <w:divBdr>
            <w:top w:val="none" w:sz="0" w:space="0" w:color="auto"/>
            <w:left w:val="none" w:sz="0" w:space="0" w:color="auto"/>
            <w:bottom w:val="none" w:sz="0" w:space="0" w:color="auto"/>
            <w:right w:val="none" w:sz="0" w:space="0" w:color="auto"/>
          </w:divBdr>
        </w:div>
      </w:divsChild>
    </w:div>
    <w:div w:id="1710909994">
      <w:bodyDiv w:val="1"/>
      <w:marLeft w:val="0"/>
      <w:marRight w:val="0"/>
      <w:marTop w:val="0"/>
      <w:marBottom w:val="0"/>
      <w:divBdr>
        <w:top w:val="none" w:sz="0" w:space="0" w:color="auto"/>
        <w:left w:val="none" w:sz="0" w:space="0" w:color="auto"/>
        <w:bottom w:val="none" w:sz="0" w:space="0" w:color="auto"/>
        <w:right w:val="none" w:sz="0" w:space="0" w:color="auto"/>
      </w:divBdr>
    </w:div>
    <w:div w:id="1736005607">
      <w:bodyDiv w:val="1"/>
      <w:marLeft w:val="0"/>
      <w:marRight w:val="0"/>
      <w:marTop w:val="0"/>
      <w:marBottom w:val="0"/>
      <w:divBdr>
        <w:top w:val="none" w:sz="0" w:space="0" w:color="auto"/>
        <w:left w:val="none" w:sz="0" w:space="0" w:color="auto"/>
        <w:bottom w:val="none" w:sz="0" w:space="0" w:color="auto"/>
        <w:right w:val="none" w:sz="0" w:space="0" w:color="auto"/>
      </w:divBdr>
      <w:divsChild>
        <w:div w:id="1381513252">
          <w:marLeft w:val="0"/>
          <w:marRight w:val="0"/>
          <w:marTop w:val="0"/>
          <w:marBottom w:val="0"/>
          <w:divBdr>
            <w:top w:val="none" w:sz="0" w:space="0" w:color="auto"/>
            <w:left w:val="none" w:sz="0" w:space="0" w:color="auto"/>
            <w:bottom w:val="none" w:sz="0" w:space="0" w:color="auto"/>
            <w:right w:val="none" w:sz="0" w:space="0" w:color="auto"/>
          </w:divBdr>
          <w:divsChild>
            <w:div w:id="572739371">
              <w:marLeft w:val="0"/>
              <w:marRight w:val="0"/>
              <w:marTop w:val="0"/>
              <w:marBottom w:val="0"/>
              <w:divBdr>
                <w:top w:val="none" w:sz="0" w:space="0" w:color="auto"/>
                <w:left w:val="none" w:sz="0" w:space="0" w:color="auto"/>
                <w:bottom w:val="none" w:sz="0" w:space="0" w:color="auto"/>
                <w:right w:val="none" w:sz="0" w:space="0" w:color="auto"/>
              </w:divBdr>
              <w:divsChild>
                <w:div w:id="314070563">
                  <w:marLeft w:val="0"/>
                  <w:marRight w:val="0"/>
                  <w:marTop w:val="0"/>
                  <w:marBottom w:val="0"/>
                  <w:divBdr>
                    <w:top w:val="none" w:sz="0" w:space="0" w:color="auto"/>
                    <w:left w:val="none" w:sz="0" w:space="0" w:color="auto"/>
                    <w:bottom w:val="none" w:sz="0" w:space="0" w:color="auto"/>
                    <w:right w:val="none" w:sz="0" w:space="0" w:color="auto"/>
                  </w:divBdr>
                  <w:divsChild>
                    <w:div w:id="196505088">
                      <w:marLeft w:val="0"/>
                      <w:marRight w:val="0"/>
                      <w:marTop w:val="0"/>
                      <w:marBottom w:val="0"/>
                      <w:divBdr>
                        <w:top w:val="none" w:sz="0" w:space="0" w:color="auto"/>
                        <w:left w:val="none" w:sz="0" w:space="0" w:color="auto"/>
                        <w:bottom w:val="none" w:sz="0" w:space="0" w:color="auto"/>
                        <w:right w:val="none" w:sz="0" w:space="0" w:color="auto"/>
                      </w:divBdr>
                      <w:divsChild>
                        <w:div w:id="659117613">
                          <w:marLeft w:val="0"/>
                          <w:marRight w:val="0"/>
                          <w:marTop w:val="0"/>
                          <w:marBottom w:val="0"/>
                          <w:divBdr>
                            <w:top w:val="none" w:sz="0" w:space="0" w:color="auto"/>
                            <w:left w:val="none" w:sz="0" w:space="0" w:color="auto"/>
                            <w:bottom w:val="none" w:sz="0" w:space="0" w:color="auto"/>
                            <w:right w:val="none" w:sz="0" w:space="0" w:color="auto"/>
                          </w:divBdr>
                          <w:divsChild>
                            <w:div w:id="1424649655">
                              <w:marLeft w:val="0"/>
                              <w:marRight w:val="0"/>
                              <w:marTop w:val="0"/>
                              <w:marBottom w:val="0"/>
                              <w:divBdr>
                                <w:top w:val="none" w:sz="0" w:space="0" w:color="auto"/>
                                <w:left w:val="none" w:sz="0" w:space="0" w:color="auto"/>
                                <w:bottom w:val="none" w:sz="0" w:space="0" w:color="auto"/>
                                <w:right w:val="none" w:sz="0" w:space="0" w:color="auto"/>
                              </w:divBdr>
                              <w:divsChild>
                                <w:div w:id="20308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64098">
      <w:bodyDiv w:val="1"/>
      <w:marLeft w:val="0"/>
      <w:marRight w:val="0"/>
      <w:marTop w:val="0"/>
      <w:marBottom w:val="0"/>
      <w:divBdr>
        <w:top w:val="none" w:sz="0" w:space="0" w:color="auto"/>
        <w:left w:val="none" w:sz="0" w:space="0" w:color="auto"/>
        <w:bottom w:val="none" w:sz="0" w:space="0" w:color="auto"/>
        <w:right w:val="none" w:sz="0" w:space="0" w:color="auto"/>
      </w:divBdr>
    </w:div>
    <w:div w:id="2087418626">
      <w:bodyDiv w:val="1"/>
      <w:marLeft w:val="0"/>
      <w:marRight w:val="0"/>
      <w:marTop w:val="0"/>
      <w:marBottom w:val="0"/>
      <w:divBdr>
        <w:top w:val="none" w:sz="0" w:space="0" w:color="auto"/>
        <w:left w:val="none" w:sz="0" w:space="0" w:color="auto"/>
        <w:bottom w:val="none" w:sz="0" w:space="0" w:color="auto"/>
        <w:right w:val="none" w:sz="0" w:space="0" w:color="auto"/>
      </w:divBdr>
    </w:div>
    <w:div w:id="211840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ct:contentTypeSchema xmlns:ct="http://schemas.microsoft.com/office/2006/metadata/contentType" xmlns:ma="http://schemas.microsoft.com/office/2006/metadata/properties/metaAttributes" ct:_="" ma:_="" ma:contentTypeName="Document" ma:contentTypeID="0x0101004CC97AB7A708F14780CF3C43D3493967" ma:contentTypeVersion="6" ma:contentTypeDescription="Create a new document." ma:contentTypeScope="" ma:versionID="9c2865a8be0935b474331ad6518d009c">
  <xsd:schema xmlns:xsd="http://www.w3.org/2001/XMLSchema" xmlns:xs="http://www.w3.org/2001/XMLSchema" xmlns:p="http://schemas.microsoft.com/office/2006/metadata/properties" xmlns:ns2="94b06c0d-e759-4841-bc3f-f5cf877bd32f" xmlns:ns3="97a32e7b-3877-4cf5-b7b4-88c34ccc40ae" targetNamespace="http://schemas.microsoft.com/office/2006/metadata/properties" ma:root="true" ma:fieldsID="9a6fc5203bfd1fc026f8c9544feed54f" ns2:_="" ns3:_="">
    <xsd:import namespace="94b06c0d-e759-4841-bc3f-f5cf877bd32f"/>
    <xsd:import namespace="97a32e7b-3877-4cf5-b7b4-88c34ccc40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06c0d-e759-4841-bc3f-f5cf877bd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32e7b-3877-4cf5-b7b4-88c34ccc40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384A7-B64E-41FB-9074-29033718608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7a32e7b-3877-4cf5-b7b4-88c34ccc40ae"/>
    <ds:schemaRef ds:uri="94b06c0d-e759-4841-bc3f-f5cf877bd32f"/>
    <ds:schemaRef ds:uri="http://www.w3.org/XML/1998/namespace"/>
    <ds:schemaRef ds:uri="http://purl.org/dc/dcmitype/"/>
  </ds:schemaRefs>
</ds:datastoreItem>
</file>

<file path=customXml/itemProps2.xml><?xml version="1.0" encoding="utf-8"?>
<ds:datastoreItem xmlns:ds="http://schemas.openxmlformats.org/officeDocument/2006/customXml" ds:itemID="{AAABFCA2-6456-4445-AD1A-EC01712E52AD}">
  <ds:schemaRefs>
    <ds:schemaRef ds:uri="http://schemas.microsoft.com/sharepoint/v3/contenttype/forms"/>
  </ds:schemaRefs>
</ds:datastoreItem>
</file>

<file path=customXml/itemProps3.xml><?xml version="1.0" encoding="utf-8"?>
<ds:datastoreItem xmlns:ds="http://schemas.openxmlformats.org/officeDocument/2006/customXml" ds:itemID="{D492BF27-EE7B-4A83-823C-22B3FC14A8E4}">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8CB08947-35A9-4A9F-AF0F-521A2A9699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06c0d-e759-4841-bc3f-f5cf877bd32f"/>
    <ds:schemaRef ds:uri="97a32e7b-3877-4cf5-b7b4-88c34ccc4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7414714-5941-40B1-BE98-211A59D75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6011</Words>
  <Characters>29853</Characters>
  <Application>Microsoft Office Word</Application>
  <DocSecurity>0</DocSecurity>
  <Lines>248</Lines>
  <Paragraphs>71</Paragraphs>
  <ScaleCrop>false</ScaleCrop>
  <HeadingPairs>
    <vt:vector size="2" baseType="variant">
      <vt:variant>
        <vt:lpstr>Title</vt:lpstr>
      </vt:variant>
      <vt:variant>
        <vt:i4>1</vt:i4>
      </vt:variant>
    </vt:vector>
  </HeadingPairs>
  <TitlesOfParts>
    <vt:vector size="1" baseType="lpstr">
      <vt:lpstr>DSD005</vt:lpstr>
    </vt:vector>
  </TitlesOfParts>
  <Company>Elexon</Company>
  <LinksUpToDate>false</LinksUpToDate>
  <CharactersWithSpaces>35793</CharactersWithSpaces>
  <SharedDoc>false</SharedDoc>
  <HLinks>
    <vt:vector size="174" baseType="variant">
      <vt:variant>
        <vt:i4>1179701</vt:i4>
      </vt:variant>
      <vt:variant>
        <vt:i4>176</vt:i4>
      </vt:variant>
      <vt:variant>
        <vt:i4>0</vt:i4>
      </vt:variant>
      <vt:variant>
        <vt:i4>5</vt:i4>
      </vt:variant>
      <vt:variant>
        <vt:lpwstr/>
      </vt:variant>
      <vt:variant>
        <vt:lpwstr>_Toc161137651</vt:lpwstr>
      </vt:variant>
      <vt:variant>
        <vt:i4>1179701</vt:i4>
      </vt:variant>
      <vt:variant>
        <vt:i4>170</vt:i4>
      </vt:variant>
      <vt:variant>
        <vt:i4>0</vt:i4>
      </vt:variant>
      <vt:variant>
        <vt:i4>5</vt:i4>
      </vt:variant>
      <vt:variant>
        <vt:lpwstr/>
      </vt:variant>
      <vt:variant>
        <vt:lpwstr>_Toc161137650</vt:lpwstr>
      </vt:variant>
      <vt:variant>
        <vt:i4>1245237</vt:i4>
      </vt:variant>
      <vt:variant>
        <vt:i4>164</vt:i4>
      </vt:variant>
      <vt:variant>
        <vt:i4>0</vt:i4>
      </vt:variant>
      <vt:variant>
        <vt:i4>5</vt:i4>
      </vt:variant>
      <vt:variant>
        <vt:lpwstr/>
      </vt:variant>
      <vt:variant>
        <vt:lpwstr>_Toc161137649</vt:lpwstr>
      </vt:variant>
      <vt:variant>
        <vt:i4>1245237</vt:i4>
      </vt:variant>
      <vt:variant>
        <vt:i4>158</vt:i4>
      </vt:variant>
      <vt:variant>
        <vt:i4>0</vt:i4>
      </vt:variant>
      <vt:variant>
        <vt:i4>5</vt:i4>
      </vt:variant>
      <vt:variant>
        <vt:lpwstr/>
      </vt:variant>
      <vt:variant>
        <vt:lpwstr>_Toc161137648</vt:lpwstr>
      </vt:variant>
      <vt:variant>
        <vt:i4>1245237</vt:i4>
      </vt:variant>
      <vt:variant>
        <vt:i4>152</vt:i4>
      </vt:variant>
      <vt:variant>
        <vt:i4>0</vt:i4>
      </vt:variant>
      <vt:variant>
        <vt:i4>5</vt:i4>
      </vt:variant>
      <vt:variant>
        <vt:lpwstr/>
      </vt:variant>
      <vt:variant>
        <vt:lpwstr>_Toc161137647</vt:lpwstr>
      </vt:variant>
      <vt:variant>
        <vt:i4>1245237</vt:i4>
      </vt:variant>
      <vt:variant>
        <vt:i4>146</vt:i4>
      </vt:variant>
      <vt:variant>
        <vt:i4>0</vt:i4>
      </vt:variant>
      <vt:variant>
        <vt:i4>5</vt:i4>
      </vt:variant>
      <vt:variant>
        <vt:lpwstr/>
      </vt:variant>
      <vt:variant>
        <vt:lpwstr>_Toc161137646</vt:lpwstr>
      </vt:variant>
      <vt:variant>
        <vt:i4>1245237</vt:i4>
      </vt:variant>
      <vt:variant>
        <vt:i4>140</vt:i4>
      </vt:variant>
      <vt:variant>
        <vt:i4>0</vt:i4>
      </vt:variant>
      <vt:variant>
        <vt:i4>5</vt:i4>
      </vt:variant>
      <vt:variant>
        <vt:lpwstr/>
      </vt:variant>
      <vt:variant>
        <vt:lpwstr>_Toc161137645</vt:lpwstr>
      </vt:variant>
      <vt:variant>
        <vt:i4>1245237</vt:i4>
      </vt:variant>
      <vt:variant>
        <vt:i4>134</vt:i4>
      </vt:variant>
      <vt:variant>
        <vt:i4>0</vt:i4>
      </vt:variant>
      <vt:variant>
        <vt:i4>5</vt:i4>
      </vt:variant>
      <vt:variant>
        <vt:lpwstr/>
      </vt:variant>
      <vt:variant>
        <vt:lpwstr>_Toc161137644</vt:lpwstr>
      </vt:variant>
      <vt:variant>
        <vt:i4>1245237</vt:i4>
      </vt:variant>
      <vt:variant>
        <vt:i4>128</vt:i4>
      </vt:variant>
      <vt:variant>
        <vt:i4>0</vt:i4>
      </vt:variant>
      <vt:variant>
        <vt:i4>5</vt:i4>
      </vt:variant>
      <vt:variant>
        <vt:lpwstr/>
      </vt:variant>
      <vt:variant>
        <vt:lpwstr>_Toc161137643</vt:lpwstr>
      </vt:variant>
      <vt:variant>
        <vt:i4>1245237</vt:i4>
      </vt:variant>
      <vt:variant>
        <vt:i4>122</vt:i4>
      </vt:variant>
      <vt:variant>
        <vt:i4>0</vt:i4>
      </vt:variant>
      <vt:variant>
        <vt:i4>5</vt:i4>
      </vt:variant>
      <vt:variant>
        <vt:lpwstr/>
      </vt:variant>
      <vt:variant>
        <vt:lpwstr>_Toc161137642</vt:lpwstr>
      </vt:variant>
      <vt:variant>
        <vt:i4>1245237</vt:i4>
      </vt:variant>
      <vt:variant>
        <vt:i4>116</vt:i4>
      </vt:variant>
      <vt:variant>
        <vt:i4>0</vt:i4>
      </vt:variant>
      <vt:variant>
        <vt:i4>5</vt:i4>
      </vt:variant>
      <vt:variant>
        <vt:lpwstr/>
      </vt:variant>
      <vt:variant>
        <vt:lpwstr>_Toc161137641</vt:lpwstr>
      </vt:variant>
      <vt:variant>
        <vt:i4>1245237</vt:i4>
      </vt:variant>
      <vt:variant>
        <vt:i4>110</vt:i4>
      </vt:variant>
      <vt:variant>
        <vt:i4>0</vt:i4>
      </vt:variant>
      <vt:variant>
        <vt:i4>5</vt:i4>
      </vt:variant>
      <vt:variant>
        <vt:lpwstr/>
      </vt:variant>
      <vt:variant>
        <vt:lpwstr>_Toc161137640</vt:lpwstr>
      </vt:variant>
      <vt:variant>
        <vt:i4>1310773</vt:i4>
      </vt:variant>
      <vt:variant>
        <vt:i4>104</vt:i4>
      </vt:variant>
      <vt:variant>
        <vt:i4>0</vt:i4>
      </vt:variant>
      <vt:variant>
        <vt:i4>5</vt:i4>
      </vt:variant>
      <vt:variant>
        <vt:lpwstr/>
      </vt:variant>
      <vt:variant>
        <vt:lpwstr>_Toc161137639</vt:lpwstr>
      </vt:variant>
      <vt:variant>
        <vt:i4>1310773</vt:i4>
      </vt:variant>
      <vt:variant>
        <vt:i4>98</vt:i4>
      </vt:variant>
      <vt:variant>
        <vt:i4>0</vt:i4>
      </vt:variant>
      <vt:variant>
        <vt:i4>5</vt:i4>
      </vt:variant>
      <vt:variant>
        <vt:lpwstr/>
      </vt:variant>
      <vt:variant>
        <vt:lpwstr>_Toc161137638</vt:lpwstr>
      </vt:variant>
      <vt:variant>
        <vt:i4>1310773</vt:i4>
      </vt:variant>
      <vt:variant>
        <vt:i4>92</vt:i4>
      </vt:variant>
      <vt:variant>
        <vt:i4>0</vt:i4>
      </vt:variant>
      <vt:variant>
        <vt:i4>5</vt:i4>
      </vt:variant>
      <vt:variant>
        <vt:lpwstr/>
      </vt:variant>
      <vt:variant>
        <vt:lpwstr>_Toc161137637</vt:lpwstr>
      </vt:variant>
      <vt:variant>
        <vt:i4>1310773</vt:i4>
      </vt:variant>
      <vt:variant>
        <vt:i4>86</vt:i4>
      </vt:variant>
      <vt:variant>
        <vt:i4>0</vt:i4>
      </vt:variant>
      <vt:variant>
        <vt:i4>5</vt:i4>
      </vt:variant>
      <vt:variant>
        <vt:lpwstr/>
      </vt:variant>
      <vt:variant>
        <vt:lpwstr>_Toc161137636</vt:lpwstr>
      </vt:variant>
      <vt:variant>
        <vt:i4>1310773</vt:i4>
      </vt:variant>
      <vt:variant>
        <vt:i4>80</vt:i4>
      </vt:variant>
      <vt:variant>
        <vt:i4>0</vt:i4>
      </vt:variant>
      <vt:variant>
        <vt:i4>5</vt:i4>
      </vt:variant>
      <vt:variant>
        <vt:lpwstr/>
      </vt:variant>
      <vt:variant>
        <vt:lpwstr>_Toc161137635</vt:lpwstr>
      </vt:variant>
      <vt:variant>
        <vt:i4>1310773</vt:i4>
      </vt:variant>
      <vt:variant>
        <vt:i4>74</vt:i4>
      </vt:variant>
      <vt:variant>
        <vt:i4>0</vt:i4>
      </vt:variant>
      <vt:variant>
        <vt:i4>5</vt:i4>
      </vt:variant>
      <vt:variant>
        <vt:lpwstr/>
      </vt:variant>
      <vt:variant>
        <vt:lpwstr>_Toc161137634</vt:lpwstr>
      </vt:variant>
      <vt:variant>
        <vt:i4>1310773</vt:i4>
      </vt:variant>
      <vt:variant>
        <vt:i4>68</vt:i4>
      </vt:variant>
      <vt:variant>
        <vt:i4>0</vt:i4>
      </vt:variant>
      <vt:variant>
        <vt:i4>5</vt:i4>
      </vt:variant>
      <vt:variant>
        <vt:lpwstr/>
      </vt:variant>
      <vt:variant>
        <vt:lpwstr>_Toc161137633</vt:lpwstr>
      </vt:variant>
      <vt:variant>
        <vt:i4>1310773</vt:i4>
      </vt:variant>
      <vt:variant>
        <vt:i4>62</vt:i4>
      </vt:variant>
      <vt:variant>
        <vt:i4>0</vt:i4>
      </vt:variant>
      <vt:variant>
        <vt:i4>5</vt:i4>
      </vt:variant>
      <vt:variant>
        <vt:lpwstr/>
      </vt:variant>
      <vt:variant>
        <vt:lpwstr>_Toc161137632</vt:lpwstr>
      </vt:variant>
      <vt:variant>
        <vt:i4>1310773</vt:i4>
      </vt:variant>
      <vt:variant>
        <vt:i4>56</vt:i4>
      </vt:variant>
      <vt:variant>
        <vt:i4>0</vt:i4>
      </vt:variant>
      <vt:variant>
        <vt:i4>5</vt:i4>
      </vt:variant>
      <vt:variant>
        <vt:lpwstr/>
      </vt:variant>
      <vt:variant>
        <vt:lpwstr>_Toc161137631</vt:lpwstr>
      </vt:variant>
      <vt:variant>
        <vt:i4>1310773</vt:i4>
      </vt:variant>
      <vt:variant>
        <vt:i4>50</vt:i4>
      </vt:variant>
      <vt:variant>
        <vt:i4>0</vt:i4>
      </vt:variant>
      <vt:variant>
        <vt:i4>5</vt:i4>
      </vt:variant>
      <vt:variant>
        <vt:lpwstr/>
      </vt:variant>
      <vt:variant>
        <vt:lpwstr>_Toc161137630</vt:lpwstr>
      </vt:variant>
      <vt:variant>
        <vt:i4>1376309</vt:i4>
      </vt:variant>
      <vt:variant>
        <vt:i4>44</vt:i4>
      </vt:variant>
      <vt:variant>
        <vt:i4>0</vt:i4>
      </vt:variant>
      <vt:variant>
        <vt:i4>5</vt:i4>
      </vt:variant>
      <vt:variant>
        <vt:lpwstr/>
      </vt:variant>
      <vt:variant>
        <vt:lpwstr>_Toc161137629</vt:lpwstr>
      </vt:variant>
      <vt:variant>
        <vt:i4>1376309</vt:i4>
      </vt:variant>
      <vt:variant>
        <vt:i4>38</vt:i4>
      </vt:variant>
      <vt:variant>
        <vt:i4>0</vt:i4>
      </vt:variant>
      <vt:variant>
        <vt:i4>5</vt:i4>
      </vt:variant>
      <vt:variant>
        <vt:lpwstr/>
      </vt:variant>
      <vt:variant>
        <vt:lpwstr>_Toc161137628</vt:lpwstr>
      </vt:variant>
      <vt:variant>
        <vt:i4>1376309</vt:i4>
      </vt:variant>
      <vt:variant>
        <vt:i4>32</vt:i4>
      </vt:variant>
      <vt:variant>
        <vt:i4>0</vt:i4>
      </vt:variant>
      <vt:variant>
        <vt:i4>5</vt:i4>
      </vt:variant>
      <vt:variant>
        <vt:lpwstr/>
      </vt:variant>
      <vt:variant>
        <vt:lpwstr>_Toc161137627</vt:lpwstr>
      </vt:variant>
      <vt:variant>
        <vt:i4>1376309</vt:i4>
      </vt:variant>
      <vt:variant>
        <vt:i4>26</vt:i4>
      </vt:variant>
      <vt:variant>
        <vt:i4>0</vt:i4>
      </vt:variant>
      <vt:variant>
        <vt:i4>5</vt:i4>
      </vt:variant>
      <vt:variant>
        <vt:lpwstr/>
      </vt:variant>
      <vt:variant>
        <vt:lpwstr>_Toc161137626</vt:lpwstr>
      </vt:variant>
      <vt:variant>
        <vt:i4>1376309</vt:i4>
      </vt:variant>
      <vt:variant>
        <vt:i4>20</vt:i4>
      </vt:variant>
      <vt:variant>
        <vt:i4>0</vt:i4>
      </vt:variant>
      <vt:variant>
        <vt:i4>5</vt:i4>
      </vt:variant>
      <vt:variant>
        <vt:lpwstr/>
      </vt:variant>
      <vt:variant>
        <vt:lpwstr>_Toc161137625</vt:lpwstr>
      </vt:variant>
      <vt:variant>
        <vt:i4>1376309</vt:i4>
      </vt:variant>
      <vt:variant>
        <vt:i4>14</vt:i4>
      </vt:variant>
      <vt:variant>
        <vt:i4>0</vt:i4>
      </vt:variant>
      <vt:variant>
        <vt:i4>5</vt:i4>
      </vt:variant>
      <vt:variant>
        <vt:lpwstr/>
      </vt:variant>
      <vt:variant>
        <vt:lpwstr>_Toc161137624</vt:lpwstr>
      </vt:variant>
      <vt:variant>
        <vt:i4>3997712</vt:i4>
      </vt:variant>
      <vt:variant>
        <vt:i4>0</vt:i4>
      </vt:variant>
      <vt:variant>
        <vt:i4>0</vt:i4>
      </vt:variant>
      <vt:variant>
        <vt:i4>5</vt:i4>
      </vt:variant>
      <vt:variant>
        <vt:lpwstr>mailto:Jenny.Boothe@ofgem.gov.uk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DSD005</dc:title>
  <dc:subject>DSD005</dc:subject>
  <dc:creator>Elexon</dc:creator>
  <cp:keywords>DSD005</cp:keywords>
  <dc:description/>
  <cp:lastModifiedBy>Jenny Sarsfield</cp:lastModifiedBy>
  <cp:revision>3</cp:revision>
  <cp:lastPrinted>2021-03-31T19:21:00Z</cp:lastPrinted>
  <dcterms:created xsi:type="dcterms:W3CDTF">2024-06-06T13:08:00Z</dcterms:created>
  <dcterms:modified xsi:type="dcterms:W3CDTF">2024-06-17T11:59:00Z</dcterms:modified>
  <cp:category>DSD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0.6</vt:lpwstr>
  </property>
  <property fmtid="{D5CDD505-2E9C-101B-9397-08002B2CF9AE}" pid="3" name="Effective Date">
    <vt:lpwstr>DD Month YYYY</vt:lpwstr>
  </property>
  <property fmtid="{D5CDD505-2E9C-101B-9397-08002B2CF9AE}" pid="4" name="MediaServiceImageTags">
    <vt:lpwstr/>
  </property>
  <property fmtid="{D5CDD505-2E9C-101B-9397-08002B2CF9AE}" pid="5" name="ContentTypeId">
    <vt:lpwstr>0x0101004CC97AB7A708F14780CF3C43D3493967</vt:lpwstr>
  </property>
  <property fmtid="{D5CDD505-2E9C-101B-9397-08002B2CF9AE}" pid="6" name="docIndexRef">
    <vt:lpwstr>0fe7ac10-f61d-42f4-a14f-1a681392a279</vt:lpwstr>
  </property>
  <property fmtid="{D5CDD505-2E9C-101B-9397-08002B2CF9AE}" pid="7" name="bjSaver">
    <vt:lpwstr>iwOWohryx4RRvDgm77NXJ3AOLeosC0Bx</vt:lpwstr>
  </property>
  <property fmtid="{D5CDD505-2E9C-101B-9397-08002B2CF9AE}" pid="8" name="bjDocumentSecurityLabel">
    <vt:lpwstr>This item has no classification</vt:lpwstr>
  </property>
  <property fmtid="{D5CDD505-2E9C-101B-9397-08002B2CF9AE}" pid="9" name="bjClsUserRVM">
    <vt:lpwstr>[]</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2024-05-30T14:11:34Z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5f52e452-e76a-4512-8415-d15abb4b76f3</vt:lpwstr>
  </property>
  <property fmtid="{D5CDD505-2E9C-101B-9397-08002B2CF9AE}" pid="19" name="MSIP_Label_38144ccb-b10a-4c0f-b070-7a3b00ac7463_ContentBits">
    <vt:lpwstr>2</vt:lpwstr>
  </property>
</Properties>
</file>