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36262963" w:rsidR="001A74CA" w:rsidRPr="009A0CD6" w:rsidRDefault="005925FE" w:rsidP="00AD1A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723DE0">
              <w:rPr>
                <w:rStyle w:val="Strong"/>
                <w:rFonts w:cstheme="minorHAnsi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6E4A0E3" w:rsidR="00103DE9" w:rsidRPr="009A0CD6" w:rsidRDefault="00723DE0" w:rsidP="00723DE0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18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 xml:space="preserve">August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Charging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5491D1AE" w:rsidR="004A7BF2" w:rsidRPr="00A72352" w:rsidRDefault="008C39F8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64</w:t>
            </w:r>
          </w:p>
        </w:tc>
        <w:tc>
          <w:tcPr>
            <w:tcW w:w="0" w:type="auto"/>
          </w:tcPr>
          <w:p w14:paraId="38AD6785" w14:textId="61FA7069" w:rsidR="004A7BF2" w:rsidRPr="00A72352" w:rsidRDefault="008C39F8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</w:t>
            </w:r>
            <w:r w:rsidR="00D922A2">
              <w:rPr>
                <w:rFonts w:eastAsia="Tahoma" w:cstheme="minorHAnsi"/>
                <w:szCs w:val="20"/>
                <w:lang w:val="en-US"/>
              </w:rPr>
              <w:t>EAL</w:t>
            </w:r>
          </w:p>
        </w:tc>
        <w:tc>
          <w:tcPr>
            <w:tcW w:w="5559" w:type="dxa"/>
          </w:tcPr>
          <w:p w14:paraId="38C275BF" w14:textId="7BC24465" w:rsidR="008C39F8" w:rsidRPr="00B46668" w:rsidRDefault="008C39F8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 w:rsidR="0074092C">
              <w:t xml:space="preserve"> to support the TCR</w:t>
            </w:r>
          </w:p>
          <w:p w14:paraId="6FEFD4FD" w14:textId="1653268D" w:rsidR="008B2BF9" w:rsidRDefault="008C39F8" w:rsidP="008C39F8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0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10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6F691A5A" w14:textId="521FD2F7" w:rsidR="0074092C" w:rsidRPr="008B2BF9" w:rsidRDefault="0074092C" w:rsidP="003C648F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134250F9" w:rsidR="00956C0C" w:rsidRPr="00A72352" w:rsidRDefault="008C39F8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65</w:t>
            </w:r>
          </w:p>
        </w:tc>
        <w:tc>
          <w:tcPr>
            <w:tcW w:w="0" w:type="auto"/>
          </w:tcPr>
          <w:p w14:paraId="648C401F" w14:textId="58B2E514" w:rsidR="00956C0C" w:rsidRPr="00A72352" w:rsidRDefault="00D922A2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FORB</w:t>
            </w:r>
          </w:p>
        </w:tc>
        <w:tc>
          <w:tcPr>
            <w:tcW w:w="5559" w:type="dxa"/>
          </w:tcPr>
          <w:p w14:paraId="3209A6EC" w14:textId="3436E1AD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  <w:r>
              <w:t xml:space="preserve"> to support the TCR</w:t>
            </w:r>
          </w:p>
          <w:p w14:paraId="37557A09" w14:textId="2D761A71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7384C88A" w14:textId="03F7D7DE" w:rsidR="0074114A" w:rsidRPr="00AD1A58" w:rsidRDefault="0074092C" w:rsidP="003C648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0B406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67FBC7E2" w:rsidR="000B406F" w:rsidRDefault="008C39F8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66</w:t>
            </w:r>
          </w:p>
        </w:tc>
        <w:tc>
          <w:tcPr>
            <w:tcW w:w="0" w:type="auto"/>
          </w:tcPr>
          <w:p w14:paraId="38E567E8" w14:textId="334FD7AD" w:rsidR="000B406F" w:rsidRPr="00A72352" w:rsidRDefault="00D922A2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GGEN</w:t>
            </w:r>
          </w:p>
        </w:tc>
        <w:tc>
          <w:tcPr>
            <w:tcW w:w="5559" w:type="dxa"/>
          </w:tcPr>
          <w:p w14:paraId="130AD106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53D00154" w14:textId="5C38525F" w:rsidR="0074114A" w:rsidRPr="00AD1A58" w:rsidRDefault="0074092C" w:rsidP="003C648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0B406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1A97B5EF" w:rsidR="000B406F" w:rsidRDefault="008C39F8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67</w:t>
            </w:r>
          </w:p>
        </w:tc>
        <w:tc>
          <w:tcPr>
            <w:tcW w:w="0" w:type="auto"/>
          </w:tcPr>
          <w:p w14:paraId="42D1D4C6" w14:textId="2468A24F" w:rsidR="000B406F" w:rsidRPr="00A72352" w:rsidRDefault="00D922A2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GUCL</w:t>
            </w:r>
          </w:p>
        </w:tc>
        <w:tc>
          <w:tcPr>
            <w:tcW w:w="5559" w:type="dxa"/>
          </w:tcPr>
          <w:p w14:paraId="3F9EE043" w14:textId="77777777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4D0E460D" w14:textId="41DAC9B4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6DC9A8E" w14:textId="60A912A4" w:rsidR="000B406F" w:rsidRPr="00AD1A58" w:rsidRDefault="0074092C" w:rsidP="003C648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8B2BF9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2CD9FD03" w:rsidR="008B2BF9" w:rsidRDefault="008C39F8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68</w:t>
            </w:r>
          </w:p>
        </w:tc>
        <w:tc>
          <w:tcPr>
            <w:tcW w:w="0" w:type="auto"/>
          </w:tcPr>
          <w:p w14:paraId="2FBD0F93" w14:textId="49C0F913" w:rsidR="008B2BF9" w:rsidRPr="00A72352" w:rsidRDefault="00D922A2" w:rsidP="008B2B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HARL</w:t>
            </w:r>
          </w:p>
        </w:tc>
        <w:tc>
          <w:tcPr>
            <w:tcW w:w="5559" w:type="dxa"/>
          </w:tcPr>
          <w:p w14:paraId="0A59DDEE" w14:textId="67F314F9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  <w:r>
              <w:t xml:space="preserve"> to support the TCR</w:t>
            </w:r>
          </w:p>
          <w:p w14:paraId="34A3B062" w14:textId="40B89FFF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30B3BAB" w14:textId="3A3AD25A" w:rsidR="008B2BF9" w:rsidRPr="00AD1A58" w:rsidRDefault="0074092C" w:rsidP="003C648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  <w:tr w:rsidR="000B406F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27E82E55" w:rsidR="000B406F" w:rsidRDefault="008C39F8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D922A2">
              <w:rPr>
                <w:rFonts w:eastAsia="Tahoma" w:cstheme="minorHAnsi"/>
                <w:szCs w:val="20"/>
                <w:lang w:val="en-US"/>
              </w:rPr>
              <w:t>69</w:t>
            </w:r>
          </w:p>
        </w:tc>
        <w:tc>
          <w:tcPr>
            <w:tcW w:w="0" w:type="auto"/>
          </w:tcPr>
          <w:p w14:paraId="0E3DF571" w14:textId="1FD74798" w:rsidR="000B406F" w:rsidRPr="00A72352" w:rsidRDefault="00D922A2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5559" w:type="dxa"/>
          </w:tcPr>
          <w:p w14:paraId="188E5889" w14:textId="7B67B9CC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  <w:r>
              <w:t xml:space="preserve"> to support the TCR</w:t>
            </w:r>
          </w:p>
          <w:p w14:paraId="27E748E7" w14:textId="0522264C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20/10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79FDBA60" w14:textId="121603E1" w:rsidR="000B406F" w:rsidRPr="00AD1A58" w:rsidRDefault="0074092C" w:rsidP="003C648F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3C648F">
              <w:rPr>
                <w:rFonts w:eastAsia="Tahoma" w:cstheme="minorHAnsi"/>
                <w:i/>
                <w:szCs w:val="20"/>
                <w:lang w:val="en-US"/>
              </w:rPr>
              <w:t>6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19188213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</w:t>
      </w:r>
      <w:r w:rsidR="002E08E2">
        <w:rPr>
          <w:rFonts w:asciiTheme="minorHAnsi" w:hAnsiTheme="minorHAnsi" w:cstheme="minorHAnsi"/>
          <w:color w:val="auto"/>
        </w:rPr>
        <w:t>7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2E08E2">
        <w:rPr>
          <w:rFonts w:asciiTheme="minorHAnsi" w:hAnsiTheme="minorHAnsi" w:cstheme="minorHAnsi"/>
          <w:color w:val="auto"/>
        </w:rPr>
        <w:t>7 September</w:t>
      </w:r>
      <w:bookmarkStart w:id="3" w:name="_GoBack"/>
      <w:bookmarkEnd w:id="3"/>
      <w:r w:rsidR="000B406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DC065A">
        <w:rPr>
          <w:rFonts w:asciiTheme="minorHAnsi" w:hAnsiTheme="minorHAnsi" w:cstheme="minorHAnsi"/>
          <w:b/>
          <w:color w:val="auto"/>
        </w:rPr>
        <w:t xml:space="preserve">5 August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24931DEC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0B406F" w:rsidRPr="00366FD7">
        <w:rPr>
          <w:rFonts w:asciiTheme="minorHAnsi" w:hAnsiTheme="minorHAnsi" w:cstheme="minorHAnsi"/>
          <w:b/>
          <w:color w:val="auto"/>
        </w:rPr>
        <w:t>ion 31</w:t>
      </w:r>
      <w:r w:rsidR="00DC065A">
        <w:rPr>
          <w:rFonts w:asciiTheme="minorHAnsi" w:hAnsiTheme="minorHAnsi" w:cstheme="minorHAnsi"/>
          <w:b/>
          <w:color w:val="auto"/>
        </w:rPr>
        <w:t>6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5E073220" w14:textId="77777777" w:rsidR="00FF35E9" w:rsidRPr="002D2F4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 xml:space="preserve">For more information, please contact Freya Gardner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0624D27B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2E08E2">
        <w:rPr>
          <w:rFonts w:asciiTheme="minorHAnsi" w:hAnsiTheme="minorHAnsi" w:cstheme="minorHAnsi"/>
          <w:color w:val="auto"/>
        </w:rPr>
        <w:t>316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4B85AE1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2E08E2">
        <w:rPr>
          <w:rFonts w:asciiTheme="minorHAnsi" w:hAnsiTheme="minorHAnsi" w:cstheme="minorHAnsi"/>
          <w:b/>
        </w:rPr>
        <w:t xml:space="preserve">5 August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5CAC675D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0B406F">
        <w:rPr>
          <w:rFonts w:cstheme="minorHAnsi"/>
        </w:rPr>
        <w:t>8</w:t>
      </w:r>
      <w:r w:rsidR="002E08E2">
        <w:rPr>
          <w:rFonts w:cstheme="minorHAnsi"/>
        </w:rPr>
        <w:t>64</w:t>
      </w:r>
    </w:p>
    <w:p w14:paraId="1EE0BFFF" w14:textId="55733787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0B406F">
        <w:rPr>
          <w:rFonts w:cstheme="minorHAnsi"/>
        </w:rPr>
        <w:t xml:space="preserve"> the changes proposed in M38</w:t>
      </w:r>
      <w:r w:rsidR="002E08E2">
        <w:rPr>
          <w:rFonts w:cstheme="minorHAnsi"/>
        </w:rPr>
        <w:t>65</w:t>
      </w:r>
    </w:p>
    <w:p w14:paraId="301E4BB8" w14:textId="6E6D5608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AD1A58">
        <w:rPr>
          <w:rFonts w:cstheme="minorHAnsi"/>
        </w:rPr>
        <w:t>the changes proposed in M38</w:t>
      </w:r>
      <w:r w:rsidR="002E08E2">
        <w:rPr>
          <w:rFonts w:cstheme="minorHAnsi"/>
        </w:rPr>
        <w:t>66</w:t>
      </w:r>
    </w:p>
    <w:p w14:paraId="51F2F42A" w14:textId="574DC9BD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2E08E2">
        <w:rPr>
          <w:rFonts w:cstheme="minorHAnsi"/>
        </w:rPr>
        <w:t>67</w:t>
      </w:r>
    </w:p>
    <w:p w14:paraId="45048A86" w14:textId="3E289772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2E08E2">
        <w:rPr>
          <w:rFonts w:cstheme="minorHAnsi"/>
        </w:rPr>
        <w:t>68</w:t>
      </w:r>
    </w:p>
    <w:p w14:paraId="204BFB64" w14:textId="5887CB60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2E08E2">
        <w:rPr>
          <w:rFonts w:cstheme="minorHAnsi"/>
        </w:rPr>
        <w:t>69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408067BD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2E08E2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E08E2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A0D51BE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2E08E2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E08E2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2C7CD66" w:rsidR="00A342D0" w:rsidRDefault="003D6B9E" w:rsidP="00A342D0">
    <w:pPr>
      <w:pStyle w:val="Heading1"/>
    </w:pPr>
    <w:fldSimple w:instr=" STYLEREF  &quot;Heading 1&quot;  \* MERGEFORMAT ">
      <w:r w:rsidR="002E08E2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46769"/>
    <w:rsid w:val="006821C0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8C39F8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49</cp:revision>
  <dcterms:created xsi:type="dcterms:W3CDTF">2020-09-08T23:17:00Z</dcterms:created>
  <dcterms:modified xsi:type="dcterms:W3CDTF">2021-08-17T13:48:00Z</dcterms:modified>
</cp:coreProperties>
</file>