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4A0" w:firstRow="1" w:lastRow="0" w:firstColumn="1" w:lastColumn="0" w:noHBand="0" w:noVBand="1"/>
      </w:tblPr>
      <w:tblGrid>
        <w:gridCol w:w="9072"/>
      </w:tblGrid>
      <w:tr w:rsidR="006E1641" w:rsidRPr="001709A1" w14:paraId="2F9E796A" w14:textId="77777777" w:rsidTr="00303F75">
        <w:trPr>
          <w:cantSplit/>
          <w:trHeight w:val="550"/>
        </w:trPr>
        <w:tc>
          <w:tcPr>
            <w:tcW w:w="9072" w:type="dxa"/>
            <w:tcBorders>
              <w:bottom w:val="single" w:sz="48" w:space="0" w:color="00008C"/>
            </w:tcBorders>
          </w:tcPr>
          <w:p w14:paraId="3D278177" w14:textId="7B71D4AC" w:rsidR="006E1641" w:rsidRPr="00DC5794" w:rsidRDefault="006E1641" w:rsidP="00D47628">
            <w:pPr>
              <w:rPr>
                <w:rFonts w:ascii="Arial" w:hAnsi="Arial" w:cs="Arial"/>
                <w:b/>
                <w:caps/>
                <w:color w:val="00008C"/>
                <w:sz w:val="32"/>
              </w:rPr>
            </w:pPr>
            <w:bookmarkStart w:id="0" w:name="_top"/>
            <w:bookmarkEnd w:id="0"/>
            <w:r w:rsidRPr="00DC5794">
              <w:rPr>
                <w:rFonts w:ascii="Arial" w:hAnsi="Arial" w:cs="Arial"/>
                <w:b/>
                <w:caps/>
                <w:color w:val="00008C"/>
                <w:sz w:val="32"/>
              </w:rPr>
              <w:t xml:space="preserve">BSC Change – </w:t>
            </w:r>
            <w:r w:rsidR="00D47628">
              <w:rPr>
                <w:rFonts w:ascii="Arial" w:hAnsi="Arial" w:cs="Arial"/>
                <w:b/>
                <w:caps/>
                <w:color w:val="00008C"/>
                <w:sz w:val="32"/>
              </w:rPr>
              <w:t>approved</w:t>
            </w:r>
            <w:r w:rsidRPr="00DC5794">
              <w:rPr>
                <w:rFonts w:ascii="Arial" w:hAnsi="Arial" w:cs="Arial"/>
                <w:b/>
                <w:caps/>
                <w:color w:val="00008C"/>
                <w:sz w:val="32"/>
              </w:rPr>
              <w:t xml:space="preserve"> redlining</w:t>
            </w:r>
          </w:p>
        </w:tc>
      </w:tr>
    </w:tbl>
    <w:p w14:paraId="6DA4A069" w14:textId="77777777" w:rsidR="006E1641" w:rsidRPr="001709A1" w:rsidRDefault="006E1641" w:rsidP="006E1641">
      <w:pPr>
        <w:spacing w:after="160" w:line="259" w:lineRule="auto"/>
        <w:rPr>
          <w:rFonts w:ascii="Tahoma" w:eastAsiaTheme="minorHAnsi" w:hAnsi="Tahoma" w:cs="Tahoma"/>
          <w:b/>
          <w:sz w:val="20"/>
        </w:rPr>
      </w:pPr>
    </w:p>
    <w:p w14:paraId="5FAAD23B" w14:textId="1B355121" w:rsidR="006E1641" w:rsidRPr="00DC5794" w:rsidRDefault="006E1641" w:rsidP="006E1641">
      <w:pPr>
        <w:spacing w:after="160" w:line="259" w:lineRule="auto"/>
        <w:rPr>
          <w:rFonts w:ascii="Arial" w:eastAsiaTheme="minorHAnsi" w:hAnsi="Arial" w:cs="Arial"/>
          <w:sz w:val="20"/>
        </w:rPr>
      </w:pPr>
      <w:r w:rsidRPr="00DC5794">
        <w:rPr>
          <w:rFonts w:ascii="Arial" w:eastAsiaTheme="minorHAnsi" w:hAnsi="Arial" w:cs="Arial"/>
          <w:b/>
          <w:sz w:val="20"/>
        </w:rPr>
        <w:t>This is t</w:t>
      </w:r>
      <w:r>
        <w:rPr>
          <w:rFonts w:ascii="Arial" w:eastAsiaTheme="minorHAnsi" w:hAnsi="Arial" w:cs="Arial"/>
          <w:b/>
          <w:sz w:val="20"/>
        </w:rPr>
        <w:t>he redlined changes to Annex X-2</w:t>
      </w:r>
      <w:r w:rsidRPr="00DC5794">
        <w:rPr>
          <w:rFonts w:ascii="Arial" w:eastAsiaTheme="minorHAnsi" w:hAnsi="Arial" w:cs="Arial"/>
          <w:b/>
          <w:sz w:val="20"/>
        </w:rPr>
        <w:t xml:space="preserve"> for P376. We have redlined these changes against version </w:t>
      </w:r>
      <w:r>
        <w:rPr>
          <w:rFonts w:ascii="Arial" w:eastAsiaTheme="minorHAnsi" w:hAnsi="Arial" w:cs="Arial"/>
          <w:b/>
          <w:sz w:val="20"/>
        </w:rPr>
        <w:t>48</w:t>
      </w:r>
      <w:r w:rsidRPr="00DC5794">
        <w:rPr>
          <w:rFonts w:ascii="Arial" w:eastAsiaTheme="minorHAnsi" w:hAnsi="Arial" w:cs="Arial"/>
          <w:b/>
          <w:sz w:val="20"/>
        </w:rPr>
        <w:t>.0.</w:t>
      </w:r>
      <w:r w:rsidRPr="00DC5794">
        <w:rPr>
          <w:rFonts w:ascii="Arial" w:eastAsiaTheme="minorHAnsi" w:hAnsi="Arial" w:cs="Arial"/>
          <w:sz w:val="20"/>
        </w:rPr>
        <w:t xml:space="preserve"> (Please note that the version number, effective date and numbering will be updated ahead of implementation.)</w:t>
      </w:r>
    </w:p>
    <w:p w14:paraId="37500577" w14:textId="77777777" w:rsidR="006E1641" w:rsidRPr="00DC5794" w:rsidRDefault="006E1641" w:rsidP="006E1641">
      <w:pPr>
        <w:spacing w:after="160" w:line="259" w:lineRule="auto"/>
        <w:rPr>
          <w:rFonts w:ascii="Arial" w:eastAsiaTheme="minorHAnsi" w:hAnsi="Arial" w:cs="Arial"/>
          <w:sz w:val="20"/>
        </w:rPr>
      </w:pPr>
    </w:p>
    <w:p w14:paraId="13EE6C84" w14:textId="77777777" w:rsidR="006E1641" w:rsidRPr="00DC5794" w:rsidRDefault="006E1641" w:rsidP="006E1641">
      <w:pPr>
        <w:spacing w:after="160" w:line="259" w:lineRule="auto"/>
        <w:rPr>
          <w:rFonts w:ascii="Arial" w:hAnsi="Arial" w:cs="Arial"/>
          <w:b/>
          <w:color w:val="00008C"/>
        </w:rPr>
      </w:pPr>
      <w:r w:rsidRPr="00DC5794">
        <w:rPr>
          <w:rFonts w:ascii="Arial" w:hAnsi="Arial" w:cs="Arial"/>
          <w:b/>
          <w:color w:val="00008C"/>
        </w:rPr>
        <w:t>Using ‘Tracked Changes’</w:t>
      </w:r>
    </w:p>
    <w:p w14:paraId="3CC5C5F7" w14:textId="77777777" w:rsidR="006E1641" w:rsidRPr="00DC5794" w:rsidRDefault="006E1641" w:rsidP="006E1641">
      <w:pPr>
        <w:spacing w:after="160" w:line="259" w:lineRule="auto"/>
        <w:rPr>
          <w:rFonts w:ascii="Arial" w:eastAsiaTheme="minorHAnsi" w:hAnsi="Arial" w:cs="Arial"/>
          <w:sz w:val="20"/>
        </w:rPr>
      </w:pPr>
      <w:r w:rsidRPr="00DC5794">
        <w:rPr>
          <w:rFonts w:ascii="Arial" w:eastAsiaTheme="minorHAnsi" w:hAnsi="Arial" w:cs="Arial"/>
          <w:sz w:val="20"/>
        </w:rPr>
        <w:t>In Microsoft Word, the tracked changes function is under the ‘Review’ tab.</w:t>
      </w:r>
    </w:p>
    <w:p w14:paraId="0A486F8C" w14:textId="77777777" w:rsidR="006E1641" w:rsidRPr="00DC5794" w:rsidRDefault="006E1641" w:rsidP="006E1641">
      <w:pPr>
        <w:spacing w:after="160" w:line="259" w:lineRule="auto"/>
        <w:rPr>
          <w:rFonts w:ascii="Arial" w:eastAsiaTheme="minorHAnsi" w:hAnsi="Arial" w:cs="Arial"/>
          <w:sz w:val="20"/>
        </w:rPr>
      </w:pPr>
      <w:r w:rsidRPr="00DC5794">
        <w:rPr>
          <w:rFonts w:ascii="Arial" w:eastAsiaTheme="minorHAnsi" w:hAnsi="Arial" w:cs="Arial"/>
          <w:sz w:val="20"/>
        </w:rPr>
        <w:t xml:space="preserve">Selecting the ‘All </w:t>
      </w:r>
      <w:proofErr w:type="spellStart"/>
      <w:r w:rsidRPr="00DC5794">
        <w:rPr>
          <w:rFonts w:ascii="Arial" w:eastAsiaTheme="minorHAnsi" w:hAnsi="Arial" w:cs="Arial"/>
          <w:sz w:val="20"/>
        </w:rPr>
        <w:t>Markup</w:t>
      </w:r>
      <w:proofErr w:type="spellEnd"/>
      <w:r w:rsidRPr="00DC5794">
        <w:rPr>
          <w:rFonts w:ascii="Arial" w:eastAsiaTheme="minorHAnsi" w:hAnsi="Arial" w:cs="Arial"/>
          <w:sz w:val="20"/>
        </w:rPr>
        <w:t>’ view will show the original document with any additions and deletions clearly marked.</w:t>
      </w:r>
    </w:p>
    <w:p w14:paraId="17EC0708" w14:textId="77777777" w:rsidR="006E1641" w:rsidRPr="00DC5794" w:rsidRDefault="006E1641" w:rsidP="006E1641">
      <w:pPr>
        <w:spacing w:after="160" w:line="259" w:lineRule="auto"/>
        <w:rPr>
          <w:rFonts w:ascii="Arial" w:eastAsiaTheme="minorHAnsi" w:hAnsi="Arial" w:cs="Arial"/>
          <w:sz w:val="20"/>
        </w:rPr>
      </w:pPr>
      <w:r w:rsidRPr="00DC5794">
        <w:rPr>
          <w:rFonts w:ascii="Arial" w:eastAsiaTheme="minorHAnsi" w:hAnsi="Arial" w:cs="Arial"/>
          <w:sz w:val="20"/>
        </w:rPr>
        <w:t xml:space="preserve">To navigate between redlined changes, you can either scroll through using the </w:t>
      </w:r>
      <w:r w:rsidRPr="00DC5794">
        <w:rPr>
          <w:rFonts w:ascii="Arial" w:eastAsiaTheme="minorHAnsi" w:hAnsi="Arial" w:cs="Arial"/>
          <w:noProof/>
          <w:szCs w:val="22"/>
          <w:lang w:eastAsia="en-GB"/>
        </w:rPr>
        <w:drawing>
          <wp:inline distT="0" distB="0" distL="0" distR="0" wp14:anchorId="4B5E41B1" wp14:editId="7A0AEFF3">
            <wp:extent cx="423545" cy="137206"/>
            <wp:effectExtent l="0" t="0" r="0" b="0"/>
            <wp:docPr id="1672" name="Picture 1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1267" b="11267"/>
                    <a:stretch/>
                  </pic:blipFill>
                  <pic:spPr bwMode="auto">
                    <a:xfrm>
                      <a:off x="0" y="0"/>
                      <a:ext cx="506194" cy="163980"/>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sz w:val="20"/>
        </w:rPr>
        <w:t xml:space="preserve"> and </w:t>
      </w:r>
      <w:r w:rsidRPr="00DC5794">
        <w:rPr>
          <w:rFonts w:ascii="Arial" w:eastAsiaTheme="minorHAnsi" w:hAnsi="Arial" w:cs="Arial"/>
          <w:noProof/>
          <w:szCs w:val="22"/>
          <w:lang w:eastAsia="en-GB"/>
        </w:rPr>
        <w:drawing>
          <wp:inline distT="0" distB="0" distL="0" distR="0" wp14:anchorId="10A43684" wp14:editId="06CC1589">
            <wp:extent cx="581025" cy="141732"/>
            <wp:effectExtent l="0" t="0" r="0" b="0"/>
            <wp:docPr id="1673" name="Picture 1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4209" b="19427"/>
                    <a:stretch/>
                  </pic:blipFill>
                  <pic:spPr bwMode="auto">
                    <a:xfrm>
                      <a:off x="0" y="0"/>
                      <a:ext cx="897755" cy="218993"/>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sz w:val="20"/>
        </w:rPr>
        <w:t xml:space="preserve"> buttons, or to see a full list of off changes you can open out the </w:t>
      </w:r>
      <w:r w:rsidRPr="00DC5794">
        <w:rPr>
          <w:rFonts w:ascii="Arial" w:eastAsiaTheme="minorHAnsi" w:hAnsi="Arial" w:cs="Arial"/>
          <w:noProof/>
          <w:szCs w:val="22"/>
          <w:lang w:eastAsia="en-GB"/>
        </w:rPr>
        <w:drawing>
          <wp:inline distT="0" distB="0" distL="0" distR="0" wp14:anchorId="5E62E95B" wp14:editId="139F37EE">
            <wp:extent cx="1068388" cy="168250"/>
            <wp:effectExtent l="0" t="0" r="0" b="3810"/>
            <wp:docPr id="1674" name="Picture 1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74380" cy="216438"/>
                    </a:xfrm>
                    <a:prstGeom prst="rect">
                      <a:avLst/>
                    </a:prstGeom>
                  </pic:spPr>
                </pic:pic>
              </a:graphicData>
            </a:graphic>
          </wp:inline>
        </w:drawing>
      </w:r>
      <w:r w:rsidRPr="00DC5794">
        <w:rPr>
          <w:rFonts w:ascii="Arial" w:eastAsiaTheme="minorHAnsi" w:hAnsi="Arial" w:cs="Arial"/>
          <w:sz w:val="20"/>
        </w:rPr>
        <w:t xml:space="preserve">. </w:t>
      </w:r>
    </w:p>
    <w:p w14:paraId="54D68816" w14:textId="77777777" w:rsidR="006E1641" w:rsidRPr="00DC5794" w:rsidRDefault="006E1641" w:rsidP="006E1641">
      <w:pPr>
        <w:spacing w:after="160" w:line="259" w:lineRule="auto"/>
        <w:rPr>
          <w:rFonts w:ascii="Arial" w:eastAsiaTheme="minorHAnsi" w:hAnsi="Arial" w:cs="Arial"/>
          <w:sz w:val="20"/>
        </w:rPr>
      </w:pPr>
    </w:p>
    <w:p w14:paraId="452F8716" w14:textId="77777777" w:rsidR="006E1641" w:rsidRPr="00DC5794" w:rsidRDefault="006E1641" w:rsidP="006E1641">
      <w:pPr>
        <w:spacing w:after="160" w:line="259" w:lineRule="auto"/>
        <w:rPr>
          <w:rFonts w:ascii="Arial" w:eastAsiaTheme="minorHAnsi" w:hAnsi="Arial" w:cs="Arial"/>
          <w:sz w:val="20"/>
        </w:rPr>
      </w:pPr>
      <w:r w:rsidRPr="00DC5794">
        <w:rPr>
          <w:rFonts w:ascii="Arial" w:eastAsiaTheme="minorHAnsi" w:hAnsi="Arial" w:cs="Arial"/>
          <w:sz w:val="20"/>
        </w:rPr>
        <w:t xml:space="preserve">If you require assistance in assessing this redlining, please contact </w:t>
      </w:r>
      <w:r>
        <w:rPr>
          <w:rFonts w:ascii="Arial" w:eastAsiaTheme="minorHAnsi" w:hAnsi="Arial" w:cs="Arial"/>
          <w:b/>
          <w:sz w:val="20"/>
        </w:rPr>
        <w:t>Chris Arnold</w:t>
      </w:r>
      <w:r w:rsidRPr="00DC5794">
        <w:rPr>
          <w:rFonts w:ascii="Arial" w:eastAsiaTheme="minorHAnsi" w:hAnsi="Arial" w:cs="Arial"/>
          <w:sz w:val="20"/>
        </w:rPr>
        <w:t xml:space="preserve"> on </w:t>
      </w:r>
      <w:r>
        <w:rPr>
          <w:rFonts w:ascii="Arial" w:eastAsiaTheme="minorHAnsi" w:hAnsi="Arial" w:cs="Arial"/>
          <w:b/>
          <w:sz w:val="20"/>
        </w:rPr>
        <w:t>020 7380 4221</w:t>
      </w:r>
      <w:r w:rsidRPr="00DC5794">
        <w:rPr>
          <w:rFonts w:ascii="Arial" w:eastAsiaTheme="minorHAnsi" w:hAnsi="Arial" w:cs="Arial"/>
          <w:sz w:val="20"/>
        </w:rPr>
        <w:t xml:space="preserve"> or email </w:t>
      </w:r>
      <w:hyperlink r:id="rId11" w:history="1">
        <w:r w:rsidRPr="00DC5794">
          <w:rPr>
            <w:rFonts w:ascii="Arial" w:eastAsiaTheme="minorHAnsi" w:hAnsi="Arial" w:cs="Arial"/>
            <w:b/>
            <w:color w:val="00008C"/>
            <w:sz w:val="20"/>
            <w:u w:val="single"/>
          </w:rPr>
          <w:t>BSC.change@elexon.co.uk</w:t>
        </w:r>
      </w:hyperlink>
      <w:r w:rsidRPr="00DC5794">
        <w:rPr>
          <w:rFonts w:ascii="Arial" w:eastAsiaTheme="minorHAnsi" w:hAnsi="Arial" w:cs="Arial"/>
          <w:sz w:val="20"/>
        </w:rPr>
        <w:t xml:space="preserve"> .</w:t>
      </w:r>
    </w:p>
    <w:p w14:paraId="5B9E1B61" w14:textId="77777777" w:rsidR="002501FA" w:rsidRDefault="002501FA" w:rsidP="006E1641">
      <w:pPr>
        <w:spacing w:after="220"/>
        <w:rPr>
          <w:ins w:id="1" w:author="Chris Arnold" w:date="2021-05-06T09:31:00Z"/>
          <w:b/>
          <w:sz w:val="22"/>
          <w:szCs w:val="22"/>
        </w:rPr>
      </w:pPr>
    </w:p>
    <w:p w14:paraId="55703C49" w14:textId="77777777" w:rsidR="002501FA" w:rsidRDefault="002501FA">
      <w:pPr>
        <w:rPr>
          <w:ins w:id="2" w:author="Chris Arnold" w:date="2021-05-06T09:31:00Z"/>
          <w:b/>
          <w:sz w:val="22"/>
          <w:szCs w:val="22"/>
        </w:rPr>
      </w:pPr>
      <w:ins w:id="3" w:author="Chris Arnold" w:date="2021-05-06T09:31:00Z">
        <w:r>
          <w:rPr>
            <w:b/>
            <w:sz w:val="22"/>
            <w:szCs w:val="22"/>
          </w:rPr>
          <w:br w:type="page"/>
        </w:r>
      </w:ins>
    </w:p>
    <w:p w14:paraId="63E4E6BF" w14:textId="5B8D43D5" w:rsidR="002A68CF" w:rsidRPr="00630129" w:rsidRDefault="001C7564">
      <w:pPr>
        <w:spacing w:after="220"/>
        <w:jc w:val="center"/>
        <w:rPr>
          <w:b/>
          <w:sz w:val="22"/>
          <w:szCs w:val="22"/>
        </w:rPr>
      </w:pPr>
      <w:r w:rsidRPr="00630129">
        <w:rPr>
          <w:b/>
          <w:sz w:val="22"/>
          <w:szCs w:val="22"/>
        </w:rPr>
        <w:lastRenderedPageBreak/>
        <w:t>ANNEX X-2: TECHNICAL GLOSSARY</w:t>
      </w:r>
    </w:p>
    <w:p w14:paraId="5F751CA7" w14:textId="77777777" w:rsidR="002A68CF" w:rsidRPr="00630129" w:rsidRDefault="001C7564">
      <w:pPr>
        <w:pStyle w:val="a1111"/>
        <w:keepNext w:val="0"/>
        <w:keepLines w:val="0"/>
        <w:tabs>
          <w:tab w:val="clear" w:pos="-763"/>
          <w:tab w:val="clear" w:pos="-43"/>
          <w:tab w:val="clear" w:pos="677"/>
          <w:tab w:val="clear" w:pos="1397"/>
          <w:tab w:val="clear" w:pos="2117"/>
          <w:tab w:val="clear" w:pos="2837"/>
          <w:tab w:val="clear" w:pos="3557"/>
          <w:tab w:val="clear" w:pos="4277"/>
          <w:tab w:val="clear" w:pos="4997"/>
          <w:tab w:val="clear" w:pos="5717"/>
          <w:tab w:val="clear" w:pos="6437"/>
          <w:tab w:val="clear" w:pos="7157"/>
          <w:tab w:val="clear" w:pos="7877"/>
          <w:tab w:val="clear" w:pos="8597"/>
          <w:tab w:val="clear" w:pos="9317"/>
          <w:tab w:val="clear" w:pos="10037"/>
          <w:tab w:val="clear" w:pos="10757"/>
          <w:tab w:val="clear" w:pos="11477"/>
          <w:tab w:val="clear" w:pos="12197"/>
          <w:tab w:val="clear" w:pos="12917"/>
          <w:tab w:val="clear" w:pos="13637"/>
          <w:tab w:val="clear" w:pos="14357"/>
          <w:tab w:val="clear" w:pos="15077"/>
          <w:tab w:val="clear" w:pos="15797"/>
          <w:tab w:val="clear" w:pos="16517"/>
          <w:tab w:val="clear" w:pos="17237"/>
          <w:tab w:val="clear" w:pos="17957"/>
          <w:tab w:val="clear" w:pos="18677"/>
        </w:tabs>
        <w:suppressAutoHyphens w:val="0"/>
        <w:spacing w:after="220"/>
        <w:ind w:left="992" w:hanging="992"/>
        <w:jc w:val="both"/>
        <w:rPr>
          <w:rFonts w:ascii="Times New Roman" w:hAnsi="Times New Roman"/>
          <w:sz w:val="22"/>
          <w:szCs w:val="22"/>
          <w:lang w:val="en-GB"/>
        </w:rPr>
      </w:pPr>
      <w:r w:rsidRPr="00630129">
        <w:rPr>
          <w:rFonts w:ascii="Times New Roman" w:hAnsi="Times New Roman"/>
          <w:sz w:val="22"/>
          <w:szCs w:val="22"/>
          <w:lang w:val="en-GB"/>
        </w:rPr>
        <w:t>1.</w:t>
      </w:r>
      <w:r w:rsidRPr="00630129">
        <w:rPr>
          <w:rFonts w:ascii="Times New Roman" w:hAnsi="Times New Roman"/>
          <w:sz w:val="22"/>
          <w:szCs w:val="22"/>
          <w:lang w:val="en-GB"/>
        </w:rPr>
        <w:tab/>
        <w:t>GENERAL</w:t>
      </w:r>
    </w:p>
    <w:p w14:paraId="2AD928C2" w14:textId="77777777" w:rsidR="002A68CF" w:rsidRPr="00630129" w:rsidRDefault="001C7564">
      <w:pPr>
        <w:spacing w:after="220"/>
        <w:ind w:left="992" w:hanging="992"/>
        <w:jc w:val="both"/>
        <w:rPr>
          <w:b/>
          <w:sz w:val="22"/>
          <w:szCs w:val="22"/>
        </w:rPr>
      </w:pPr>
      <w:r w:rsidRPr="00630129">
        <w:rPr>
          <w:b/>
          <w:sz w:val="22"/>
          <w:szCs w:val="22"/>
        </w:rPr>
        <w:t>1.1</w:t>
      </w:r>
      <w:r w:rsidRPr="00630129">
        <w:rPr>
          <w:b/>
          <w:sz w:val="22"/>
          <w:szCs w:val="22"/>
        </w:rPr>
        <w:tab/>
        <w:t>Introduction</w:t>
      </w:r>
    </w:p>
    <w:p w14:paraId="67FD5824" w14:textId="77777777" w:rsidR="002A68CF" w:rsidRPr="00630129" w:rsidRDefault="001C7564">
      <w:pPr>
        <w:spacing w:after="220"/>
        <w:ind w:left="992" w:hanging="992"/>
        <w:jc w:val="both"/>
        <w:rPr>
          <w:sz w:val="22"/>
          <w:szCs w:val="22"/>
        </w:rPr>
      </w:pPr>
      <w:r w:rsidRPr="00630129">
        <w:rPr>
          <w:sz w:val="22"/>
          <w:szCs w:val="22"/>
        </w:rPr>
        <w:t>1.1.1</w:t>
      </w:r>
      <w:r w:rsidRPr="00630129">
        <w:rPr>
          <w:sz w:val="22"/>
          <w:szCs w:val="22"/>
        </w:rPr>
        <w:tab/>
        <w:t>This Annex to Section X sets out:</w:t>
      </w:r>
    </w:p>
    <w:p w14:paraId="7D2B49B9" w14:textId="77777777" w:rsidR="002A68CF" w:rsidRPr="00630129" w:rsidRDefault="001C7564">
      <w:pPr>
        <w:spacing w:after="220"/>
        <w:ind w:left="1984" w:hanging="992"/>
        <w:jc w:val="both"/>
        <w:rPr>
          <w:sz w:val="22"/>
          <w:szCs w:val="22"/>
        </w:rPr>
      </w:pPr>
      <w:r w:rsidRPr="00630129">
        <w:rPr>
          <w:sz w:val="22"/>
          <w:szCs w:val="22"/>
        </w:rPr>
        <w:t>(a)</w:t>
      </w:r>
      <w:r w:rsidRPr="00630129">
        <w:rPr>
          <w:sz w:val="22"/>
          <w:szCs w:val="22"/>
        </w:rPr>
        <w:tab/>
        <w:t>technical definitions and acronyms applicable in the Code other than in relation to Section S;</w:t>
      </w:r>
    </w:p>
    <w:p w14:paraId="00B82696" w14:textId="77777777" w:rsidR="002A68CF" w:rsidRPr="00630129" w:rsidRDefault="001C7564">
      <w:pPr>
        <w:spacing w:after="220"/>
        <w:ind w:left="1984" w:hanging="992"/>
        <w:jc w:val="both"/>
        <w:rPr>
          <w:sz w:val="22"/>
          <w:szCs w:val="22"/>
        </w:rPr>
      </w:pPr>
      <w:r w:rsidRPr="00630129">
        <w:rPr>
          <w:sz w:val="22"/>
          <w:szCs w:val="22"/>
        </w:rPr>
        <w:t>(b)</w:t>
      </w:r>
      <w:r w:rsidRPr="00630129">
        <w:rPr>
          <w:sz w:val="22"/>
          <w:szCs w:val="22"/>
        </w:rPr>
        <w:tab/>
        <w:t>technical definitions and acronyms applicable only in relation to Section S;</w:t>
      </w:r>
    </w:p>
    <w:p w14:paraId="33ACFD05" w14:textId="77777777" w:rsidR="002A68CF" w:rsidRPr="00630129" w:rsidRDefault="001C7564">
      <w:pPr>
        <w:spacing w:after="220"/>
        <w:ind w:left="1984" w:hanging="992"/>
        <w:jc w:val="both"/>
        <w:rPr>
          <w:sz w:val="22"/>
          <w:szCs w:val="22"/>
        </w:rPr>
      </w:pPr>
      <w:r w:rsidRPr="00630129">
        <w:rPr>
          <w:sz w:val="22"/>
          <w:szCs w:val="22"/>
        </w:rPr>
        <w:t>(c)</w:t>
      </w:r>
      <w:r w:rsidRPr="00630129">
        <w:rPr>
          <w:sz w:val="22"/>
          <w:szCs w:val="22"/>
        </w:rPr>
        <w:tab/>
        <w:t>conventions applicable to the Code, including timing conventions, the use of superscripts/subscripts with variables, summations and mathematical operators; and</w:t>
      </w:r>
    </w:p>
    <w:p w14:paraId="0E7368F6" w14:textId="77777777" w:rsidR="002A68CF" w:rsidRPr="00630129" w:rsidRDefault="001C7564">
      <w:pPr>
        <w:spacing w:after="220"/>
        <w:ind w:left="1984" w:hanging="992"/>
        <w:jc w:val="both"/>
        <w:rPr>
          <w:sz w:val="22"/>
          <w:szCs w:val="22"/>
        </w:rPr>
      </w:pPr>
      <w:r w:rsidRPr="00630129">
        <w:rPr>
          <w:sz w:val="22"/>
          <w:szCs w:val="22"/>
        </w:rPr>
        <w:t>(d)</w:t>
      </w:r>
      <w:r w:rsidRPr="00630129">
        <w:rPr>
          <w:sz w:val="22"/>
          <w:szCs w:val="22"/>
        </w:rPr>
        <w:tab/>
        <w:t>the method of interpolation of variables.</w:t>
      </w:r>
    </w:p>
    <w:p w14:paraId="7C8E508F" w14:textId="77777777" w:rsidR="002A68CF" w:rsidRPr="00630129" w:rsidRDefault="001C7564">
      <w:pPr>
        <w:spacing w:after="220"/>
        <w:ind w:left="992" w:hanging="992"/>
        <w:jc w:val="both"/>
        <w:rPr>
          <w:b/>
          <w:sz w:val="22"/>
          <w:szCs w:val="22"/>
        </w:rPr>
      </w:pPr>
      <w:r w:rsidRPr="00630129">
        <w:rPr>
          <w:b/>
          <w:sz w:val="22"/>
          <w:szCs w:val="22"/>
        </w:rPr>
        <w:t>1.2</w:t>
      </w:r>
      <w:r w:rsidRPr="00630129">
        <w:rPr>
          <w:b/>
          <w:sz w:val="22"/>
          <w:szCs w:val="22"/>
        </w:rPr>
        <w:tab/>
        <w:t>Use of Mathematical Operators</w:t>
      </w:r>
    </w:p>
    <w:p w14:paraId="7AB5866E" w14:textId="77777777" w:rsidR="002A68CF" w:rsidRPr="00630129" w:rsidRDefault="001C7564">
      <w:pPr>
        <w:pStyle w:val="Lowercasea"/>
        <w:keepNext w:val="0"/>
        <w:keepLines w:val="0"/>
        <w:tabs>
          <w:tab w:val="clear" w:pos="-720"/>
          <w:tab w:val="clear" w:pos="0"/>
        </w:tabs>
        <w:suppressAutoHyphens w:val="0"/>
        <w:spacing w:after="220"/>
        <w:ind w:left="992" w:hanging="992"/>
        <w:jc w:val="both"/>
        <w:rPr>
          <w:rFonts w:ascii="Times New Roman" w:hAnsi="Times New Roman"/>
          <w:sz w:val="22"/>
          <w:szCs w:val="22"/>
          <w:lang w:val="en-GB"/>
        </w:rPr>
      </w:pPr>
      <w:r w:rsidRPr="00630129">
        <w:rPr>
          <w:rFonts w:ascii="Times New Roman" w:hAnsi="Times New Roman"/>
          <w:sz w:val="22"/>
          <w:szCs w:val="22"/>
          <w:lang w:val="en-GB"/>
        </w:rPr>
        <w:t>1.2.1</w:t>
      </w:r>
      <w:r w:rsidRPr="00630129">
        <w:rPr>
          <w:rFonts w:ascii="Times New Roman" w:hAnsi="Times New Roman"/>
          <w:sz w:val="22"/>
          <w:szCs w:val="22"/>
          <w:lang w:val="en-GB"/>
        </w:rPr>
        <w:tab/>
        <w:t xml:space="preserve">The mathematical operators and conventions employed in the formulae and other algebraic expressions contained in </w:t>
      </w:r>
      <w:r w:rsidRPr="00630129">
        <w:rPr>
          <w:rFonts w:ascii="Times New Roman" w:hAnsi="Times New Roman"/>
          <w:sz w:val="22"/>
          <w:szCs w:val="22"/>
        </w:rPr>
        <w:t>the Code</w:t>
      </w:r>
      <w:r w:rsidRPr="00630129">
        <w:rPr>
          <w:rFonts w:ascii="Times New Roman" w:hAnsi="Times New Roman"/>
          <w:sz w:val="22"/>
          <w:szCs w:val="22"/>
          <w:lang w:val="en-GB"/>
        </w:rPr>
        <w:t xml:space="preserve"> </w:t>
      </w:r>
      <w:r w:rsidRPr="00630129">
        <w:rPr>
          <w:rFonts w:ascii="Times New Roman" w:hAnsi="Times New Roman"/>
          <w:sz w:val="22"/>
          <w:szCs w:val="22"/>
        </w:rPr>
        <w:t>shall be construed in accordance with the following:</w:t>
      </w:r>
    </w:p>
    <w:p w14:paraId="20F31197" w14:textId="77777777" w:rsidR="002A68CF" w:rsidRPr="00630129" w:rsidRDefault="001C7564">
      <w:pPr>
        <w:spacing w:after="220"/>
        <w:ind w:left="1984" w:hanging="992"/>
        <w:jc w:val="both"/>
        <w:rPr>
          <w:sz w:val="22"/>
          <w:szCs w:val="22"/>
        </w:rPr>
      </w:pPr>
      <w:r w:rsidRPr="00630129">
        <w:rPr>
          <w:sz w:val="22"/>
          <w:szCs w:val="22"/>
        </w:rPr>
        <w:t>(a)</w:t>
      </w:r>
      <w:r w:rsidRPr="00630129">
        <w:rPr>
          <w:sz w:val="22"/>
          <w:szCs w:val="22"/>
        </w:rPr>
        <w:tab/>
        <w:t>the symbol * requires multiplication to be effected;</w:t>
      </w:r>
    </w:p>
    <w:p w14:paraId="27F6896D" w14:textId="77777777" w:rsidR="002A68CF" w:rsidRPr="00630129" w:rsidRDefault="001C7564">
      <w:pPr>
        <w:pStyle w:val="RightPar2"/>
        <w:tabs>
          <w:tab w:val="clear" w:pos="-720"/>
          <w:tab w:val="clear" w:pos="0"/>
          <w:tab w:val="clear" w:pos="720"/>
          <w:tab w:val="clear" w:pos="1440"/>
        </w:tabs>
        <w:suppressAutoHyphens w:val="0"/>
        <w:spacing w:after="220"/>
        <w:ind w:left="1984" w:hanging="992"/>
        <w:jc w:val="both"/>
        <w:rPr>
          <w:rFonts w:ascii="Times New Roman" w:hAnsi="Times New Roman"/>
          <w:sz w:val="22"/>
          <w:szCs w:val="22"/>
          <w:lang w:val="en-GB"/>
        </w:rPr>
      </w:pPr>
      <w:r w:rsidRPr="00630129">
        <w:rPr>
          <w:rFonts w:ascii="Times New Roman" w:hAnsi="Times New Roman"/>
          <w:sz w:val="22"/>
          <w:szCs w:val="22"/>
        </w:rPr>
        <w:t>(b)</w:t>
      </w:r>
      <w:r w:rsidRPr="00630129">
        <w:rPr>
          <w:rFonts w:ascii="Times New Roman" w:hAnsi="Times New Roman"/>
          <w:sz w:val="22"/>
          <w:szCs w:val="22"/>
        </w:rPr>
        <w:tab/>
        <w:t xml:space="preserve">in respect of any data items, the symbol </w:t>
      </w:r>
      <w:r w:rsidRPr="00630129">
        <w:rPr>
          <w:rFonts w:ascii="Times New Roman" w:hAnsi="Times New Roman"/>
          <w:sz w:val="22"/>
          <w:szCs w:val="22"/>
        </w:rPr>
        <w:sym w:font="Symbol" w:char="F0CE"/>
      </w:r>
      <w:r w:rsidRPr="00630129">
        <w:rPr>
          <w:rFonts w:ascii="Times New Roman" w:hAnsi="Times New Roman"/>
          <w:sz w:val="22"/>
          <w:szCs w:val="22"/>
          <w:lang w:val="en-GB"/>
        </w:rPr>
        <w:t xml:space="preserve"> </w:t>
      </w:r>
      <w:r w:rsidRPr="00630129">
        <w:rPr>
          <w:rFonts w:ascii="Times New Roman" w:hAnsi="Times New Roman"/>
          <w:sz w:val="22"/>
          <w:szCs w:val="22"/>
        </w:rPr>
        <w:t>refers to</w:t>
      </w:r>
      <w:r w:rsidRPr="00630129">
        <w:rPr>
          <w:rFonts w:ascii="Times New Roman" w:hAnsi="Times New Roman"/>
          <w:sz w:val="22"/>
          <w:szCs w:val="22"/>
          <w:lang w:val="en-GB"/>
        </w:rPr>
        <w:t xml:space="preserve"> belonging to or falling within. For example a</w:t>
      </w:r>
      <w:r w:rsidRPr="00630129">
        <w:rPr>
          <w:rFonts w:ascii="Times New Roman" w:hAnsi="Times New Roman"/>
          <w:sz w:val="22"/>
          <w:szCs w:val="22"/>
          <w:lang w:val="en-GB"/>
        </w:rPr>
        <w:sym w:font="Symbol" w:char="F0CE"/>
      </w:r>
      <w:r w:rsidRPr="00630129">
        <w:rPr>
          <w:rFonts w:ascii="Times New Roman" w:hAnsi="Times New Roman"/>
          <w:sz w:val="22"/>
          <w:szCs w:val="22"/>
          <w:lang w:val="en-GB"/>
        </w:rPr>
        <w:t>p denotes those Energy Accounts 'a' that belong to Party ‘p’, and j</w:t>
      </w:r>
      <w:r w:rsidRPr="00630129">
        <w:rPr>
          <w:rFonts w:ascii="Times New Roman" w:hAnsi="Times New Roman"/>
          <w:sz w:val="22"/>
          <w:szCs w:val="22"/>
          <w:lang w:val="en-GB"/>
        </w:rPr>
        <w:sym w:font="Symbol" w:char="F0CE"/>
      </w:r>
      <w:r w:rsidRPr="00630129">
        <w:rPr>
          <w:rFonts w:ascii="Times New Roman" w:hAnsi="Times New Roman"/>
          <w:sz w:val="22"/>
          <w:szCs w:val="22"/>
          <w:lang w:val="en-GB"/>
        </w:rPr>
        <w:t>D denotes those Settlement Periods ‘j’ falling within Settlement Day ‘D’;</w:t>
      </w:r>
    </w:p>
    <w:p w14:paraId="3802DD96" w14:textId="77777777" w:rsidR="002A68CF" w:rsidRPr="00630129" w:rsidRDefault="001C7564">
      <w:pPr>
        <w:spacing w:after="220"/>
        <w:ind w:left="1984" w:hanging="992"/>
        <w:jc w:val="both"/>
        <w:rPr>
          <w:sz w:val="22"/>
          <w:szCs w:val="22"/>
        </w:rPr>
      </w:pPr>
      <w:r w:rsidRPr="00630129">
        <w:rPr>
          <w:sz w:val="22"/>
          <w:szCs w:val="22"/>
        </w:rPr>
        <w:t>(c)</w:t>
      </w:r>
      <w:r w:rsidRPr="00630129">
        <w:rPr>
          <w:sz w:val="22"/>
          <w:szCs w:val="22"/>
        </w:rPr>
        <w:tab/>
        <w:t>the number 0 (zero) shall be treated as a positive whole number;</w:t>
      </w:r>
    </w:p>
    <w:p w14:paraId="60FB85CD" w14:textId="77777777" w:rsidR="002A68CF" w:rsidRPr="00630129" w:rsidRDefault="001C7564">
      <w:pPr>
        <w:spacing w:after="220"/>
        <w:ind w:left="1984" w:hanging="992"/>
        <w:jc w:val="both"/>
        <w:rPr>
          <w:sz w:val="22"/>
          <w:szCs w:val="22"/>
        </w:rPr>
      </w:pPr>
      <w:r w:rsidRPr="00630129">
        <w:rPr>
          <w:sz w:val="22"/>
          <w:szCs w:val="22"/>
        </w:rPr>
        <w:t>(d)</w:t>
      </w:r>
      <w:r w:rsidRPr="00630129">
        <w:rPr>
          <w:sz w:val="22"/>
          <w:szCs w:val="22"/>
        </w:rPr>
        <w:tab/>
        <w:t>the convention |FUNC| refers to the absolute value of the expression ‘FUNC’, that is the positive value whether the value obtained is positive or negative;</w:t>
      </w:r>
    </w:p>
    <w:p w14:paraId="2C490029" w14:textId="77777777" w:rsidR="002A68CF" w:rsidRPr="00630129" w:rsidRDefault="001C7564">
      <w:pPr>
        <w:spacing w:after="220"/>
        <w:ind w:left="1984" w:hanging="992"/>
        <w:jc w:val="both"/>
        <w:rPr>
          <w:sz w:val="22"/>
          <w:szCs w:val="22"/>
        </w:rPr>
      </w:pPr>
      <w:r w:rsidRPr="00630129">
        <w:rPr>
          <w:sz w:val="22"/>
          <w:szCs w:val="22"/>
        </w:rPr>
        <w:t>(e)</w:t>
      </w:r>
      <w:r w:rsidRPr="00630129">
        <w:rPr>
          <w:sz w:val="22"/>
          <w:szCs w:val="22"/>
        </w:rPr>
        <w:tab/>
        <w:t>Where in the Code the minimum value ('min') of a set of numbers is to be selected, then for the avoidance of doubt, the value selected shall be the negative number in that set with the greatest magnitude, or in the absence of any such negative number, the positive number in that set with the lowest magnitude. Where in the Code the maximum value ('max') of a set of numbers is to be selected, then for the avoidance of doubt, the value selected shall be the positive number in that set with the greatest magnitude, or in the absence of any such positive number, the negative number in that set with the lowest magnitude.</w:t>
      </w:r>
    </w:p>
    <w:p w14:paraId="0797F3F3" w14:textId="77777777" w:rsidR="002A68CF" w:rsidRPr="00630129" w:rsidRDefault="002A68CF">
      <w:pPr>
        <w:spacing w:after="220"/>
        <w:jc w:val="both"/>
        <w:rPr>
          <w:sz w:val="22"/>
          <w:szCs w:val="22"/>
        </w:rPr>
      </w:pPr>
    </w:p>
    <w:p w14:paraId="6B765697" w14:textId="77777777" w:rsidR="002A68CF" w:rsidRPr="00630129" w:rsidRDefault="001C7564" w:rsidP="00B87569">
      <w:pPr>
        <w:spacing w:after="220"/>
        <w:ind w:left="992" w:hanging="992"/>
        <w:jc w:val="both"/>
        <w:rPr>
          <w:b/>
          <w:sz w:val="22"/>
          <w:szCs w:val="22"/>
        </w:rPr>
      </w:pPr>
      <w:r w:rsidRPr="00630129">
        <w:rPr>
          <w:b/>
          <w:sz w:val="22"/>
          <w:szCs w:val="22"/>
        </w:rPr>
        <w:t>2.</w:t>
      </w:r>
      <w:r w:rsidRPr="00630129">
        <w:rPr>
          <w:b/>
          <w:sz w:val="22"/>
          <w:szCs w:val="22"/>
        </w:rPr>
        <w:tab/>
        <w:t>TECHNICAL TERMS AND INTERPRETATION APPLYING EXCEPT IN RELATION TO SECTION S</w:t>
      </w:r>
    </w:p>
    <w:p w14:paraId="35E4CA3B" w14:textId="77777777" w:rsidR="002A68CF" w:rsidRPr="00630129" w:rsidRDefault="001C7564">
      <w:pPr>
        <w:pStyle w:val="EndnoteText"/>
        <w:spacing w:after="220"/>
        <w:ind w:left="992" w:hanging="992"/>
        <w:jc w:val="both"/>
        <w:rPr>
          <w:b/>
          <w:sz w:val="22"/>
          <w:szCs w:val="22"/>
        </w:rPr>
      </w:pPr>
      <w:r w:rsidRPr="00630129">
        <w:rPr>
          <w:b/>
          <w:sz w:val="22"/>
          <w:szCs w:val="22"/>
        </w:rPr>
        <w:t>2.1</w:t>
      </w:r>
      <w:r w:rsidRPr="00630129">
        <w:rPr>
          <w:b/>
          <w:sz w:val="22"/>
          <w:szCs w:val="22"/>
        </w:rPr>
        <w:tab/>
        <w:t>Introduction</w:t>
      </w:r>
    </w:p>
    <w:p w14:paraId="252EF827" w14:textId="77777777" w:rsidR="002A68CF" w:rsidRPr="00630129" w:rsidRDefault="001C7564">
      <w:pPr>
        <w:spacing w:after="220"/>
        <w:ind w:left="992" w:hanging="992"/>
        <w:jc w:val="both"/>
        <w:rPr>
          <w:sz w:val="22"/>
          <w:szCs w:val="22"/>
        </w:rPr>
      </w:pPr>
      <w:r w:rsidRPr="00630129">
        <w:rPr>
          <w:sz w:val="22"/>
          <w:szCs w:val="22"/>
        </w:rPr>
        <w:t>2.1.1</w:t>
      </w:r>
      <w:r w:rsidRPr="00630129">
        <w:rPr>
          <w:sz w:val="22"/>
          <w:szCs w:val="22"/>
        </w:rPr>
        <w:tab/>
        <w:t>Unless the context otherwise requires the provisions of this paragraph 2 as to the use, interpretation or definition of terms, expressions, acronyms, and subscripts and summations shall apply in relation to the Code except in Section S.</w:t>
      </w:r>
    </w:p>
    <w:p w14:paraId="15F2A4EC" w14:textId="77777777" w:rsidR="002A68CF" w:rsidRPr="00630129" w:rsidRDefault="001C7564">
      <w:pPr>
        <w:spacing w:after="220"/>
        <w:ind w:left="992" w:hanging="992"/>
        <w:jc w:val="both"/>
        <w:rPr>
          <w:b/>
          <w:sz w:val="22"/>
          <w:szCs w:val="22"/>
        </w:rPr>
      </w:pPr>
      <w:r w:rsidRPr="00630129">
        <w:rPr>
          <w:b/>
          <w:sz w:val="22"/>
          <w:szCs w:val="22"/>
        </w:rPr>
        <w:t>2.2</w:t>
      </w:r>
      <w:r w:rsidRPr="00630129">
        <w:rPr>
          <w:b/>
          <w:sz w:val="22"/>
          <w:szCs w:val="22"/>
        </w:rPr>
        <w:tab/>
        <w:t>Use of Subscripts and Other Expressions</w:t>
      </w:r>
    </w:p>
    <w:p w14:paraId="18ADA06B" w14:textId="77777777" w:rsidR="002A68CF" w:rsidRPr="00630129" w:rsidRDefault="001C7564">
      <w:pPr>
        <w:spacing w:after="220"/>
        <w:ind w:left="992" w:hanging="992"/>
        <w:jc w:val="both"/>
        <w:rPr>
          <w:sz w:val="22"/>
          <w:szCs w:val="22"/>
        </w:rPr>
      </w:pPr>
      <w:r w:rsidRPr="00630129">
        <w:rPr>
          <w:sz w:val="22"/>
          <w:szCs w:val="22"/>
        </w:rPr>
        <w:lastRenderedPageBreak/>
        <w:t>2.2.1</w:t>
      </w:r>
      <w:r w:rsidRPr="00630129">
        <w:rPr>
          <w:sz w:val="22"/>
          <w:szCs w:val="22"/>
        </w:rPr>
        <w:tab/>
        <w:t>The subscripts and superscripts employed in the formulae and other algebraic expressions contained in the Code shall bear the respective meanings set out in Table X-1.</w:t>
      </w:r>
    </w:p>
    <w:p w14:paraId="57EFE291" w14:textId="77777777" w:rsidR="002A68CF" w:rsidRPr="00630129" w:rsidRDefault="001C7564">
      <w:pPr>
        <w:spacing w:after="220"/>
        <w:ind w:left="992" w:hanging="992"/>
        <w:jc w:val="both"/>
        <w:rPr>
          <w:b/>
          <w:sz w:val="22"/>
          <w:szCs w:val="22"/>
        </w:rPr>
      </w:pPr>
      <w:r w:rsidRPr="00630129">
        <w:rPr>
          <w:b/>
          <w:sz w:val="22"/>
          <w:szCs w:val="22"/>
        </w:rPr>
        <w:t>2.3</w:t>
      </w:r>
      <w:r w:rsidRPr="00630129">
        <w:rPr>
          <w:b/>
          <w:sz w:val="22"/>
          <w:szCs w:val="22"/>
        </w:rPr>
        <w:tab/>
        <w:t>Glossary of Terms</w:t>
      </w:r>
    </w:p>
    <w:p w14:paraId="28D3A946" w14:textId="77777777" w:rsidR="002A68CF" w:rsidRPr="00630129" w:rsidRDefault="001C7564">
      <w:pPr>
        <w:pStyle w:val="Lowercasea"/>
        <w:keepNext w:val="0"/>
        <w:keepLines w:val="0"/>
        <w:tabs>
          <w:tab w:val="clear" w:pos="-720"/>
          <w:tab w:val="clear" w:pos="0"/>
        </w:tabs>
        <w:suppressAutoHyphens w:val="0"/>
        <w:spacing w:after="220"/>
        <w:ind w:left="992" w:hanging="992"/>
        <w:jc w:val="both"/>
        <w:rPr>
          <w:rFonts w:ascii="Times New Roman" w:hAnsi="Times New Roman"/>
          <w:sz w:val="22"/>
          <w:szCs w:val="22"/>
          <w:lang w:val="en-GB"/>
        </w:rPr>
      </w:pPr>
      <w:r w:rsidRPr="00630129">
        <w:rPr>
          <w:rFonts w:ascii="Times New Roman" w:hAnsi="Times New Roman"/>
          <w:sz w:val="22"/>
          <w:szCs w:val="22"/>
          <w:lang w:val="en-GB"/>
        </w:rPr>
        <w:t>2.3.1</w:t>
      </w:r>
      <w:r w:rsidRPr="00630129">
        <w:rPr>
          <w:rFonts w:ascii="Times New Roman" w:hAnsi="Times New Roman"/>
          <w:sz w:val="22"/>
          <w:szCs w:val="22"/>
          <w:lang w:val="en-GB"/>
        </w:rPr>
        <w:tab/>
        <w:t>Unless the context otherwise requires, and subject as provided in Table X-2, in the Code the words, expressions and acronyms set out in Table X-2 shall bear the respective meanings therein set out.</w:t>
      </w:r>
    </w:p>
    <w:p w14:paraId="5B1198AD" w14:textId="77777777" w:rsidR="002A68CF" w:rsidRPr="00630129" w:rsidRDefault="001C7564">
      <w:pPr>
        <w:pStyle w:val="Lowercasea"/>
        <w:keepNext w:val="0"/>
        <w:keepLines w:val="0"/>
        <w:tabs>
          <w:tab w:val="clear" w:pos="-720"/>
          <w:tab w:val="clear" w:pos="0"/>
        </w:tabs>
        <w:suppressAutoHyphens w:val="0"/>
        <w:spacing w:after="220"/>
        <w:ind w:left="992" w:hanging="992"/>
        <w:jc w:val="both"/>
        <w:rPr>
          <w:rFonts w:ascii="Times New Roman" w:hAnsi="Times New Roman"/>
          <w:sz w:val="22"/>
          <w:szCs w:val="22"/>
          <w:lang w:val="en-GB"/>
        </w:rPr>
      </w:pPr>
      <w:r w:rsidRPr="00630129">
        <w:rPr>
          <w:rFonts w:ascii="Times New Roman" w:hAnsi="Times New Roman"/>
          <w:sz w:val="22"/>
          <w:szCs w:val="22"/>
          <w:lang w:val="en-GB"/>
        </w:rPr>
        <w:t>2.3.2</w:t>
      </w:r>
      <w:r w:rsidRPr="00630129">
        <w:rPr>
          <w:rFonts w:ascii="Times New Roman" w:hAnsi="Times New Roman"/>
          <w:sz w:val="22"/>
          <w:szCs w:val="22"/>
          <w:lang w:val="en-GB"/>
        </w:rPr>
        <w:tab/>
        <w:t>Table X-3 sets out for convenience the acronyms employed in the formulae and other algebraic expressions contained in the Code in alphabetical order of acronym name.</w:t>
      </w:r>
    </w:p>
    <w:p w14:paraId="4D1B122B" w14:textId="77777777" w:rsidR="002A68CF" w:rsidRPr="00630129" w:rsidRDefault="001C7564">
      <w:pPr>
        <w:pStyle w:val="Lowercasea"/>
        <w:keepNext w:val="0"/>
        <w:keepLines w:val="0"/>
        <w:tabs>
          <w:tab w:val="clear" w:pos="-720"/>
          <w:tab w:val="clear" w:pos="0"/>
        </w:tabs>
        <w:suppressAutoHyphens w:val="0"/>
        <w:spacing w:after="220"/>
        <w:ind w:left="992" w:hanging="992"/>
        <w:jc w:val="both"/>
        <w:rPr>
          <w:rFonts w:ascii="Times New Roman" w:hAnsi="Times New Roman"/>
          <w:b/>
          <w:sz w:val="22"/>
          <w:szCs w:val="22"/>
          <w:lang w:val="en-GB"/>
        </w:rPr>
      </w:pPr>
      <w:r w:rsidRPr="00630129">
        <w:rPr>
          <w:rFonts w:ascii="Times New Roman" w:hAnsi="Times New Roman"/>
          <w:b/>
          <w:sz w:val="22"/>
          <w:szCs w:val="22"/>
          <w:lang w:val="en-GB"/>
        </w:rPr>
        <w:t>2.4</w:t>
      </w:r>
      <w:r w:rsidRPr="00630129">
        <w:rPr>
          <w:rFonts w:ascii="Times New Roman" w:hAnsi="Times New Roman"/>
          <w:b/>
          <w:sz w:val="22"/>
          <w:szCs w:val="22"/>
          <w:lang w:val="en-GB"/>
        </w:rPr>
        <w:tab/>
        <w:t>Sign Convention - Active Energy and Active Power</w:t>
      </w:r>
    </w:p>
    <w:p w14:paraId="2294D5FD" w14:textId="77777777" w:rsidR="002A68CF" w:rsidRPr="00630129" w:rsidRDefault="001C7564">
      <w:pPr>
        <w:pStyle w:val="Lowercasea"/>
        <w:keepNext w:val="0"/>
        <w:keepLines w:val="0"/>
        <w:tabs>
          <w:tab w:val="clear" w:pos="-720"/>
          <w:tab w:val="clear" w:pos="0"/>
        </w:tabs>
        <w:suppressAutoHyphens w:val="0"/>
        <w:spacing w:after="220"/>
        <w:ind w:left="992" w:hanging="992"/>
        <w:jc w:val="both"/>
        <w:rPr>
          <w:rStyle w:val="PageNumber"/>
          <w:rFonts w:ascii="Times New Roman" w:hAnsi="Times New Roman"/>
          <w:sz w:val="22"/>
          <w:szCs w:val="22"/>
        </w:rPr>
      </w:pPr>
      <w:r w:rsidRPr="00630129">
        <w:rPr>
          <w:rStyle w:val="PageNumber"/>
          <w:rFonts w:ascii="Times New Roman" w:hAnsi="Times New Roman"/>
          <w:sz w:val="22"/>
          <w:szCs w:val="22"/>
        </w:rPr>
        <w:t>2.4.1</w:t>
      </w:r>
      <w:r w:rsidRPr="00630129">
        <w:rPr>
          <w:rStyle w:val="PageNumber"/>
          <w:rFonts w:ascii="Times New Roman" w:hAnsi="Times New Roman"/>
          <w:sz w:val="22"/>
          <w:szCs w:val="22"/>
        </w:rPr>
        <w:tab/>
        <w:t>Subject to paragraph 2.4.2, the sign convention adopted in the Code is that all variables representing Active Energy or Active Power are:</w:t>
      </w:r>
    </w:p>
    <w:p w14:paraId="42E200A2" w14:textId="77777777" w:rsidR="002A68CF" w:rsidRPr="00630129" w:rsidRDefault="001C7564">
      <w:pPr>
        <w:pStyle w:val="Lowercasea"/>
        <w:keepNext w:val="0"/>
        <w:keepLines w:val="0"/>
        <w:tabs>
          <w:tab w:val="clear" w:pos="-720"/>
          <w:tab w:val="clear" w:pos="0"/>
        </w:tabs>
        <w:suppressAutoHyphens w:val="0"/>
        <w:spacing w:after="220"/>
        <w:ind w:left="1984" w:hanging="992"/>
        <w:jc w:val="both"/>
        <w:rPr>
          <w:rStyle w:val="PageNumber"/>
          <w:rFonts w:ascii="Times New Roman" w:hAnsi="Times New Roman"/>
          <w:sz w:val="22"/>
          <w:szCs w:val="22"/>
        </w:rPr>
      </w:pPr>
      <w:r w:rsidRPr="00630129">
        <w:rPr>
          <w:rStyle w:val="PageNumber"/>
          <w:rFonts w:ascii="Times New Roman" w:hAnsi="Times New Roman"/>
          <w:sz w:val="22"/>
          <w:szCs w:val="22"/>
        </w:rPr>
        <w:t>(a)</w:t>
      </w:r>
      <w:r w:rsidRPr="00630129">
        <w:rPr>
          <w:rStyle w:val="PageNumber"/>
          <w:rFonts w:ascii="Times New Roman" w:hAnsi="Times New Roman"/>
          <w:sz w:val="22"/>
          <w:szCs w:val="22"/>
        </w:rPr>
        <w:tab/>
        <w:t>positive in any Settlement Period for which they represent Active Energy or Active Power delivered on to the Total System or (at any Systems Connection Points(s)) the Transmission System; and</w:t>
      </w:r>
    </w:p>
    <w:p w14:paraId="733F29C1" w14:textId="77777777" w:rsidR="002A68CF" w:rsidRPr="00630129" w:rsidRDefault="001C7564">
      <w:pPr>
        <w:pStyle w:val="Lowercasea"/>
        <w:keepNext w:val="0"/>
        <w:keepLines w:val="0"/>
        <w:tabs>
          <w:tab w:val="clear" w:pos="-720"/>
          <w:tab w:val="clear" w:pos="0"/>
        </w:tabs>
        <w:suppressAutoHyphens w:val="0"/>
        <w:spacing w:after="220"/>
        <w:ind w:left="1984" w:hanging="992"/>
        <w:jc w:val="both"/>
        <w:rPr>
          <w:rStyle w:val="PageNumber"/>
          <w:rFonts w:ascii="Times New Roman" w:hAnsi="Times New Roman"/>
          <w:sz w:val="22"/>
          <w:szCs w:val="22"/>
        </w:rPr>
      </w:pPr>
      <w:r w:rsidRPr="00630129">
        <w:rPr>
          <w:rStyle w:val="PageNumber"/>
          <w:rFonts w:ascii="Times New Roman" w:hAnsi="Times New Roman"/>
          <w:sz w:val="22"/>
          <w:szCs w:val="22"/>
        </w:rPr>
        <w:t>(b)</w:t>
      </w:r>
      <w:r w:rsidRPr="00630129">
        <w:rPr>
          <w:rStyle w:val="PageNumber"/>
          <w:rFonts w:ascii="Times New Roman" w:hAnsi="Times New Roman"/>
          <w:sz w:val="22"/>
          <w:szCs w:val="22"/>
        </w:rPr>
        <w:tab/>
        <w:t>negative in any Settlement Period for which they represent Active Energy or Active Power off-taken from the Total System or (at any Systems Connection Points(s)) the Transmission System.</w:t>
      </w:r>
    </w:p>
    <w:p w14:paraId="5931C853" w14:textId="77777777" w:rsidR="002A68CF" w:rsidRPr="00630129" w:rsidRDefault="001C7564">
      <w:pPr>
        <w:pStyle w:val="Lowercasea"/>
        <w:keepNext w:val="0"/>
        <w:keepLines w:val="0"/>
        <w:tabs>
          <w:tab w:val="clear" w:pos="-720"/>
          <w:tab w:val="clear" w:pos="0"/>
        </w:tabs>
        <w:suppressAutoHyphens w:val="0"/>
        <w:spacing w:after="220"/>
        <w:ind w:left="992" w:hanging="992"/>
        <w:jc w:val="both"/>
        <w:rPr>
          <w:rStyle w:val="PageNumber"/>
          <w:rFonts w:ascii="Times New Roman" w:hAnsi="Times New Roman"/>
          <w:sz w:val="22"/>
          <w:szCs w:val="22"/>
        </w:rPr>
      </w:pPr>
      <w:r w:rsidRPr="00630129">
        <w:rPr>
          <w:rStyle w:val="PageNumber"/>
          <w:rFonts w:ascii="Times New Roman" w:hAnsi="Times New Roman"/>
          <w:sz w:val="22"/>
          <w:szCs w:val="22"/>
        </w:rPr>
        <w:t>2.4.2</w:t>
      </w:r>
      <w:r w:rsidRPr="00630129">
        <w:rPr>
          <w:rStyle w:val="PageNumber"/>
          <w:rFonts w:ascii="Times New Roman" w:hAnsi="Times New Roman"/>
          <w:sz w:val="22"/>
          <w:szCs w:val="22"/>
        </w:rPr>
        <w:tab/>
        <w:t>Paragraph 2.4.1 shall not apply in relation to:</w:t>
      </w:r>
    </w:p>
    <w:p w14:paraId="65DEF1B1" w14:textId="77777777" w:rsidR="002A68CF" w:rsidRPr="00630129" w:rsidRDefault="001C7564">
      <w:pPr>
        <w:pStyle w:val="Lowercasea"/>
        <w:keepNext w:val="0"/>
        <w:keepLines w:val="0"/>
        <w:tabs>
          <w:tab w:val="clear" w:pos="-720"/>
          <w:tab w:val="clear" w:pos="0"/>
        </w:tabs>
        <w:suppressAutoHyphens w:val="0"/>
        <w:spacing w:after="220"/>
        <w:ind w:left="1984" w:hanging="992"/>
        <w:jc w:val="both"/>
        <w:rPr>
          <w:rStyle w:val="PageNumber"/>
          <w:rFonts w:ascii="Times New Roman" w:hAnsi="Times New Roman"/>
          <w:sz w:val="22"/>
          <w:szCs w:val="22"/>
        </w:rPr>
      </w:pPr>
      <w:r w:rsidRPr="00630129">
        <w:rPr>
          <w:rStyle w:val="PageNumber"/>
          <w:rFonts w:ascii="Times New Roman" w:hAnsi="Times New Roman"/>
          <w:sz w:val="22"/>
          <w:szCs w:val="22"/>
        </w:rPr>
        <w:t>(a)</w:t>
      </w:r>
      <w:r w:rsidRPr="00630129">
        <w:rPr>
          <w:rStyle w:val="PageNumber"/>
          <w:rFonts w:ascii="Times New Roman" w:hAnsi="Times New Roman"/>
          <w:sz w:val="22"/>
          <w:szCs w:val="22"/>
        </w:rPr>
        <w:tab/>
        <w:t>GSP Group Take;</w:t>
      </w:r>
    </w:p>
    <w:p w14:paraId="34EAEF77" w14:textId="77777777" w:rsidR="002A68CF" w:rsidRPr="00630129" w:rsidRDefault="001C7564">
      <w:pPr>
        <w:pStyle w:val="Lowercasea"/>
        <w:keepNext w:val="0"/>
        <w:keepLines w:val="0"/>
        <w:tabs>
          <w:tab w:val="clear" w:pos="-720"/>
          <w:tab w:val="clear" w:pos="0"/>
        </w:tabs>
        <w:suppressAutoHyphens w:val="0"/>
        <w:spacing w:after="220"/>
        <w:ind w:left="1984" w:hanging="992"/>
        <w:jc w:val="both"/>
        <w:rPr>
          <w:rStyle w:val="PageNumber"/>
          <w:rFonts w:ascii="Times New Roman" w:hAnsi="Times New Roman"/>
          <w:sz w:val="22"/>
          <w:szCs w:val="22"/>
        </w:rPr>
      </w:pPr>
      <w:r w:rsidRPr="00630129">
        <w:rPr>
          <w:rStyle w:val="PageNumber"/>
          <w:rFonts w:ascii="Times New Roman" w:hAnsi="Times New Roman"/>
          <w:sz w:val="22"/>
          <w:szCs w:val="22"/>
        </w:rPr>
        <w:t>(b)</w:t>
      </w:r>
      <w:r w:rsidRPr="00630129">
        <w:rPr>
          <w:rStyle w:val="PageNumber"/>
          <w:rFonts w:ascii="Times New Roman" w:hAnsi="Times New Roman"/>
          <w:sz w:val="22"/>
          <w:szCs w:val="22"/>
        </w:rPr>
        <w:tab/>
        <w:t>Offer Non-Delivery Volume, Period BM Unit Non-Delivery Offer Volume and any other variable representing Active Energy or Active Power derived by calculation undertaken pursuant to Section T,</w:t>
      </w:r>
    </w:p>
    <w:p w14:paraId="33F16BBE" w14:textId="77777777" w:rsidR="002A68CF" w:rsidRPr="00630129" w:rsidRDefault="001C7564">
      <w:pPr>
        <w:pStyle w:val="Lowercasea"/>
        <w:keepNext w:val="0"/>
        <w:keepLines w:val="0"/>
        <w:tabs>
          <w:tab w:val="clear" w:pos="-720"/>
          <w:tab w:val="clear" w:pos="0"/>
        </w:tabs>
        <w:suppressAutoHyphens w:val="0"/>
        <w:spacing w:after="220"/>
        <w:ind w:left="992" w:firstLine="0"/>
        <w:jc w:val="both"/>
        <w:rPr>
          <w:sz w:val="22"/>
          <w:szCs w:val="22"/>
        </w:rPr>
      </w:pPr>
      <w:r w:rsidRPr="00630129">
        <w:rPr>
          <w:rStyle w:val="PageNumber"/>
          <w:rFonts w:ascii="Times New Roman" w:hAnsi="Times New Roman"/>
          <w:sz w:val="22"/>
          <w:szCs w:val="22"/>
        </w:rPr>
        <w:t>which shall, for the avoidance of doubt, be positive, negative or zero as determined in accordance with the algebraic determination of such variable pursuant to the Code.</w:t>
      </w:r>
    </w:p>
    <w:p w14:paraId="4FBF24C0" w14:textId="77777777" w:rsidR="002A68CF" w:rsidRPr="00630129" w:rsidRDefault="001C7564">
      <w:pPr>
        <w:pStyle w:val="Lowercasea"/>
        <w:keepNext w:val="0"/>
        <w:keepLines w:val="0"/>
        <w:tabs>
          <w:tab w:val="clear" w:pos="-720"/>
          <w:tab w:val="clear" w:pos="0"/>
        </w:tabs>
        <w:suppressAutoHyphens w:val="0"/>
        <w:spacing w:after="220"/>
        <w:ind w:left="992" w:hanging="992"/>
        <w:jc w:val="both"/>
        <w:rPr>
          <w:rFonts w:ascii="Times New Roman" w:hAnsi="Times New Roman"/>
          <w:b/>
          <w:sz w:val="22"/>
          <w:szCs w:val="22"/>
          <w:lang w:val="en-GB"/>
        </w:rPr>
      </w:pPr>
      <w:r w:rsidRPr="00630129">
        <w:rPr>
          <w:rFonts w:ascii="Times New Roman" w:hAnsi="Times New Roman"/>
          <w:b/>
          <w:sz w:val="22"/>
          <w:szCs w:val="22"/>
          <w:lang w:val="en-GB"/>
        </w:rPr>
        <w:t>2.5</w:t>
      </w:r>
      <w:r w:rsidRPr="00630129">
        <w:rPr>
          <w:rFonts w:ascii="Times New Roman" w:hAnsi="Times New Roman"/>
          <w:b/>
          <w:sz w:val="22"/>
          <w:szCs w:val="22"/>
          <w:lang w:val="en-GB"/>
        </w:rPr>
        <w:tab/>
        <w:t xml:space="preserve">Sign Convention - </w:t>
      </w:r>
      <w:proofErr w:type="spellStart"/>
      <w:r w:rsidRPr="00630129">
        <w:rPr>
          <w:rFonts w:ascii="Times New Roman" w:hAnsi="Times New Roman"/>
          <w:b/>
          <w:sz w:val="22"/>
          <w:szCs w:val="22"/>
          <w:lang w:val="en-GB"/>
        </w:rPr>
        <w:t>Cashflows</w:t>
      </w:r>
      <w:proofErr w:type="spellEnd"/>
    </w:p>
    <w:p w14:paraId="72F1B396" w14:textId="77777777" w:rsidR="002A68CF" w:rsidRPr="00630129" w:rsidRDefault="001C7564">
      <w:pPr>
        <w:pStyle w:val="Lowercasea"/>
        <w:keepNext w:val="0"/>
        <w:keepLines w:val="0"/>
        <w:tabs>
          <w:tab w:val="clear" w:pos="-720"/>
          <w:tab w:val="clear" w:pos="0"/>
        </w:tabs>
        <w:suppressAutoHyphens w:val="0"/>
        <w:spacing w:after="220"/>
        <w:ind w:left="992" w:hanging="992"/>
        <w:jc w:val="both"/>
        <w:rPr>
          <w:rFonts w:ascii="Times New Roman" w:hAnsi="Times New Roman"/>
          <w:sz w:val="22"/>
          <w:szCs w:val="22"/>
          <w:lang w:val="en-GB"/>
        </w:rPr>
      </w:pPr>
      <w:r w:rsidRPr="00630129">
        <w:rPr>
          <w:rFonts w:ascii="Times New Roman" w:hAnsi="Times New Roman"/>
          <w:sz w:val="22"/>
          <w:szCs w:val="22"/>
          <w:lang w:val="en-GB"/>
        </w:rPr>
        <w:t>2.5.1</w:t>
      </w:r>
      <w:r w:rsidRPr="00630129">
        <w:rPr>
          <w:rFonts w:ascii="Times New Roman" w:hAnsi="Times New Roman"/>
          <w:sz w:val="22"/>
          <w:szCs w:val="22"/>
          <w:lang w:val="en-GB"/>
        </w:rPr>
        <w:tab/>
        <w:t>The sign convention adopted in the Code in relation to amounts payable in respect of Trading Charges is explained in Section T1.2.3 and T1.2.4.</w:t>
      </w:r>
    </w:p>
    <w:p w14:paraId="3D837987" w14:textId="77777777" w:rsidR="002A68CF" w:rsidRPr="00630129" w:rsidRDefault="001C7564" w:rsidP="00B87569">
      <w:pPr>
        <w:pStyle w:val="Lowercasea"/>
        <w:keepNext w:val="0"/>
        <w:keepLines w:val="0"/>
        <w:tabs>
          <w:tab w:val="clear" w:pos="-720"/>
          <w:tab w:val="clear" w:pos="0"/>
        </w:tabs>
        <w:suppressAutoHyphens w:val="0"/>
        <w:spacing w:after="220"/>
        <w:ind w:left="992" w:hanging="992"/>
        <w:jc w:val="both"/>
        <w:rPr>
          <w:rFonts w:ascii="Times New Roman" w:hAnsi="Times New Roman"/>
          <w:b/>
          <w:sz w:val="22"/>
          <w:szCs w:val="22"/>
        </w:rPr>
      </w:pPr>
      <w:r w:rsidRPr="00630129">
        <w:rPr>
          <w:rFonts w:ascii="Times New Roman" w:hAnsi="Times New Roman"/>
          <w:b/>
          <w:sz w:val="22"/>
          <w:szCs w:val="22"/>
        </w:rPr>
        <w:t>2.6</w:t>
      </w:r>
      <w:r w:rsidRPr="00630129">
        <w:rPr>
          <w:rFonts w:ascii="Times New Roman" w:hAnsi="Times New Roman"/>
          <w:b/>
          <w:sz w:val="22"/>
          <w:szCs w:val="22"/>
        </w:rPr>
        <w:tab/>
        <w:t>Use of Summations</w:t>
      </w:r>
    </w:p>
    <w:p w14:paraId="77DA0994"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2.6.1</w:t>
      </w:r>
      <w:r w:rsidRPr="00630129">
        <w:rPr>
          <w:rFonts w:ascii="Times New Roman" w:hAnsi="Times New Roman"/>
          <w:sz w:val="22"/>
          <w:szCs w:val="22"/>
        </w:rPr>
        <w:tab/>
        <w:t xml:space="preserve">Variables being summated are indicated by the use of the indices placed in preceding or following superscript or subscript position on the summation sign </w:t>
      </w:r>
      <w:r w:rsidRPr="00630129">
        <w:rPr>
          <w:rFonts w:ascii="Times New Roman" w:hAnsi="Times New Roman"/>
          <w:sz w:val="22"/>
          <w:szCs w:val="22"/>
        </w:rPr>
        <w:sym w:font="Symbol" w:char="F053"/>
      </w:r>
      <w:r w:rsidRPr="00630129">
        <w:rPr>
          <w:rFonts w:ascii="Times New Roman" w:hAnsi="Times New Roman"/>
          <w:sz w:val="22"/>
          <w:szCs w:val="22"/>
        </w:rPr>
        <w:t>, for example:</w:t>
      </w:r>
    </w:p>
    <w:p w14:paraId="02AE754B"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1984" w:hanging="992"/>
        <w:jc w:val="both"/>
        <w:rPr>
          <w:rFonts w:ascii="Times New Roman" w:hAnsi="Times New Roman"/>
          <w:sz w:val="22"/>
          <w:szCs w:val="22"/>
        </w:rPr>
      </w:pPr>
      <w:r w:rsidRPr="00630129">
        <w:rPr>
          <w:rFonts w:ascii="Times New Roman" w:hAnsi="Times New Roman"/>
          <w:sz w:val="22"/>
          <w:szCs w:val="22"/>
        </w:rPr>
        <w:t>(a)</w:t>
      </w:r>
      <w:r w:rsidRPr="00630129">
        <w:rPr>
          <w:rFonts w:ascii="Times New Roman" w:hAnsi="Times New Roman"/>
          <w:sz w:val="22"/>
          <w:szCs w:val="22"/>
        </w:rPr>
        <w:tab/>
      </w:r>
      <w:r w:rsidRPr="00630129">
        <w:rPr>
          <w:rFonts w:ascii="Times New Roman" w:hAnsi="Times New Roman"/>
          <w:sz w:val="22"/>
          <w:szCs w:val="22"/>
        </w:rPr>
        <w:sym w:font="Symbol" w:char="F053"/>
      </w:r>
      <w:r w:rsidRPr="00630129">
        <w:rPr>
          <w:rFonts w:ascii="Times New Roman" w:hAnsi="Times New Roman"/>
          <w:sz w:val="22"/>
          <w:szCs w:val="22"/>
          <w:vertAlign w:val="superscript"/>
        </w:rPr>
        <w:t>c</w:t>
      </w:r>
      <w:r w:rsidRPr="00630129">
        <w:rPr>
          <w:rFonts w:ascii="Times New Roman" w:hAnsi="Times New Roman"/>
          <w:sz w:val="22"/>
          <w:szCs w:val="22"/>
        </w:rPr>
        <w:t xml:space="preserve"> </w:t>
      </w:r>
      <w:proofErr w:type="spellStart"/>
      <w:r w:rsidRPr="00630129">
        <w:rPr>
          <w:rFonts w:ascii="Times New Roman" w:hAnsi="Times New Roman"/>
          <w:sz w:val="22"/>
          <w:szCs w:val="22"/>
        </w:rPr>
        <w:t>FUNC</w:t>
      </w:r>
      <w:r w:rsidRPr="00630129">
        <w:rPr>
          <w:rFonts w:ascii="Times New Roman" w:hAnsi="Times New Roman"/>
          <w:sz w:val="22"/>
          <w:szCs w:val="22"/>
          <w:vertAlign w:val="superscript"/>
        </w:rPr>
        <w:t>c</w:t>
      </w:r>
      <w:proofErr w:type="spellEnd"/>
      <w:r w:rsidRPr="00630129">
        <w:rPr>
          <w:rFonts w:ascii="Times New Roman" w:hAnsi="Times New Roman"/>
          <w:sz w:val="22"/>
          <w:szCs w:val="22"/>
        </w:rPr>
        <w:t xml:space="preserve"> means the sum of the values of </w:t>
      </w:r>
      <w:proofErr w:type="spellStart"/>
      <w:r w:rsidRPr="00630129">
        <w:rPr>
          <w:rFonts w:ascii="Times New Roman" w:hAnsi="Times New Roman"/>
          <w:sz w:val="22"/>
          <w:szCs w:val="22"/>
        </w:rPr>
        <w:t>FUNC</w:t>
      </w:r>
      <w:r w:rsidRPr="00630129">
        <w:rPr>
          <w:rFonts w:ascii="Times New Roman" w:hAnsi="Times New Roman"/>
          <w:sz w:val="22"/>
          <w:szCs w:val="22"/>
          <w:vertAlign w:val="superscript"/>
        </w:rPr>
        <w:t>c</w:t>
      </w:r>
      <w:proofErr w:type="spellEnd"/>
      <w:r w:rsidRPr="00630129">
        <w:rPr>
          <w:rFonts w:ascii="Times New Roman" w:hAnsi="Times New Roman"/>
          <w:sz w:val="22"/>
          <w:szCs w:val="22"/>
        </w:rPr>
        <w:t xml:space="preserve"> over all values of c.</w:t>
      </w:r>
    </w:p>
    <w:p w14:paraId="79D681E7"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1984" w:hanging="992"/>
        <w:jc w:val="both"/>
        <w:rPr>
          <w:rFonts w:ascii="Times New Roman" w:hAnsi="Times New Roman"/>
          <w:sz w:val="22"/>
          <w:szCs w:val="22"/>
        </w:rPr>
      </w:pPr>
      <w:r w:rsidRPr="00630129">
        <w:rPr>
          <w:rFonts w:ascii="Times New Roman" w:hAnsi="Times New Roman"/>
          <w:sz w:val="22"/>
          <w:szCs w:val="22"/>
        </w:rPr>
        <w:t>(b)</w:t>
      </w:r>
      <w:r w:rsidRPr="00630129">
        <w:rPr>
          <w:rFonts w:ascii="Times New Roman" w:hAnsi="Times New Roman"/>
          <w:sz w:val="22"/>
          <w:szCs w:val="22"/>
        </w:rPr>
        <w:tab/>
      </w:r>
      <w:r w:rsidRPr="00630129">
        <w:rPr>
          <w:rFonts w:ascii="Times New Roman" w:hAnsi="Times New Roman"/>
          <w:sz w:val="22"/>
          <w:szCs w:val="22"/>
        </w:rPr>
        <w:sym w:font="Symbol" w:char="F053"/>
      </w:r>
      <w:r w:rsidRPr="00630129">
        <w:rPr>
          <w:rFonts w:ascii="Times New Roman" w:hAnsi="Times New Roman"/>
          <w:sz w:val="22"/>
          <w:szCs w:val="22"/>
          <w:vertAlign w:val="subscript"/>
        </w:rPr>
        <w:t>d</w:t>
      </w:r>
      <w:r w:rsidRPr="00630129">
        <w:rPr>
          <w:rFonts w:ascii="Times New Roman" w:hAnsi="Times New Roman"/>
          <w:sz w:val="22"/>
          <w:szCs w:val="22"/>
        </w:rPr>
        <w:t xml:space="preserve"> </w:t>
      </w:r>
      <w:proofErr w:type="spellStart"/>
      <w:r w:rsidRPr="00630129">
        <w:rPr>
          <w:rFonts w:ascii="Times New Roman" w:hAnsi="Times New Roman"/>
          <w:sz w:val="22"/>
          <w:szCs w:val="22"/>
        </w:rPr>
        <w:t>FUNC</w:t>
      </w:r>
      <w:r w:rsidRPr="00630129">
        <w:rPr>
          <w:rFonts w:ascii="Times New Roman" w:hAnsi="Times New Roman"/>
          <w:sz w:val="22"/>
          <w:szCs w:val="22"/>
          <w:vertAlign w:val="subscript"/>
        </w:rPr>
        <w:t>d</w:t>
      </w:r>
      <w:proofErr w:type="spellEnd"/>
      <w:r w:rsidRPr="00630129">
        <w:rPr>
          <w:rFonts w:ascii="Times New Roman" w:hAnsi="Times New Roman"/>
          <w:sz w:val="22"/>
          <w:szCs w:val="22"/>
        </w:rPr>
        <w:t xml:space="preserve"> means a sum of the values of </w:t>
      </w:r>
      <w:proofErr w:type="spellStart"/>
      <w:r w:rsidRPr="00630129">
        <w:rPr>
          <w:rFonts w:ascii="Times New Roman" w:hAnsi="Times New Roman"/>
          <w:sz w:val="22"/>
          <w:szCs w:val="22"/>
        </w:rPr>
        <w:t>FUNC</w:t>
      </w:r>
      <w:r w:rsidRPr="00630129">
        <w:rPr>
          <w:rFonts w:ascii="Times New Roman" w:hAnsi="Times New Roman"/>
          <w:sz w:val="22"/>
          <w:szCs w:val="22"/>
          <w:vertAlign w:val="subscript"/>
        </w:rPr>
        <w:t>d</w:t>
      </w:r>
      <w:proofErr w:type="spellEnd"/>
      <w:r w:rsidRPr="00630129">
        <w:rPr>
          <w:rFonts w:ascii="Times New Roman" w:hAnsi="Times New Roman"/>
          <w:sz w:val="22"/>
          <w:szCs w:val="22"/>
        </w:rPr>
        <w:t xml:space="preserve"> over all values of d.</w:t>
      </w:r>
    </w:p>
    <w:p w14:paraId="35427BF3"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1984" w:hanging="992"/>
        <w:jc w:val="both"/>
        <w:rPr>
          <w:rFonts w:ascii="Times New Roman" w:hAnsi="Times New Roman"/>
          <w:sz w:val="22"/>
          <w:szCs w:val="22"/>
        </w:rPr>
      </w:pPr>
      <w:r w:rsidRPr="00630129">
        <w:rPr>
          <w:rFonts w:ascii="Times New Roman" w:hAnsi="Times New Roman"/>
          <w:sz w:val="22"/>
          <w:szCs w:val="22"/>
        </w:rPr>
        <w:t>(c)</w:t>
      </w:r>
      <w:r w:rsidRPr="00630129">
        <w:rPr>
          <w:rFonts w:ascii="Times New Roman" w:hAnsi="Times New Roman"/>
          <w:sz w:val="22"/>
          <w:szCs w:val="22"/>
        </w:rPr>
        <w:tab/>
      </w:r>
      <w:r w:rsidRPr="00630129">
        <w:rPr>
          <w:rFonts w:ascii="Times New Roman" w:hAnsi="Times New Roman"/>
          <w:sz w:val="22"/>
          <w:szCs w:val="22"/>
        </w:rPr>
        <w:sym w:font="Symbol" w:char="F053"/>
      </w:r>
      <w:r w:rsidRPr="00630129">
        <w:rPr>
          <w:rFonts w:ascii="Times New Roman" w:hAnsi="Times New Roman"/>
          <w:sz w:val="22"/>
          <w:szCs w:val="22"/>
          <w:vertAlign w:val="superscript"/>
        </w:rPr>
        <w:t>c</w:t>
      </w:r>
      <w:r w:rsidRPr="00630129">
        <w:rPr>
          <w:rFonts w:ascii="Times New Roman" w:hAnsi="Times New Roman"/>
          <w:sz w:val="22"/>
          <w:szCs w:val="22"/>
        </w:rPr>
        <w:sym w:font="Symbol" w:char="F053"/>
      </w:r>
      <w:proofErr w:type="spellStart"/>
      <w:r w:rsidRPr="00630129">
        <w:rPr>
          <w:rFonts w:ascii="Times New Roman" w:hAnsi="Times New Roman"/>
          <w:sz w:val="22"/>
          <w:szCs w:val="22"/>
          <w:vertAlign w:val="subscript"/>
        </w:rPr>
        <w:t>d</w:t>
      </w:r>
      <w:r w:rsidRPr="00630129">
        <w:rPr>
          <w:rFonts w:ascii="Times New Roman" w:hAnsi="Times New Roman"/>
          <w:sz w:val="22"/>
          <w:szCs w:val="22"/>
        </w:rPr>
        <w:t>FUNC</w:t>
      </w:r>
      <w:r w:rsidRPr="00630129">
        <w:rPr>
          <w:rFonts w:ascii="Times New Roman" w:hAnsi="Times New Roman"/>
          <w:sz w:val="22"/>
          <w:szCs w:val="22"/>
          <w:vertAlign w:val="superscript"/>
        </w:rPr>
        <w:t>c</w:t>
      </w:r>
      <w:r w:rsidRPr="00630129">
        <w:rPr>
          <w:rFonts w:ascii="Times New Roman" w:hAnsi="Times New Roman"/>
          <w:sz w:val="22"/>
          <w:szCs w:val="22"/>
          <w:vertAlign w:val="subscript"/>
        </w:rPr>
        <w:t>d</w:t>
      </w:r>
      <w:proofErr w:type="spellEnd"/>
      <w:r w:rsidRPr="00630129">
        <w:rPr>
          <w:rFonts w:ascii="Times New Roman" w:hAnsi="Times New Roman"/>
          <w:sz w:val="22"/>
          <w:szCs w:val="22"/>
        </w:rPr>
        <w:t xml:space="preserve"> means a sum of the values of </w:t>
      </w:r>
      <w:proofErr w:type="spellStart"/>
      <w:r w:rsidRPr="00630129">
        <w:rPr>
          <w:rFonts w:ascii="Times New Roman" w:hAnsi="Times New Roman"/>
          <w:sz w:val="22"/>
          <w:szCs w:val="22"/>
        </w:rPr>
        <w:t>FUNC</w:t>
      </w:r>
      <w:r w:rsidRPr="00630129">
        <w:rPr>
          <w:rFonts w:ascii="Times New Roman" w:hAnsi="Times New Roman"/>
          <w:sz w:val="22"/>
          <w:szCs w:val="22"/>
          <w:vertAlign w:val="superscript"/>
        </w:rPr>
        <w:t>c</w:t>
      </w:r>
      <w:r w:rsidRPr="00630129">
        <w:rPr>
          <w:rFonts w:ascii="Times New Roman" w:hAnsi="Times New Roman"/>
          <w:sz w:val="22"/>
          <w:szCs w:val="22"/>
          <w:vertAlign w:val="subscript"/>
        </w:rPr>
        <w:t>d</w:t>
      </w:r>
      <w:proofErr w:type="spellEnd"/>
      <w:r w:rsidRPr="00630129">
        <w:rPr>
          <w:rFonts w:ascii="Times New Roman" w:hAnsi="Times New Roman"/>
          <w:sz w:val="22"/>
          <w:szCs w:val="22"/>
        </w:rPr>
        <w:t xml:space="preserve"> over all values of d, and c.</w:t>
      </w:r>
    </w:p>
    <w:p w14:paraId="5299DB97"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1984" w:hanging="992"/>
        <w:jc w:val="both"/>
        <w:rPr>
          <w:rFonts w:ascii="Times New Roman" w:hAnsi="Times New Roman"/>
          <w:sz w:val="22"/>
          <w:szCs w:val="22"/>
        </w:rPr>
      </w:pPr>
      <w:r w:rsidRPr="00630129">
        <w:rPr>
          <w:rFonts w:ascii="Times New Roman" w:hAnsi="Times New Roman"/>
          <w:sz w:val="22"/>
          <w:szCs w:val="22"/>
        </w:rPr>
        <w:t>(d)</w:t>
      </w:r>
      <w:r w:rsidRPr="00630129">
        <w:rPr>
          <w:rFonts w:ascii="Times New Roman" w:hAnsi="Times New Roman"/>
          <w:sz w:val="22"/>
          <w:szCs w:val="22"/>
        </w:rPr>
        <w:tab/>
      </w:r>
      <w:r w:rsidRPr="00630129">
        <w:rPr>
          <w:rFonts w:ascii="Times New Roman" w:hAnsi="Times New Roman"/>
          <w:sz w:val="22"/>
          <w:szCs w:val="22"/>
        </w:rPr>
        <w:sym w:font="Symbol" w:char="F053"/>
      </w:r>
      <w:r w:rsidRPr="00630129">
        <w:rPr>
          <w:rFonts w:ascii="Times New Roman" w:hAnsi="Times New Roman"/>
          <w:sz w:val="22"/>
          <w:szCs w:val="22"/>
          <w:vertAlign w:val="subscript"/>
        </w:rPr>
        <w:t>d</w:t>
      </w:r>
      <w:r w:rsidRPr="00630129">
        <w:rPr>
          <w:rFonts w:ascii="Times New Roman" w:hAnsi="Times New Roman"/>
          <w:sz w:val="22"/>
          <w:szCs w:val="22"/>
          <w:vertAlign w:val="subscript"/>
        </w:rPr>
        <w:sym w:font="Symbol" w:char="F0CE"/>
      </w:r>
      <w:proofErr w:type="spellStart"/>
      <w:r w:rsidRPr="00630129">
        <w:rPr>
          <w:rFonts w:ascii="Times New Roman" w:hAnsi="Times New Roman"/>
          <w:sz w:val="22"/>
          <w:szCs w:val="22"/>
          <w:vertAlign w:val="subscript"/>
        </w:rPr>
        <w:t>R</w:t>
      </w:r>
      <w:r w:rsidRPr="00630129">
        <w:rPr>
          <w:rFonts w:ascii="Times New Roman" w:hAnsi="Times New Roman"/>
          <w:sz w:val="22"/>
          <w:szCs w:val="22"/>
        </w:rPr>
        <w:t>FUNC</w:t>
      </w:r>
      <w:r w:rsidRPr="00630129">
        <w:rPr>
          <w:rFonts w:ascii="Times New Roman" w:hAnsi="Times New Roman"/>
          <w:sz w:val="22"/>
          <w:szCs w:val="22"/>
          <w:vertAlign w:val="subscript"/>
        </w:rPr>
        <w:t>d</w:t>
      </w:r>
      <w:proofErr w:type="spellEnd"/>
      <w:r w:rsidRPr="00630129">
        <w:rPr>
          <w:rFonts w:ascii="Times New Roman" w:hAnsi="Times New Roman"/>
          <w:sz w:val="22"/>
          <w:szCs w:val="22"/>
        </w:rPr>
        <w:t xml:space="preserve"> means a sum of the values of </w:t>
      </w:r>
      <w:proofErr w:type="spellStart"/>
      <w:r w:rsidRPr="00630129">
        <w:rPr>
          <w:rFonts w:ascii="Times New Roman" w:hAnsi="Times New Roman"/>
          <w:sz w:val="22"/>
          <w:szCs w:val="22"/>
        </w:rPr>
        <w:t>FUNC</w:t>
      </w:r>
      <w:r w:rsidRPr="00630129">
        <w:rPr>
          <w:rFonts w:ascii="Times New Roman" w:hAnsi="Times New Roman"/>
          <w:sz w:val="22"/>
          <w:szCs w:val="22"/>
          <w:vertAlign w:val="subscript"/>
        </w:rPr>
        <w:t>d</w:t>
      </w:r>
      <w:proofErr w:type="spellEnd"/>
      <w:r w:rsidRPr="00630129">
        <w:rPr>
          <w:rFonts w:ascii="Times New Roman" w:hAnsi="Times New Roman"/>
          <w:sz w:val="22"/>
          <w:szCs w:val="22"/>
        </w:rPr>
        <w:t xml:space="preserve"> over values of d belonging to the set R.</w:t>
      </w:r>
    </w:p>
    <w:p w14:paraId="738A002D"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2.6.2</w:t>
      </w:r>
      <w:r w:rsidRPr="00630129">
        <w:rPr>
          <w:rFonts w:ascii="Times New Roman" w:hAnsi="Times New Roman"/>
          <w:sz w:val="22"/>
          <w:szCs w:val="22"/>
        </w:rPr>
        <w:tab/>
        <w:t xml:space="preserve">In some instances, where the summation over a particular variable is restricted to a subset of the possible values of such a variable as in paragraph 2.6.1(d), instead adopting of the </w:t>
      </w:r>
      <w:r w:rsidRPr="00630129">
        <w:rPr>
          <w:rFonts w:ascii="Times New Roman" w:hAnsi="Times New Roman"/>
          <w:sz w:val="22"/>
          <w:szCs w:val="22"/>
        </w:rPr>
        <w:lastRenderedPageBreak/>
        <w:t>convention in that paragraph, an equivalent result is achieved by limiting the summation in context, for example:</w:t>
      </w:r>
    </w:p>
    <w:p w14:paraId="1035B3C3"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firstLine="0"/>
        <w:jc w:val="both"/>
        <w:rPr>
          <w:rFonts w:ascii="Times New Roman" w:hAnsi="Times New Roman"/>
          <w:sz w:val="22"/>
          <w:szCs w:val="22"/>
        </w:rPr>
      </w:pPr>
      <w:r w:rsidRPr="00630129">
        <w:rPr>
          <w:rFonts w:ascii="Times New Roman" w:hAnsi="Times New Roman"/>
          <w:sz w:val="22"/>
          <w:szCs w:val="22"/>
        </w:rPr>
        <w:t>"</w:t>
      </w:r>
      <w:r w:rsidRPr="00630129">
        <w:rPr>
          <w:rFonts w:ascii="Times New Roman" w:hAnsi="Times New Roman"/>
          <w:sz w:val="22"/>
          <w:szCs w:val="22"/>
        </w:rPr>
        <w:sym w:font="Symbol" w:char="F053"/>
      </w:r>
      <w:proofErr w:type="spellStart"/>
      <w:r w:rsidRPr="00630129">
        <w:rPr>
          <w:rFonts w:ascii="Times New Roman" w:hAnsi="Times New Roman"/>
          <w:sz w:val="22"/>
          <w:szCs w:val="22"/>
          <w:vertAlign w:val="subscript"/>
        </w:rPr>
        <w:t>d</w:t>
      </w:r>
      <w:r w:rsidRPr="00630129">
        <w:rPr>
          <w:rFonts w:ascii="Times New Roman" w:hAnsi="Times New Roman"/>
          <w:sz w:val="22"/>
          <w:szCs w:val="22"/>
        </w:rPr>
        <w:t>FUNC</w:t>
      </w:r>
      <w:r w:rsidRPr="00630129">
        <w:rPr>
          <w:rFonts w:ascii="Times New Roman" w:hAnsi="Times New Roman"/>
          <w:sz w:val="22"/>
          <w:szCs w:val="22"/>
          <w:vertAlign w:val="subscript"/>
        </w:rPr>
        <w:t>d</w:t>
      </w:r>
      <w:proofErr w:type="spellEnd"/>
      <w:r w:rsidRPr="00630129">
        <w:rPr>
          <w:rFonts w:ascii="Times New Roman" w:hAnsi="Times New Roman"/>
          <w:sz w:val="22"/>
          <w:szCs w:val="22"/>
        </w:rPr>
        <w:t>;</w:t>
      </w:r>
    </w:p>
    <w:p w14:paraId="773E0B97"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firstLine="0"/>
        <w:jc w:val="both"/>
        <w:rPr>
          <w:rFonts w:ascii="Times New Roman" w:hAnsi="Times New Roman"/>
          <w:sz w:val="22"/>
          <w:szCs w:val="22"/>
        </w:rPr>
      </w:pPr>
      <w:r w:rsidRPr="00630129">
        <w:rPr>
          <w:rFonts w:ascii="Times New Roman" w:hAnsi="Times New Roman"/>
          <w:sz w:val="22"/>
          <w:szCs w:val="22"/>
        </w:rPr>
        <w:t xml:space="preserve">Where </w:t>
      </w:r>
      <w:r w:rsidRPr="00630129">
        <w:rPr>
          <w:rFonts w:ascii="Times New Roman" w:hAnsi="Times New Roman"/>
          <w:sz w:val="22"/>
          <w:szCs w:val="22"/>
        </w:rPr>
        <w:sym w:font="Symbol" w:char="F053"/>
      </w:r>
      <w:r w:rsidRPr="00630129">
        <w:rPr>
          <w:rFonts w:ascii="Times New Roman" w:hAnsi="Times New Roman"/>
          <w:sz w:val="22"/>
          <w:szCs w:val="22"/>
          <w:vertAlign w:val="subscript"/>
        </w:rPr>
        <w:t>d</w:t>
      </w:r>
      <w:r w:rsidRPr="00630129">
        <w:rPr>
          <w:rFonts w:ascii="Times New Roman" w:hAnsi="Times New Roman"/>
          <w:sz w:val="22"/>
          <w:szCs w:val="22"/>
        </w:rPr>
        <w:t xml:space="preserve"> represents a sum over all values of d belonging to the set R."</w:t>
      </w:r>
    </w:p>
    <w:p w14:paraId="224F9233"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firstLine="0"/>
        <w:jc w:val="both"/>
        <w:rPr>
          <w:rFonts w:ascii="Times New Roman" w:hAnsi="Times New Roman"/>
          <w:sz w:val="22"/>
          <w:szCs w:val="22"/>
        </w:rPr>
      </w:pPr>
      <w:r w:rsidRPr="00630129">
        <w:rPr>
          <w:rFonts w:ascii="Times New Roman" w:hAnsi="Times New Roman"/>
          <w:sz w:val="22"/>
          <w:szCs w:val="22"/>
        </w:rPr>
        <w:t xml:space="preserve">This is equivalent to </w:t>
      </w:r>
      <w:r w:rsidRPr="00630129">
        <w:rPr>
          <w:rFonts w:ascii="Times New Roman" w:hAnsi="Times New Roman"/>
          <w:sz w:val="22"/>
          <w:szCs w:val="22"/>
        </w:rPr>
        <w:sym w:font="Symbol" w:char="F053"/>
      </w:r>
      <w:r w:rsidRPr="00630129">
        <w:rPr>
          <w:rFonts w:ascii="Times New Roman" w:hAnsi="Times New Roman"/>
          <w:sz w:val="22"/>
          <w:szCs w:val="22"/>
          <w:vertAlign w:val="subscript"/>
        </w:rPr>
        <w:t>d</w:t>
      </w:r>
      <w:r w:rsidRPr="00630129">
        <w:rPr>
          <w:rFonts w:ascii="Times New Roman" w:hAnsi="Times New Roman"/>
          <w:sz w:val="22"/>
          <w:szCs w:val="22"/>
          <w:vertAlign w:val="subscript"/>
        </w:rPr>
        <w:sym w:font="Symbol" w:char="F0CE"/>
      </w:r>
      <w:proofErr w:type="spellStart"/>
      <w:r w:rsidRPr="00630129">
        <w:rPr>
          <w:rFonts w:ascii="Times New Roman" w:hAnsi="Times New Roman"/>
          <w:sz w:val="22"/>
          <w:szCs w:val="22"/>
          <w:vertAlign w:val="subscript"/>
        </w:rPr>
        <w:t>R</w:t>
      </w:r>
      <w:r w:rsidRPr="00630129">
        <w:rPr>
          <w:rFonts w:ascii="Times New Roman" w:hAnsi="Times New Roman"/>
          <w:sz w:val="22"/>
          <w:szCs w:val="22"/>
        </w:rPr>
        <w:t>FUNC</w:t>
      </w:r>
      <w:r w:rsidRPr="00630129">
        <w:rPr>
          <w:rFonts w:ascii="Times New Roman" w:hAnsi="Times New Roman"/>
          <w:sz w:val="22"/>
          <w:szCs w:val="22"/>
          <w:vertAlign w:val="subscript"/>
        </w:rPr>
        <w:t>d</w:t>
      </w:r>
      <w:proofErr w:type="spellEnd"/>
      <w:r w:rsidRPr="00630129">
        <w:rPr>
          <w:rFonts w:ascii="Times New Roman" w:hAnsi="Times New Roman"/>
          <w:sz w:val="22"/>
          <w:szCs w:val="22"/>
          <w:vertAlign w:val="subscript"/>
        </w:rPr>
        <w:t>.</w:t>
      </w:r>
    </w:p>
    <w:p w14:paraId="61A86932"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2.6.3</w:t>
      </w:r>
      <w:r w:rsidRPr="00630129">
        <w:rPr>
          <w:rFonts w:ascii="Times New Roman" w:hAnsi="Times New Roman"/>
          <w:sz w:val="22"/>
          <w:szCs w:val="22"/>
        </w:rPr>
        <w:tab/>
        <w:t>In some instances, for convenience certain summations deviate from the above conventions and are further defined in context, for example:</w:t>
      </w:r>
    </w:p>
    <w:p w14:paraId="14D8859F"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firstLine="0"/>
        <w:jc w:val="both"/>
        <w:rPr>
          <w:rFonts w:ascii="Times New Roman" w:hAnsi="Times New Roman"/>
          <w:sz w:val="22"/>
          <w:szCs w:val="22"/>
        </w:rPr>
      </w:pPr>
      <w:r w:rsidRPr="00630129">
        <w:rPr>
          <w:rFonts w:ascii="Times New Roman" w:hAnsi="Times New Roman"/>
          <w:sz w:val="22"/>
          <w:szCs w:val="22"/>
        </w:rPr>
        <w:t>"</w:t>
      </w:r>
      <w:r w:rsidRPr="00630129">
        <w:rPr>
          <w:rFonts w:ascii="Times New Roman" w:hAnsi="Times New Roman"/>
          <w:sz w:val="22"/>
          <w:szCs w:val="22"/>
        </w:rPr>
        <w:sym w:font="Symbol" w:char="F053"/>
      </w:r>
      <w:proofErr w:type="spellStart"/>
      <w:r w:rsidRPr="00630129">
        <w:rPr>
          <w:rFonts w:ascii="Times New Roman" w:hAnsi="Times New Roman"/>
          <w:sz w:val="22"/>
          <w:szCs w:val="22"/>
          <w:vertAlign w:val="subscript"/>
        </w:rPr>
        <w:t>d</w:t>
      </w:r>
      <w:r w:rsidRPr="00630129">
        <w:rPr>
          <w:rFonts w:ascii="Times New Roman" w:hAnsi="Times New Roman"/>
          <w:sz w:val="22"/>
          <w:szCs w:val="22"/>
        </w:rPr>
        <w:t>FUNC</w:t>
      </w:r>
      <w:r w:rsidRPr="00630129">
        <w:rPr>
          <w:rFonts w:ascii="Times New Roman" w:hAnsi="Times New Roman"/>
          <w:sz w:val="22"/>
          <w:szCs w:val="22"/>
          <w:vertAlign w:val="subscript"/>
        </w:rPr>
        <w:t>d</w:t>
      </w:r>
      <w:proofErr w:type="spellEnd"/>
      <w:r w:rsidRPr="00630129">
        <w:rPr>
          <w:rFonts w:ascii="Times New Roman" w:hAnsi="Times New Roman"/>
          <w:sz w:val="22"/>
          <w:szCs w:val="22"/>
          <w:vertAlign w:val="subscript"/>
        </w:rPr>
        <w:t>;</w:t>
      </w:r>
    </w:p>
    <w:p w14:paraId="518AF229"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firstLine="0"/>
        <w:jc w:val="both"/>
        <w:rPr>
          <w:rFonts w:ascii="Times New Roman" w:hAnsi="Times New Roman"/>
          <w:sz w:val="22"/>
          <w:szCs w:val="22"/>
        </w:rPr>
      </w:pPr>
      <w:r w:rsidRPr="00630129">
        <w:rPr>
          <w:rFonts w:ascii="Times New Roman" w:hAnsi="Times New Roman"/>
          <w:sz w:val="22"/>
          <w:szCs w:val="22"/>
        </w:rPr>
        <w:t xml:space="preserve">Where </w:t>
      </w:r>
      <w:r w:rsidRPr="00630129">
        <w:rPr>
          <w:rFonts w:ascii="Times New Roman" w:hAnsi="Times New Roman"/>
          <w:sz w:val="22"/>
          <w:szCs w:val="22"/>
        </w:rPr>
        <w:sym w:font="Symbol" w:char="F053"/>
      </w:r>
      <w:r w:rsidRPr="00630129">
        <w:rPr>
          <w:rFonts w:ascii="Times New Roman" w:hAnsi="Times New Roman"/>
          <w:sz w:val="22"/>
          <w:szCs w:val="22"/>
          <w:vertAlign w:val="subscript"/>
        </w:rPr>
        <w:t>d</w:t>
      </w:r>
      <w:r w:rsidRPr="00630129">
        <w:rPr>
          <w:rFonts w:ascii="Times New Roman" w:hAnsi="Times New Roman"/>
          <w:sz w:val="22"/>
          <w:szCs w:val="22"/>
        </w:rPr>
        <w:t xml:space="preserve"> represents a sum over all values of d belonging to the set R."</w:t>
      </w:r>
    </w:p>
    <w:p w14:paraId="5A790115"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firstLine="0"/>
        <w:jc w:val="both"/>
        <w:rPr>
          <w:rFonts w:ascii="Times New Roman" w:hAnsi="Times New Roman"/>
          <w:sz w:val="22"/>
          <w:szCs w:val="22"/>
          <w:vertAlign w:val="subscript"/>
        </w:rPr>
      </w:pPr>
      <w:r w:rsidRPr="00630129">
        <w:rPr>
          <w:rFonts w:ascii="Times New Roman" w:hAnsi="Times New Roman"/>
          <w:sz w:val="22"/>
          <w:szCs w:val="22"/>
        </w:rPr>
        <w:t xml:space="preserve">Again, this is equivalent to </w:t>
      </w:r>
      <w:r w:rsidRPr="00630129">
        <w:rPr>
          <w:rFonts w:ascii="Times New Roman" w:hAnsi="Times New Roman"/>
          <w:sz w:val="22"/>
          <w:szCs w:val="22"/>
        </w:rPr>
        <w:sym w:font="Symbol" w:char="F053"/>
      </w:r>
      <w:r w:rsidRPr="00630129">
        <w:rPr>
          <w:rFonts w:ascii="Times New Roman" w:hAnsi="Times New Roman"/>
          <w:sz w:val="22"/>
          <w:szCs w:val="22"/>
          <w:vertAlign w:val="subscript"/>
        </w:rPr>
        <w:t>d</w:t>
      </w:r>
      <w:r w:rsidRPr="00630129">
        <w:rPr>
          <w:rFonts w:ascii="Times New Roman" w:hAnsi="Times New Roman"/>
          <w:sz w:val="22"/>
          <w:szCs w:val="22"/>
          <w:vertAlign w:val="subscript"/>
        </w:rPr>
        <w:sym w:font="Symbol" w:char="F0CE"/>
      </w:r>
      <w:proofErr w:type="spellStart"/>
      <w:r w:rsidRPr="00630129">
        <w:rPr>
          <w:rFonts w:ascii="Times New Roman" w:hAnsi="Times New Roman"/>
          <w:sz w:val="22"/>
          <w:szCs w:val="22"/>
          <w:vertAlign w:val="subscript"/>
        </w:rPr>
        <w:t>R</w:t>
      </w:r>
      <w:r w:rsidRPr="00630129">
        <w:rPr>
          <w:rFonts w:ascii="Times New Roman" w:hAnsi="Times New Roman"/>
          <w:sz w:val="22"/>
          <w:szCs w:val="22"/>
        </w:rPr>
        <w:t>FUNC</w:t>
      </w:r>
      <w:r w:rsidRPr="00630129">
        <w:rPr>
          <w:rFonts w:ascii="Times New Roman" w:hAnsi="Times New Roman"/>
          <w:sz w:val="22"/>
          <w:szCs w:val="22"/>
          <w:vertAlign w:val="subscript"/>
        </w:rPr>
        <w:t>d</w:t>
      </w:r>
      <w:proofErr w:type="spellEnd"/>
      <w:r w:rsidRPr="00630129">
        <w:rPr>
          <w:rFonts w:ascii="Times New Roman" w:hAnsi="Times New Roman"/>
          <w:sz w:val="22"/>
          <w:szCs w:val="22"/>
          <w:vertAlign w:val="subscript"/>
        </w:rPr>
        <w:t>.</w:t>
      </w:r>
    </w:p>
    <w:p w14:paraId="6F2B7BEF" w14:textId="77777777" w:rsidR="002A68CF" w:rsidRPr="00630129" w:rsidRDefault="002A68CF">
      <w:pPr>
        <w:pStyle w:val="Lowercasea"/>
        <w:keepNext w:val="0"/>
        <w:keepLines w:val="0"/>
        <w:tabs>
          <w:tab w:val="clear" w:pos="-720"/>
          <w:tab w:val="clear" w:pos="0"/>
        </w:tabs>
        <w:suppressAutoHyphens w:val="0"/>
        <w:spacing w:after="220"/>
        <w:ind w:left="0" w:firstLine="0"/>
        <w:jc w:val="both"/>
        <w:rPr>
          <w:rFonts w:ascii="Times New Roman" w:hAnsi="Times New Roman"/>
          <w:sz w:val="22"/>
          <w:szCs w:val="22"/>
          <w:lang w:val="en-GB"/>
        </w:rPr>
      </w:pPr>
    </w:p>
    <w:p w14:paraId="723E82F2" w14:textId="77777777" w:rsidR="002A68CF" w:rsidRPr="00630129" w:rsidRDefault="001C7564">
      <w:pPr>
        <w:pStyle w:val="RightPar2"/>
        <w:tabs>
          <w:tab w:val="clear" w:pos="-720"/>
          <w:tab w:val="clear" w:pos="0"/>
          <w:tab w:val="clear" w:pos="720"/>
          <w:tab w:val="clear" w:pos="1440"/>
        </w:tabs>
        <w:suppressAutoHyphens w:val="0"/>
        <w:spacing w:after="220"/>
        <w:ind w:left="992" w:hanging="992"/>
        <w:jc w:val="both"/>
        <w:rPr>
          <w:rFonts w:ascii="Times New Roman" w:hAnsi="Times New Roman"/>
          <w:b/>
          <w:sz w:val="22"/>
          <w:szCs w:val="22"/>
          <w:lang w:val="en-GB"/>
        </w:rPr>
      </w:pPr>
      <w:r w:rsidRPr="00630129">
        <w:rPr>
          <w:rFonts w:ascii="Times New Roman" w:hAnsi="Times New Roman"/>
          <w:b/>
          <w:sz w:val="22"/>
          <w:szCs w:val="22"/>
          <w:lang w:val="en-GB"/>
        </w:rPr>
        <w:t>3.</w:t>
      </w:r>
      <w:r w:rsidRPr="00630129">
        <w:rPr>
          <w:rFonts w:ascii="Times New Roman" w:hAnsi="Times New Roman"/>
          <w:b/>
          <w:sz w:val="22"/>
          <w:szCs w:val="22"/>
          <w:lang w:val="en-GB"/>
        </w:rPr>
        <w:tab/>
      </w:r>
      <w:r w:rsidRPr="00630129">
        <w:rPr>
          <w:rFonts w:ascii="Times New Roman" w:hAnsi="Times New Roman"/>
          <w:b/>
          <w:sz w:val="22"/>
          <w:szCs w:val="22"/>
        </w:rPr>
        <w:t>TECHNICAL TERMS AND INTERPRETATION APPLYING IN RELATION TO SECTION S</w:t>
      </w:r>
    </w:p>
    <w:p w14:paraId="63327952" w14:textId="77777777" w:rsidR="002A68CF" w:rsidRPr="00630129" w:rsidRDefault="001C7564">
      <w:pPr>
        <w:pStyle w:val="EndnoteText"/>
        <w:spacing w:after="220"/>
        <w:ind w:left="992" w:hanging="992"/>
        <w:jc w:val="both"/>
        <w:rPr>
          <w:b/>
          <w:sz w:val="22"/>
          <w:szCs w:val="22"/>
        </w:rPr>
      </w:pPr>
      <w:r w:rsidRPr="00630129">
        <w:rPr>
          <w:b/>
          <w:sz w:val="22"/>
          <w:szCs w:val="22"/>
        </w:rPr>
        <w:t>3.1</w:t>
      </w:r>
      <w:r w:rsidRPr="00630129">
        <w:rPr>
          <w:b/>
          <w:sz w:val="22"/>
          <w:szCs w:val="22"/>
        </w:rPr>
        <w:tab/>
        <w:t>Introduction</w:t>
      </w:r>
    </w:p>
    <w:p w14:paraId="22651EED" w14:textId="77777777" w:rsidR="002A68CF" w:rsidRPr="00630129" w:rsidRDefault="001C7564">
      <w:pPr>
        <w:spacing w:after="220"/>
        <w:ind w:left="992" w:hanging="992"/>
        <w:jc w:val="both"/>
        <w:rPr>
          <w:sz w:val="22"/>
          <w:szCs w:val="22"/>
        </w:rPr>
      </w:pPr>
      <w:r w:rsidRPr="00630129">
        <w:rPr>
          <w:sz w:val="22"/>
          <w:szCs w:val="22"/>
        </w:rPr>
        <w:t>3.1.1</w:t>
      </w:r>
      <w:r w:rsidRPr="00630129">
        <w:rPr>
          <w:sz w:val="22"/>
          <w:szCs w:val="22"/>
        </w:rPr>
        <w:tab/>
        <w:t>Unless the context otherwise requires the provisions of this paragraph 3 as to the use, interpretation or definition of terms, expressions, acronyms, and subscripts and summations shall apply only in relation to Section S.</w:t>
      </w:r>
    </w:p>
    <w:p w14:paraId="1C601F4D" w14:textId="77777777" w:rsidR="002A68CF" w:rsidRPr="00630129" w:rsidRDefault="001C7564">
      <w:pPr>
        <w:spacing w:after="220"/>
        <w:ind w:left="992" w:hanging="992"/>
        <w:jc w:val="both"/>
        <w:rPr>
          <w:b/>
          <w:sz w:val="22"/>
          <w:szCs w:val="22"/>
        </w:rPr>
      </w:pPr>
      <w:r w:rsidRPr="00630129">
        <w:rPr>
          <w:b/>
          <w:sz w:val="22"/>
          <w:szCs w:val="22"/>
        </w:rPr>
        <w:t>3.2</w:t>
      </w:r>
      <w:r w:rsidRPr="00630129">
        <w:rPr>
          <w:b/>
          <w:sz w:val="22"/>
          <w:szCs w:val="22"/>
        </w:rPr>
        <w:tab/>
        <w:t>Use of Subscripts and Other Expressions</w:t>
      </w:r>
    </w:p>
    <w:p w14:paraId="2E9D7F1A" w14:textId="77777777" w:rsidR="002A68CF" w:rsidRPr="00630129" w:rsidRDefault="001C7564">
      <w:pPr>
        <w:spacing w:after="220"/>
        <w:ind w:left="992" w:hanging="992"/>
        <w:jc w:val="both"/>
        <w:rPr>
          <w:sz w:val="22"/>
          <w:szCs w:val="22"/>
        </w:rPr>
      </w:pPr>
      <w:r w:rsidRPr="00630129">
        <w:rPr>
          <w:sz w:val="22"/>
          <w:szCs w:val="22"/>
        </w:rPr>
        <w:t>3.2.1</w:t>
      </w:r>
      <w:r w:rsidRPr="00630129">
        <w:rPr>
          <w:sz w:val="22"/>
          <w:szCs w:val="22"/>
        </w:rPr>
        <w:tab/>
        <w:t>The subscripts and superscripts employed in the formulae and other algebraic expressions contained in the Code shall bear the respective meanings set out in Table X-4.</w:t>
      </w:r>
    </w:p>
    <w:p w14:paraId="6B21CFC6" w14:textId="77777777" w:rsidR="002A68CF" w:rsidRPr="00630129" w:rsidRDefault="001C7564">
      <w:pPr>
        <w:spacing w:after="220"/>
        <w:ind w:left="992" w:hanging="992"/>
        <w:jc w:val="both"/>
        <w:rPr>
          <w:b/>
          <w:sz w:val="22"/>
          <w:szCs w:val="22"/>
        </w:rPr>
      </w:pPr>
      <w:r w:rsidRPr="00630129">
        <w:rPr>
          <w:b/>
          <w:sz w:val="22"/>
          <w:szCs w:val="22"/>
        </w:rPr>
        <w:t>3.3</w:t>
      </w:r>
      <w:r w:rsidRPr="00630129">
        <w:rPr>
          <w:b/>
          <w:sz w:val="22"/>
          <w:szCs w:val="22"/>
        </w:rPr>
        <w:tab/>
        <w:t>Use of Summations</w:t>
      </w:r>
    </w:p>
    <w:p w14:paraId="0B2CDC23"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trike/>
          <w:sz w:val="22"/>
          <w:szCs w:val="22"/>
        </w:rPr>
      </w:pPr>
      <w:r w:rsidRPr="00630129">
        <w:rPr>
          <w:rFonts w:ascii="Times New Roman" w:hAnsi="Times New Roman"/>
          <w:sz w:val="22"/>
          <w:szCs w:val="22"/>
        </w:rPr>
        <w:t>3.3.1</w:t>
      </w:r>
      <w:r w:rsidRPr="00630129">
        <w:rPr>
          <w:rFonts w:ascii="Times New Roman" w:hAnsi="Times New Roman"/>
          <w:sz w:val="22"/>
          <w:szCs w:val="22"/>
        </w:rPr>
        <w:tab/>
        <w:t>The summations employed in the formulae and other algebraic expressions contained in the Code shall bear the respective meanings set out in Table X-5.</w:t>
      </w:r>
    </w:p>
    <w:p w14:paraId="5305F245" w14:textId="77777777" w:rsidR="002A68CF" w:rsidRPr="00630129" w:rsidRDefault="001C7564" w:rsidP="00E85292">
      <w:pPr>
        <w:spacing w:after="220"/>
        <w:ind w:left="992" w:hanging="992"/>
        <w:jc w:val="both"/>
        <w:rPr>
          <w:b/>
          <w:sz w:val="22"/>
          <w:szCs w:val="22"/>
        </w:rPr>
      </w:pPr>
      <w:r w:rsidRPr="00630129">
        <w:rPr>
          <w:b/>
          <w:sz w:val="22"/>
          <w:szCs w:val="22"/>
        </w:rPr>
        <w:t>3.4</w:t>
      </w:r>
      <w:r w:rsidRPr="00630129">
        <w:rPr>
          <w:b/>
          <w:sz w:val="22"/>
          <w:szCs w:val="22"/>
        </w:rPr>
        <w:tab/>
        <w:t>Glossary of Terms</w:t>
      </w:r>
    </w:p>
    <w:p w14:paraId="262C2CD1" w14:textId="77777777" w:rsidR="002A68CF" w:rsidRPr="00630129" w:rsidRDefault="001C7564">
      <w:pPr>
        <w:pStyle w:val="Lowercasea"/>
        <w:keepNext w:val="0"/>
        <w:keepLines w:val="0"/>
        <w:tabs>
          <w:tab w:val="clear" w:pos="-720"/>
          <w:tab w:val="clear" w:pos="0"/>
        </w:tabs>
        <w:suppressAutoHyphens w:val="0"/>
        <w:spacing w:after="220"/>
        <w:ind w:left="992" w:hanging="992"/>
        <w:jc w:val="both"/>
        <w:rPr>
          <w:rFonts w:ascii="Times New Roman" w:hAnsi="Times New Roman"/>
          <w:sz w:val="22"/>
          <w:szCs w:val="22"/>
          <w:lang w:val="en-GB"/>
        </w:rPr>
      </w:pPr>
      <w:r w:rsidRPr="00630129">
        <w:rPr>
          <w:rFonts w:ascii="Times New Roman" w:hAnsi="Times New Roman"/>
          <w:sz w:val="22"/>
          <w:szCs w:val="22"/>
          <w:lang w:val="en-GB"/>
        </w:rPr>
        <w:t>3.4.1</w:t>
      </w:r>
      <w:r w:rsidRPr="00630129">
        <w:rPr>
          <w:rFonts w:ascii="Times New Roman" w:hAnsi="Times New Roman"/>
          <w:sz w:val="22"/>
          <w:szCs w:val="22"/>
          <w:lang w:val="en-GB"/>
        </w:rPr>
        <w:tab/>
        <w:t>Unless the context otherwise requires, in the Code the words, expressions and acronyms set out in Table X-6 shall bear the respective meanings therein set out.</w:t>
      </w:r>
    </w:p>
    <w:p w14:paraId="07C0090C" w14:textId="77777777" w:rsidR="002A68CF" w:rsidRPr="00630129" w:rsidRDefault="001C7564">
      <w:pPr>
        <w:pStyle w:val="Lowercasea"/>
        <w:keepNext w:val="0"/>
        <w:keepLines w:val="0"/>
        <w:tabs>
          <w:tab w:val="clear" w:pos="-720"/>
          <w:tab w:val="clear" w:pos="0"/>
        </w:tabs>
        <w:suppressAutoHyphens w:val="0"/>
        <w:spacing w:after="220"/>
        <w:ind w:left="992" w:hanging="992"/>
        <w:jc w:val="both"/>
        <w:rPr>
          <w:rFonts w:ascii="Times New Roman" w:hAnsi="Times New Roman"/>
          <w:sz w:val="22"/>
          <w:szCs w:val="22"/>
          <w:lang w:val="en-GB"/>
        </w:rPr>
      </w:pPr>
      <w:r w:rsidRPr="00630129">
        <w:rPr>
          <w:rFonts w:ascii="Times New Roman" w:hAnsi="Times New Roman"/>
          <w:sz w:val="22"/>
          <w:szCs w:val="22"/>
          <w:lang w:val="en-GB"/>
        </w:rPr>
        <w:t>3.4.2</w:t>
      </w:r>
      <w:r w:rsidRPr="00630129">
        <w:rPr>
          <w:rFonts w:ascii="Times New Roman" w:hAnsi="Times New Roman"/>
          <w:sz w:val="22"/>
          <w:szCs w:val="22"/>
          <w:lang w:val="en-GB"/>
        </w:rPr>
        <w:tab/>
        <w:t>Table X-7 sets out for convenience the acronyms employed in the formulae and other algebraic expressions contained in the Code in alphabetical order of acronym name.</w:t>
      </w:r>
    </w:p>
    <w:p w14:paraId="6D27D0E5" w14:textId="77777777" w:rsidR="002A68CF" w:rsidRPr="00630129" w:rsidRDefault="001C7564">
      <w:pPr>
        <w:pStyle w:val="Lowercasea"/>
        <w:keepNext w:val="0"/>
        <w:keepLines w:val="0"/>
        <w:tabs>
          <w:tab w:val="clear" w:pos="-720"/>
          <w:tab w:val="clear" w:pos="0"/>
        </w:tabs>
        <w:suppressAutoHyphens w:val="0"/>
        <w:spacing w:after="220"/>
        <w:ind w:left="992" w:hanging="992"/>
        <w:jc w:val="both"/>
        <w:rPr>
          <w:rFonts w:ascii="Times New Roman" w:hAnsi="Times New Roman"/>
          <w:b/>
          <w:sz w:val="22"/>
          <w:szCs w:val="22"/>
          <w:lang w:val="en-GB"/>
        </w:rPr>
      </w:pPr>
      <w:r w:rsidRPr="00630129">
        <w:rPr>
          <w:rFonts w:ascii="Times New Roman" w:hAnsi="Times New Roman"/>
          <w:b/>
          <w:sz w:val="22"/>
          <w:szCs w:val="22"/>
          <w:lang w:val="en-GB"/>
        </w:rPr>
        <w:t>3.5</w:t>
      </w:r>
      <w:r w:rsidRPr="00630129">
        <w:rPr>
          <w:rFonts w:ascii="Times New Roman" w:hAnsi="Times New Roman"/>
          <w:b/>
          <w:sz w:val="22"/>
          <w:szCs w:val="22"/>
          <w:lang w:val="en-GB"/>
        </w:rPr>
        <w:tab/>
        <w:t>Consumption Component Classes</w:t>
      </w:r>
    </w:p>
    <w:p w14:paraId="2B85E298" w14:textId="77777777" w:rsidR="002A68CF" w:rsidRPr="00630129" w:rsidRDefault="001C7564">
      <w:pPr>
        <w:pStyle w:val="Lowercasea"/>
        <w:keepNext w:val="0"/>
        <w:keepLines w:val="0"/>
        <w:tabs>
          <w:tab w:val="clear" w:pos="-720"/>
          <w:tab w:val="clear" w:pos="0"/>
        </w:tabs>
        <w:suppressAutoHyphens w:val="0"/>
        <w:spacing w:after="220"/>
        <w:ind w:left="992" w:hanging="992"/>
        <w:jc w:val="both"/>
        <w:rPr>
          <w:rFonts w:ascii="Times New Roman" w:hAnsi="Times New Roman"/>
          <w:sz w:val="22"/>
          <w:szCs w:val="22"/>
          <w:lang w:val="en-GB"/>
        </w:rPr>
      </w:pPr>
      <w:r w:rsidRPr="00630129">
        <w:rPr>
          <w:rFonts w:ascii="Times New Roman" w:hAnsi="Times New Roman"/>
          <w:sz w:val="22"/>
          <w:szCs w:val="22"/>
          <w:lang w:val="en-GB"/>
        </w:rPr>
        <w:t>3.5.1</w:t>
      </w:r>
      <w:r w:rsidRPr="00630129">
        <w:rPr>
          <w:rFonts w:ascii="Times New Roman" w:hAnsi="Times New Roman"/>
          <w:sz w:val="22"/>
          <w:szCs w:val="22"/>
          <w:lang w:val="en-GB"/>
        </w:rPr>
        <w:tab/>
        <w:t>Table X-8 sets out the valid Consumption Component Classes as at the Code Effective Date.</w:t>
      </w:r>
    </w:p>
    <w:p w14:paraId="4A52AF5E" w14:textId="77777777" w:rsidR="002A68CF" w:rsidRPr="00630129" w:rsidRDefault="001C7564">
      <w:pPr>
        <w:pStyle w:val="Lowercasea"/>
        <w:keepNext w:val="0"/>
        <w:keepLines w:val="0"/>
        <w:tabs>
          <w:tab w:val="clear" w:pos="-720"/>
          <w:tab w:val="clear" w:pos="0"/>
        </w:tabs>
        <w:suppressAutoHyphens w:val="0"/>
        <w:spacing w:after="220"/>
        <w:ind w:left="992" w:hanging="992"/>
        <w:jc w:val="both"/>
        <w:rPr>
          <w:rFonts w:ascii="Times New Roman" w:hAnsi="Times New Roman"/>
          <w:sz w:val="22"/>
          <w:szCs w:val="22"/>
          <w:lang w:val="en-GB"/>
        </w:rPr>
      </w:pPr>
      <w:r w:rsidRPr="00630129">
        <w:rPr>
          <w:rFonts w:ascii="Times New Roman" w:hAnsi="Times New Roman"/>
          <w:sz w:val="22"/>
          <w:szCs w:val="22"/>
          <w:lang w:val="en-GB"/>
        </w:rPr>
        <w:t>3.5.2</w:t>
      </w:r>
      <w:r w:rsidRPr="00630129">
        <w:rPr>
          <w:rFonts w:ascii="Times New Roman" w:hAnsi="Times New Roman"/>
          <w:sz w:val="22"/>
          <w:szCs w:val="22"/>
          <w:lang w:val="en-GB"/>
        </w:rPr>
        <w:tab/>
        <w:t>The Panel may from time to time amend the list of valid Consumption Component Classes.</w:t>
      </w:r>
    </w:p>
    <w:p w14:paraId="611E944B" w14:textId="77777777" w:rsidR="002A68CF" w:rsidRPr="00630129" w:rsidRDefault="001C7564" w:rsidP="00AC5E97">
      <w:pPr>
        <w:spacing w:after="220"/>
        <w:ind w:left="992" w:hanging="992"/>
        <w:jc w:val="both"/>
        <w:rPr>
          <w:b/>
          <w:sz w:val="22"/>
          <w:szCs w:val="22"/>
        </w:rPr>
      </w:pPr>
      <w:r w:rsidRPr="00630129">
        <w:rPr>
          <w:b/>
          <w:sz w:val="22"/>
          <w:szCs w:val="22"/>
        </w:rPr>
        <w:t>3.6</w:t>
      </w:r>
      <w:r w:rsidRPr="00630129">
        <w:rPr>
          <w:b/>
          <w:sz w:val="22"/>
          <w:szCs w:val="22"/>
        </w:rPr>
        <w:tab/>
        <w:t>Linear Interpolation of Variables</w:t>
      </w:r>
    </w:p>
    <w:p w14:paraId="6D2BF7B5" w14:textId="77777777" w:rsidR="002A68CF" w:rsidRPr="00630129" w:rsidRDefault="001C7564">
      <w:pPr>
        <w:spacing w:after="220"/>
        <w:ind w:left="992" w:hanging="992"/>
        <w:jc w:val="both"/>
        <w:rPr>
          <w:sz w:val="22"/>
          <w:szCs w:val="22"/>
        </w:rPr>
      </w:pPr>
      <w:r w:rsidRPr="00630129">
        <w:rPr>
          <w:sz w:val="22"/>
          <w:szCs w:val="22"/>
        </w:rPr>
        <w:t>3.6.1</w:t>
      </w:r>
      <w:r w:rsidRPr="00630129">
        <w:rPr>
          <w:sz w:val="22"/>
          <w:szCs w:val="22"/>
        </w:rPr>
        <w:tab/>
        <w:t>In Section S of the Code, unless the context otherwise requires, whenever linear interpolation is referred to, the procedures set out in paragraphs 3.6.2 to 3.6.4 shall be followed.</w:t>
      </w:r>
    </w:p>
    <w:p w14:paraId="4ACABB43" w14:textId="77777777" w:rsidR="002A68CF" w:rsidRPr="00630129" w:rsidRDefault="001C7564">
      <w:pPr>
        <w:spacing w:after="220"/>
        <w:ind w:left="992" w:hanging="992"/>
        <w:jc w:val="both"/>
        <w:rPr>
          <w:sz w:val="22"/>
          <w:szCs w:val="22"/>
        </w:rPr>
      </w:pPr>
      <w:r w:rsidRPr="00630129">
        <w:rPr>
          <w:sz w:val="22"/>
          <w:szCs w:val="22"/>
        </w:rPr>
        <w:lastRenderedPageBreak/>
        <w:t>3.6.2</w:t>
      </w:r>
      <w:r w:rsidRPr="00630129">
        <w:rPr>
          <w:sz w:val="22"/>
          <w:szCs w:val="22"/>
        </w:rPr>
        <w:tab/>
        <w:t>Where the relationship between two variables, x and y, is defined only for a set of related pairs of spot values, (x</w:t>
      </w:r>
      <w:r w:rsidRPr="00630129">
        <w:rPr>
          <w:sz w:val="22"/>
          <w:szCs w:val="22"/>
          <w:vertAlign w:val="subscript"/>
        </w:rPr>
        <w:t>1</w:t>
      </w:r>
      <w:r w:rsidRPr="00630129">
        <w:rPr>
          <w:sz w:val="22"/>
          <w:szCs w:val="22"/>
        </w:rPr>
        <w:t>, y</w:t>
      </w:r>
      <w:r w:rsidRPr="00630129">
        <w:rPr>
          <w:sz w:val="22"/>
          <w:szCs w:val="22"/>
          <w:vertAlign w:val="subscript"/>
        </w:rPr>
        <w:t>1</w:t>
      </w:r>
      <w:r w:rsidRPr="00630129">
        <w:rPr>
          <w:sz w:val="22"/>
          <w:szCs w:val="22"/>
        </w:rPr>
        <w:t>), (x</w:t>
      </w:r>
      <w:r w:rsidRPr="00630129">
        <w:rPr>
          <w:sz w:val="22"/>
          <w:szCs w:val="22"/>
          <w:vertAlign w:val="subscript"/>
        </w:rPr>
        <w:t>2</w:t>
      </w:r>
      <w:r w:rsidRPr="00630129">
        <w:rPr>
          <w:sz w:val="22"/>
          <w:szCs w:val="22"/>
        </w:rPr>
        <w:t>, y</w:t>
      </w:r>
      <w:r w:rsidRPr="00630129">
        <w:rPr>
          <w:sz w:val="22"/>
          <w:szCs w:val="22"/>
          <w:vertAlign w:val="subscript"/>
        </w:rPr>
        <w:t>2</w:t>
      </w:r>
      <w:r w:rsidRPr="00630129">
        <w:rPr>
          <w:sz w:val="22"/>
          <w:szCs w:val="22"/>
        </w:rPr>
        <w:t>) ... (</w:t>
      </w:r>
      <w:proofErr w:type="spellStart"/>
      <w:r w:rsidRPr="00630129">
        <w:rPr>
          <w:sz w:val="22"/>
          <w:szCs w:val="22"/>
        </w:rPr>
        <w:t>x</w:t>
      </w:r>
      <w:r w:rsidRPr="00630129">
        <w:rPr>
          <w:sz w:val="22"/>
          <w:szCs w:val="22"/>
          <w:vertAlign w:val="subscript"/>
        </w:rPr>
        <w:t>n</w:t>
      </w:r>
      <w:proofErr w:type="spellEnd"/>
      <w:r w:rsidRPr="00630129">
        <w:rPr>
          <w:sz w:val="22"/>
          <w:szCs w:val="22"/>
        </w:rPr>
        <w:t xml:space="preserve">, </w:t>
      </w:r>
      <w:proofErr w:type="spellStart"/>
      <w:r w:rsidRPr="00630129">
        <w:rPr>
          <w:sz w:val="22"/>
          <w:szCs w:val="22"/>
        </w:rPr>
        <w:t>y</w:t>
      </w:r>
      <w:r w:rsidRPr="00630129">
        <w:rPr>
          <w:sz w:val="22"/>
          <w:szCs w:val="22"/>
          <w:vertAlign w:val="subscript"/>
        </w:rPr>
        <w:t>n</w:t>
      </w:r>
      <w:proofErr w:type="spellEnd"/>
      <w:r w:rsidRPr="00630129">
        <w:rPr>
          <w:sz w:val="22"/>
          <w:szCs w:val="22"/>
        </w:rPr>
        <w:t xml:space="preserve">), and where a value for y, </w:t>
      </w:r>
      <w:proofErr w:type="spellStart"/>
      <w:r w:rsidRPr="00630129">
        <w:rPr>
          <w:sz w:val="22"/>
          <w:szCs w:val="22"/>
        </w:rPr>
        <w:t>y</w:t>
      </w:r>
      <w:r w:rsidRPr="00630129">
        <w:rPr>
          <w:sz w:val="22"/>
          <w:szCs w:val="22"/>
          <w:vertAlign w:val="subscript"/>
        </w:rPr>
        <w:t>i</w:t>
      </w:r>
      <w:proofErr w:type="spellEnd"/>
      <w:r w:rsidRPr="00630129">
        <w:rPr>
          <w:sz w:val="22"/>
          <w:szCs w:val="22"/>
        </w:rPr>
        <w:t>, is to be calculated by linear interpolation for a value of x, x</w:t>
      </w:r>
      <w:r w:rsidRPr="00630129">
        <w:rPr>
          <w:sz w:val="22"/>
          <w:szCs w:val="22"/>
          <w:vertAlign w:val="subscript"/>
        </w:rPr>
        <w:t>i</w:t>
      </w:r>
      <w:r w:rsidRPr="00630129">
        <w:rPr>
          <w:sz w:val="22"/>
          <w:szCs w:val="22"/>
        </w:rPr>
        <w:t>, which is not a spot value contained in the set of related pairs, but which lies within the range of x spanned by the set of related pairs, the following formula shall be applied:</w:t>
      </w:r>
    </w:p>
    <w:p w14:paraId="5E7ED161" w14:textId="77777777" w:rsidR="002A68CF" w:rsidRPr="00630129" w:rsidRDefault="001C7564">
      <w:pPr>
        <w:spacing w:after="220"/>
        <w:ind w:left="992"/>
        <w:jc w:val="both"/>
        <w:rPr>
          <w:sz w:val="22"/>
          <w:szCs w:val="22"/>
        </w:rPr>
      </w:pPr>
      <w:proofErr w:type="spellStart"/>
      <w:r w:rsidRPr="00630129">
        <w:rPr>
          <w:sz w:val="22"/>
          <w:szCs w:val="22"/>
        </w:rPr>
        <w:t>y</w:t>
      </w:r>
      <w:r w:rsidRPr="00630129">
        <w:rPr>
          <w:sz w:val="22"/>
          <w:szCs w:val="22"/>
          <w:vertAlign w:val="subscript"/>
        </w:rPr>
        <w:t>i</w:t>
      </w:r>
      <w:proofErr w:type="spellEnd"/>
      <w:r w:rsidRPr="00630129">
        <w:rPr>
          <w:sz w:val="22"/>
          <w:szCs w:val="22"/>
        </w:rPr>
        <w:t xml:space="preserve"> = y</w:t>
      </w:r>
      <w:r w:rsidRPr="00630129">
        <w:rPr>
          <w:sz w:val="22"/>
          <w:szCs w:val="22"/>
          <w:vertAlign w:val="subscript"/>
        </w:rPr>
        <w:t>0</w:t>
      </w:r>
      <w:r w:rsidRPr="00630129">
        <w:rPr>
          <w:sz w:val="22"/>
          <w:szCs w:val="22"/>
        </w:rPr>
        <w:t xml:space="preserve"> + ((y</w:t>
      </w:r>
      <w:r w:rsidRPr="00630129">
        <w:rPr>
          <w:sz w:val="22"/>
          <w:szCs w:val="22"/>
          <w:vertAlign w:val="subscript"/>
        </w:rPr>
        <w:t>1</w:t>
      </w:r>
      <w:r w:rsidRPr="00630129">
        <w:rPr>
          <w:sz w:val="22"/>
          <w:szCs w:val="22"/>
        </w:rPr>
        <w:t xml:space="preserve"> - y</w:t>
      </w:r>
      <w:r w:rsidRPr="00630129">
        <w:rPr>
          <w:sz w:val="22"/>
          <w:szCs w:val="22"/>
          <w:vertAlign w:val="subscript"/>
        </w:rPr>
        <w:t>0</w:t>
      </w:r>
      <w:r w:rsidRPr="00630129">
        <w:rPr>
          <w:sz w:val="22"/>
          <w:szCs w:val="22"/>
        </w:rPr>
        <w:t>) * (x</w:t>
      </w:r>
      <w:r w:rsidRPr="00630129">
        <w:rPr>
          <w:sz w:val="22"/>
          <w:szCs w:val="22"/>
          <w:vertAlign w:val="subscript"/>
        </w:rPr>
        <w:t>i</w:t>
      </w:r>
      <w:r w:rsidRPr="00630129">
        <w:rPr>
          <w:sz w:val="22"/>
          <w:szCs w:val="22"/>
        </w:rPr>
        <w:t xml:space="preserve"> - x</w:t>
      </w:r>
      <w:r w:rsidRPr="00630129">
        <w:rPr>
          <w:sz w:val="22"/>
          <w:szCs w:val="22"/>
          <w:vertAlign w:val="subscript"/>
        </w:rPr>
        <w:t>0</w:t>
      </w:r>
      <w:r w:rsidRPr="00630129">
        <w:rPr>
          <w:sz w:val="22"/>
          <w:szCs w:val="22"/>
        </w:rPr>
        <w:t>)/(x</w:t>
      </w:r>
      <w:r w:rsidRPr="00630129">
        <w:rPr>
          <w:sz w:val="22"/>
          <w:szCs w:val="22"/>
          <w:vertAlign w:val="subscript"/>
        </w:rPr>
        <w:t>1</w:t>
      </w:r>
      <w:r w:rsidRPr="00630129">
        <w:rPr>
          <w:sz w:val="22"/>
          <w:szCs w:val="22"/>
        </w:rPr>
        <w:t xml:space="preserve"> - x</w:t>
      </w:r>
      <w:r w:rsidRPr="00630129">
        <w:rPr>
          <w:sz w:val="22"/>
          <w:szCs w:val="22"/>
          <w:vertAlign w:val="subscript"/>
        </w:rPr>
        <w:t>0</w:t>
      </w:r>
      <w:r w:rsidRPr="00630129">
        <w:rPr>
          <w:sz w:val="22"/>
          <w:szCs w:val="22"/>
        </w:rPr>
        <w:t>))</w:t>
      </w:r>
    </w:p>
    <w:p w14:paraId="4233607D" w14:textId="77777777" w:rsidR="002A68CF" w:rsidRPr="00630129" w:rsidRDefault="001C7564">
      <w:pPr>
        <w:spacing w:after="220"/>
        <w:ind w:left="1984" w:hanging="992"/>
        <w:jc w:val="both"/>
        <w:rPr>
          <w:sz w:val="22"/>
          <w:szCs w:val="22"/>
        </w:rPr>
      </w:pPr>
      <w:r w:rsidRPr="00630129">
        <w:rPr>
          <w:sz w:val="22"/>
          <w:szCs w:val="22"/>
        </w:rPr>
        <w:t>where</w:t>
      </w:r>
      <w:r w:rsidRPr="00630129">
        <w:rPr>
          <w:sz w:val="22"/>
          <w:szCs w:val="22"/>
        </w:rPr>
        <w:tab/>
        <w:t>x</w:t>
      </w:r>
      <w:r w:rsidRPr="00630129">
        <w:rPr>
          <w:sz w:val="22"/>
          <w:szCs w:val="22"/>
          <w:vertAlign w:val="subscript"/>
        </w:rPr>
        <w:t>0</w:t>
      </w:r>
      <w:r w:rsidRPr="00630129">
        <w:rPr>
          <w:sz w:val="22"/>
          <w:szCs w:val="22"/>
        </w:rPr>
        <w:t xml:space="preserve"> refers to the value of x in that related pair in the set of related pairs in which x is less than x</w:t>
      </w:r>
      <w:r w:rsidRPr="00630129">
        <w:rPr>
          <w:sz w:val="22"/>
          <w:szCs w:val="22"/>
          <w:vertAlign w:val="subscript"/>
        </w:rPr>
        <w:t>i</w:t>
      </w:r>
      <w:r w:rsidRPr="00630129">
        <w:rPr>
          <w:sz w:val="22"/>
          <w:szCs w:val="22"/>
        </w:rPr>
        <w:t>, and where the x of the related pair is the closest x to x</w:t>
      </w:r>
      <w:r w:rsidRPr="00630129">
        <w:rPr>
          <w:sz w:val="22"/>
          <w:szCs w:val="22"/>
          <w:vertAlign w:val="subscript"/>
        </w:rPr>
        <w:t>i</w:t>
      </w:r>
      <w:r w:rsidRPr="00630129">
        <w:rPr>
          <w:sz w:val="22"/>
          <w:szCs w:val="22"/>
        </w:rPr>
        <w:t xml:space="preserve">; </w:t>
      </w:r>
    </w:p>
    <w:p w14:paraId="4809649D" w14:textId="77777777" w:rsidR="002A68CF" w:rsidRPr="00630129" w:rsidRDefault="001C7564">
      <w:pPr>
        <w:spacing w:after="220"/>
        <w:ind w:left="1985"/>
        <w:jc w:val="both"/>
        <w:rPr>
          <w:sz w:val="22"/>
          <w:szCs w:val="22"/>
        </w:rPr>
      </w:pPr>
      <w:r w:rsidRPr="00630129">
        <w:rPr>
          <w:sz w:val="22"/>
          <w:szCs w:val="22"/>
        </w:rPr>
        <w:t>x</w:t>
      </w:r>
      <w:r w:rsidRPr="00630129">
        <w:rPr>
          <w:sz w:val="22"/>
          <w:szCs w:val="22"/>
          <w:vertAlign w:val="subscript"/>
        </w:rPr>
        <w:t>1</w:t>
      </w:r>
      <w:r w:rsidRPr="00630129">
        <w:rPr>
          <w:sz w:val="22"/>
          <w:szCs w:val="22"/>
        </w:rPr>
        <w:t xml:space="preserve"> refers to the value of x in that related pair in the set of related pairs in which x is greater than x</w:t>
      </w:r>
      <w:r w:rsidRPr="00630129">
        <w:rPr>
          <w:sz w:val="22"/>
          <w:szCs w:val="22"/>
          <w:vertAlign w:val="subscript"/>
        </w:rPr>
        <w:t>i</w:t>
      </w:r>
      <w:r w:rsidRPr="00630129">
        <w:rPr>
          <w:sz w:val="22"/>
          <w:szCs w:val="22"/>
        </w:rPr>
        <w:t>, and where the x of the related pair is the closest x to x</w:t>
      </w:r>
      <w:r w:rsidRPr="00630129">
        <w:rPr>
          <w:sz w:val="22"/>
          <w:szCs w:val="22"/>
          <w:vertAlign w:val="subscript"/>
        </w:rPr>
        <w:t>i</w:t>
      </w:r>
      <w:r w:rsidR="00D60C79" w:rsidRPr="00630129">
        <w:rPr>
          <w:sz w:val="22"/>
          <w:szCs w:val="22"/>
        </w:rPr>
        <w:t>;</w:t>
      </w:r>
    </w:p>
    <w:p w14:paraId="2B65C6A2" w14:textId="77777777" w:rsidR="002A68CF" w:rsidRPr="00630129" w:rsidRDefault="001C7564">
      <w:pPr>
        <w:spacing w:after="220"/>
        <w:ind w:left="1985"/>
        <w:jc w:val="both"/>
        <w:rPr>
          <w:sz w:val="22"/>
          <w:szCs w:val="22"/>
        </w:rPr>
      </w:pPr>
      <w:r w:rsidRPr="00630129">
        <w:rPr>
          <w:sz w:val="22"/>
          <w:szCs w:val="22"/>
        </w:rPr>
        <w:t>y</w:t>
      </w:r>
      <w:r w:rsidRPr="00630129">
        <w:rPr>
          <w:sz w:val="22"/>
          <w:szCs w:val="22"/>
          <w:vertAlign w:val="subscript"/>
        </w:rPr>
        <w:t>0</w:t>
      </w:r>
      <w:r w:rsidRPr="00630129">
        <w:rPr>
          <w:sz w:val="22"/>
          <w:szCs w:val="22"/>
        </w:rPr>
        <w:t xml:space="preserve"> refers to the value of y related to x</w:t>
      </w:r>
      <w:r w:rsidRPr="00630129">
        <w:rPr>
          <w:sz w:val="22"/>
          <w:szCs w:val="22"/>
          <w:vertAlign w:val="subscript"/>
        </w:rPr>
        <w:t>0</w:t>
      </w:r>
      <w:r w:rsidRPr="00630129">
        <w:rPr>
          <w:sz w:val="22"/>
          <w:szCs w:val="22"/>
        </w:rPr>
        <w:t>; and</w:t>
      </w:r>
    </w:p>
    <w:p w14:paraId="7A820865" w14:textId="77777777" w:rsidR="002A68CF" w:rsidRPr="00630129" w:rsidRDefault="001C7564">
      <w:pPr>
        <w:spacing w:after="220"/>
        <w:ind w:left="1985"/>
        <w:jc w:val="both"/>
        <w:rPr>
          <w:sz w:val="22"/>
          <w:szCs w:val="22"/>
        </w:rPr>
      </w:pPr>
      <w:r w:rsidRPr="00630129">
        <w:rPr>
          <w:sz w:val="22"/>
          <w:szCs w:val="22"/>
        </w:rPr>
        <w:t>y</w:t>
      </w:r>
      <w:r w:rsidRPr="00630129">
        <w:rPr>
          <w:sz w:val="22"/>
          <w:szCs w:val="22"/>
          <w:vertAlign w:val="subscript"/>
        </w:rPr>
        <w:t>1</w:t>
      </w:r>
      <w:r w:rsidRPr="00630129">
        <w:rPr>
          <w:sz w:val="22"/>
          <w:szCs w:val="22"/>
        </w:rPr>
        <w:t xml:space="preserve"> refers to the value of y related to x</w:t>
      </w:r>
      <w:r w:rsidRPr="00630129">
        <w:rPr>
          <w:sz w:val="22"/>
          <w:szCs w:val="22"/>
          <w:vertAlign w:val="subscript"/>
        </w:rPr>
        <w:t>1</w:t>
      </w:r>
      <w:r w:rsidRPr="00630129">
        <w:rPr>
          <w:sz w:val="22"/>
          <w:szCs w:val="22"/>
        </w:rPr>
        <w:t>.</w:t>
      </w:r>
    </w:p>
    <w:p w14:paraId="6988F8D5" w14:textId="77777777" w:rsidR="002A68CF" w:rsidRPr="00630129" w:rsidRDefault="001C7564">
      <w:pPr>
        <w:spacing w:after="220"/>
        <w:ind w:left="992" w:hanging="992"/>
        <w:jc w:val="both"/>
        <w:rPr>
          <w:sz w:val="22"/>
          <w:szCs w:val="22"/>
        </w:rPr>
      </w:pPr>
      <w:r w:rsidRPr="00630129">
        <w:rPr>
          <w:sz w:val="22"/>
          <w:szCs w:val="22"/>
        </w:rPr>
        <w:t>3.6.3</w:t>
      </w:r>
      <w:r w:rsidRPr="00630129">
        <w:rPr>
          <w:sz w:val="22"/>
          <w:szCs w:val="22"/>
        </w:rPr>
        <w:tab/>
        <w:t>Where x</w:t>
      </w:r>
      <w:r w:rsidRPr="00630129">
        <w:rPr>
          <w:sz w:val="22"/>
          <w:szCs w:val="22"/>
          <w:vertAlign w:val="subscript"/>
        </w:rPr>
        <w:t>i</w:t>
      </w:r>
      <w:r w:rsidRPr="00630129">
        <w:rPr>
          <w:sz w:val="22"/>
          <w:szCs w:val="22"/>
        </w:rPr>
        <w:t xml:space="preserve"> lies outside the range of x spanned by the set of related pairs, </w:t>
      </w:r>
      <w:proofErr w:type="spellStart"/>
      <w:r w:rsidRPr="00630129">
        <w:rPr>
          <w:sz w:val="22"/>
          <w:szCs w:val="22"/>
        </w:rPr>
        <w:t>y</w:t>
      </w:r>
      <w:r w:rsidRPr="00630129">
        <w:rPr>
          <w:sz w:val="22"/>
          <w:szCs w:val="22"/>
          <w:vertAlign w:val="subscript"/>
        </w:rPr>
        <w:t>i</w:t>
      </w:r>
      <w:proofErr w:type="spellEnd"/>
      <w:r w:rsidRPr="00630129">
        <w:rPr>
          <w:sz w:val="22"/>
          <w:szCs w:val="22"/>
        </w:rPr>
        <w:t xml:space="preserve"> shall be set equal to the value of y in that related pair in which the value of x is closest to x</w:t>
      </w:r>
      <w:r w:rsidRPr="00630129">
        <w:rPr>
          <w:sz w:val="22"/>
          <w:szCs w:val="22"/>
          <w:vertAlign w:val="subscript"/>
        </w:rPr>
        <w:t>i</w:t>
      </w:r>
      <w:r w:rsidRPr="00630129">
        <w:rPr>
          <w:sz w:val="22"/>
          <w:szCs w:val="22"/>
        </w:rPr>
        <w:t>.</w:t>
      </w:r>
    </w:p>
    <w:p w14:paraId="46BF042E" w14:textId="77777777" w:rsidR="002A68CF" w:rsidRPr="00630129" w:rsidRDefault="001C7564">
      <w:pPr>
        <w:spacing w:after="220"/>
        <w:ind w:left="992" w:hanging="992"/>
        <w:jc w:val="both"/>
        <w:rPr>
          <w:sz w:val="22"/>
          <w:szCs w:val="22"/>
        </w:rPr>
      </w:pPr>
      <w:r w:rsidRPr="00630129">
        <w:rPr>
          <w:sz w:val="22"/>
          <w:szCs w:val="22"/>
        </w:rPr>
        <w:t>3.6.4</w:t>
      </w:r>
      <w:r w:rsidRPr="00630129">
        <w:rPr>
          <w:sz w:val="22"/>
          <w:szCs w:val="22"/>
        </w:rPr>
        <w:tab/>
        <w:t>Where x</w:t>
      </w:r>
      <w:r w:rsidRPr="00630129">
        <w:rPr>
          <w:sz w:val="22"/>
          <w:szCs w:val="22"/>
          <w:vertAlign w:val="subscript"/>
        </w:rPr>
        <w:t>i</w:t>
      </w:r>
      <w:r w:rsidRPr="00630129">
        <w:rPr>
          <w:sz w:val="22"/>
          <w:szCs w:val="22"/>
        </w:rPr>
        <w:t xml:space="preserve"> is a value of x referred to in a related pair, </w:t>
      </w:r>
      <w:proofErr w:type="spellStart"/>
      <w:r w:rsidRPr="00630129">
        <w:rPr>
          <w:sz w:val="22"/>
          <w:szCs w:val="22"/>
        </w:rPr>
        <w:t>y</w:t>
      </w:r>
      <w:r w:rsidRPr="00630129">
        <w:rPr>
          <w:sz w:val="22"/>
          <w:szCs w:val="22"/>
          <w:vertAlign w:val="subscript"/>
        </w:rPr>
        <w:t>i</w:t>
      </w:r>
      <w:proofErr w:type="spellEnd"/>
      <w:r w:rsidRPr="00630129">
        <w:rPr>
          <w:sz w:val="22"/>
          <w:szCs w:val="22"/>
        </w:rPr>
        <w:t xml:space="preserve"> shall be set equal to the value of y contained in that related pair.</w:t>
      </w:r>
    </w:p>
    <w:p w14:paraId="29103BC5" w14:textId="77777777" w:rsidR="002A68CF" w:rsidRPr="00630129" w:rsidRDefault="001C7564">
      <w:pPr>
        <w:pStyle w:val="ExecutiveSummary"/>
        <w:numPr>
          <w:ilvl w:val="0"/>
          <w:numId w:val="0"/>
        </w:numPr>
        <w:spacing w:after="220" w:line="240" w:lineRule="auto"/>
        <w:ind w:left="992" w:hanging="992"/>
        <w:jc w:val="both"/>
        <w:rPr>
          <w:rFonts w:ascii="Times New Roman" w:hAnsi="Times New Roman"/>
          <w:b/>
          <w:kern w:val="0"/>
          <w:szCs w:val="22"/>
        </w:rPr>
      </w:pPr>
      <w:r w:rsidRPr="00630129">
        <w:rPr>
          <w:rFonts w:ascii="Times New Roman" w:hAnsi="Times New Roman"/>
          <w:b/>
          <w:kern w:val="0"/>
          <w:szCs w:val="22"/>
        </w:rPr>
        <w:t>3.7</w:t>
      </w:r>
      <w:r w:rsidRPr="00630129">
        <w:rPr>
          <w:rFonts w:ascii="Times New Roman" w:hAnsi="Times New Roman"/>
          <w:b/>
          <w:kern w:val="0"/>
          <w:szCs w:val="22"/>
        </w:rPr>
        <w:tab/>
        <w:t>Sign Convention</w:t>
      </w:r>
    </w:p>
    <w:p w14:paraId="6ED1ACFC" w14:textId="77777777" w:rsidR="002A68CF" w:rsidRPr="00630129" w:rsidRDefault="001C7564">
      <w:pPr>
        <w:numPr>
          <w:ilvl w:val="2"/>
          <w:numId w:val="8"/>
        </w:numPr>
        <w:tabs>
          <w:tab w:val="clear" w:pos="720"/>
        </w:tabs>
        <w:spacing w:after="220"/>
        <w:ind w:left="992" w:hanging="992"/>
        <w:jc w:val="both"/>
        <w:rPr>
          <w:sz w:val="22"/>
          <w:szCs w:val="22"/>
        </w:rPr>
      </w:pPr>
      <w:r w:rsidRPr="00630129">
        <w:rPr>
          <w:sz w:val="22"/>
          <w:szCs w:val="22"/>
        </w:rPr>
        <w:t>With the exception of BM Unit Allocated Demand Volume, for the purposes of collecting and aggregating metered data as part of Supplier Volume Allocation pursuant to Section S, metered data, whether in respect of an Import (or aggregation of Imports) or an Export (or aggregation of Exports), will be held as the magnitude of the quantity which such metered data represents.</w:t>
      </w:r>
    </w:p>
    <w:p w14:paraId="7CE63721" w14:textId="77777777" w:rsidR="002A68CF" w:rsidRPr="00630129" w:rsidRDefault="001C7564">
      <w:pPr>
        <w:spacing w:after="220"/>
        <w:ind w:left="992" w:hanging="992"/>
        <w:jc w:val="both"/>
        <w:rPr>
          <w:sz w:val="22"/>
          <w:szCs w:val="22"/>
        </w:rPr>
      </w:pPr>
      <w:r w:rsidRPr="00630129">
        <w:rPr>
          <w:sz w:val="22"/>
          <w:szCs w:val="22"/>
        </w:rPr>
        <w:t>3.7.2</w:t>
      </w:r>
      <w:r w:rsidRPr="00630129">
        <w:rPr>
          <w:sz w:val="22"/>
          <w:szCs w:val="22"/>
        </w:rPr>
        <w:tab/>
        <w:t xml:space="preserve">BM Unit Allocated Demand Volume shall be positive in any Settlement Period for which it represents Active Energy </w:t>
      </w:r>
      <w:proofErr w:type="spellStart"/>
      <w:r w:rsidRPr="00630129">
        <w:rPr>
          <w:sz w:val="22"/>
          <w:szCs w:val="22"/>
        </w:rPr>
        <w:t>offtaken</w:t>
      </w:r>
      <w:proofErr w:type="spellEnd"/>
      <w:r w:rsidRPr="00630129">
        <w:rPr>
          <w:sz w:val="22"/>
          <w:szCs w:val="22"/>
        </w:rPr>
        <w:t xml:space="preserve"> from the Total System and negative in any Settlement Period for which it represents Active Energy delivered to the Total System.</w:t>
      </w:r>
    </w:p>
    <w:p w14:paraId="26DDE94C" w14:textId="77777777" w:rsidR="00A62A1A" w:rsidRPr="00630129" w:rsidRDefault="00A62A1A" w:rsidP="00A62A1A">
      <w:pPr>
        <w:spacing w:after="220"/>
        <w:jc w:val="both"/>
        <w:rPr>
          <w:sz w:val="22"/>
          <w:szCs w:val="22"/>
        </w:rPr>
      </w:pPr>
    </w:p>
    <w:p w14:paraId="2A4BC946" w14:textId="77777777" w:rsidR="002A68CF" w:rsidRPr="00630129" w:rsidRDefault="001C7564">
      <w:pPr>
        <w:spacing w:after="220"/>
        <w:ind w:left="992" w:hanging="992"/>
        <w:jc w:val="both"/>
        <w:rPr>
          <w:b/>
          <w:sz w:val="22"/>
          <w:szCs w:val="22"/>
        </w:rPr>
      </w:pPr>
      <w:r w:rsidRPr="00630129">
        <w:rPr>
          <w:b/>
          <w:sz w:val="22"/>
          <w:szCs w:val="22"/>
        </w:rPr>
        <w:t>4</w:t>
      </w:r>
      <w:r w:rsidRPr="00630129">
        <w:rPr>
          <w:b/>
          <w:sz w:val="22"/>
          <w:szCs w:val="22"/>
        </w:rPr>
        <w:tab/>
        <w:t>TIMING CONVENTIONS</w:t>
      </w:r>
    </w:p>
    <w:p w14:paraId="387552E7"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b/>
          <w:sz w:val="22"/>
          <w:szCs w:val="22"/>
        </w:rPr>
      </w:pPr>
      <w:r w:rsidRPr="00630129">
        <w:rPr>
          <w:rFonts w:ascii="Times New Roman" w:hAnsi="Times New Roman"/>
          <w:b/>
          <w:sz w:val="22"/>
          <w:szCs w:val="22"/>
        </w:rPr>
        <w:t>4.1</w:t>
      </w:r>
      <w:r w:rsidRPr="00630129">
        <w:rPr>
          <w:rFonts w:ascii="Times New Roman" w:hAnsi="Times New Roman"/>
          <w:b/>
          <w:sz w:val="22"/>
          <w:szCs w:val="22"/>
        </w:rPr>
        <w:tab/>
        <w:t>Introduction</w:t>
      </w:r>
    </w:p>
    <w:p w14:paraId="07FA44E8"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bookmarkStart w:id="4" w:name="_Ref457127564"/>
      <w:r w:rsidRPr="00630129">
        <w:rPr>
          <w:rFonts w:ascii="Times New Roman" w:hAnsi="Times New Roman"/>
          <w:sz w:val="22"/>
          <w:szCs w:val="22"/>
        </w:rPr>
        <w:t>4.1.1</w:t>
      </w:r>
      <w:r w:rsidRPr="00630129">
        <w:rPr>
          <w:rFonts w:ascii="Times New Roman" w:hAnsi="Times New Roman"/>
          <w:sz w:val="22"/>
          <w:szCs w:val="22"/>
        </w:rPr>
        <w:tab/>
        <w:t>A number of variables within the Code are expressed as differing functions of time. This paragraph 4 defines the nomenclature used</w:t>
      </w:r>
      <w:bookmarkEnd w:id="4"/>
      <w:r w:rsidRPr="00630129">
        <w:rPr>
          <w:rFonts w:ascii="Times New Roman" w:hAnsi="Times New Roman"/>
          <w:sz w:val="22"/>
          <w:szCs w:val="22"/>
        </w:rPr>
        <w:t xml:space="preserve"> in such expressions.</w:t>
      </w:r>
    </w:p>
    <w:p w14:paraId="27323BB8"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4.1.2</w:t>
      </w:r>
      <w:r w:rsidRPr="00630129">
        <w:rPr>
          <w:rFonts w:ascii="Times New Roman" w:hAnsi="Times New Roman"/>
          <w:sz w:val="22"/>
          <w:szCs w:val="22"/>
        </w:rPr>
        <w:tab/>
        <w:t>Paragraphs 4.1 to 4.3 apply in relation to the Code including Section S but paragraphs 4.4 to 4.6 do not apply in relation to Section S.</w:t>
      </w:r>
    </w:p>
    <w:p w14:paraId="4D29C79A"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b/>
          <w:sz w:val="22"/>
          <w:szCs w:val="22"/>
        </w:rPr>
      </w:pPr>
      <w:r w:rsidRPr="00630129">
        <w:rPr>
          <w:rFonts w:ascii="Times New Roman" w:hAnsi="Times New Roman"/>
          <w:b/>
          <w:sz w:val="22"/>
          <w:szCs w:val="22"/>
        </w:rPr>
        <w:t>4.2</w:t>
      </w:r>
      <w:r w:rsidRPr="00630129">
        <w:rPr>
          <w:rFonts w:ascii="Times New Roman" w:hAnsi="Times New Roman"/>
          <w:b/>
          <w:sz w:val="22"/>
          <w:szCs w:val="22"/>
        </w:rPr>
        <w:tab/>
        <w:t>Spot Time</w:t>
      </w:r>
    </w:p>
    <w:p w14:paraId="56DB3CE8"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4.2.1</w:t>
      </w:r>
      <w:r w:rsidRPr="00630129">
        <w:rPr>
          <w:rFonts w:ascii="Times New Roman" w:hAnsi="Times New Roman"/>
          <w:sz w:val="22"/>
          <w:szCs w:val="22"/>
        </w:rPr>
        <w:tab/>
        <w:t>Many input variables and calculated values are given for spot times within the Code.</w:t>
      </w:r>
    </w:p>
    <w:p w14:paraId="33BC6194"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4.2.2</w:t>
      </w:r>
      <w:r w:rsidRPr="00630129">
        <w:rPr>
          <w:rFonts w:ascii="Times New Roman" w:hAnsi="Times New Roman"/>
          <w:sz w:val="22"/>
          <w:szCs w:val="22"/>
        </w:rPr>
        <w:tab/>
        <w:t>Spot times are an instant in time, and have no duration.</w:t>
      </w:r>
    </w:p>
    <w:p w14:paraId="5CF847AD" w14:textId="77777777" w:rsidR="002A68CF" w:rsidRPr="00630129" w:rsidRDefault="001C7564" w:rsidP="00B841C4">
      <w:pPr>
        <w:pStyle w:val="BodyTextIndent3"/>
        <w:keepNext/>
        <w:tabs>
          <w:tab w:val="clear" w:pos="-720"/>
          <w:tab w:val="clear" w:pos="0"/>
          <w:tab w:val="clear" w:pos="720"/>
          <w:tab w:val="clear" w:pos="1440"/>
          <w:tab w:val="clear" w:pos="2160"/>
          <w:tab w:val="clear" w:pos="2977"/>
        </w:tabs>
        <w:suppressAutoHyphens w:val="0"/>
        <w:ind w:left="992" w:hanging="992"/>
        <w:jc w:val="both"/>
        <w:rPr>
          <w:rFonts w:ascii="Times New Roman" w:hAnsi="Times New Roman"/>
          <w:b/>
          <w:sz w:val="22"/>
          <w:szCs w:val="22"/>
        </w:rPr>
      </w:pPr>
      <w:r w:rsidRPr="00630129">
        <w:rPr>
          <w:rFonts w:ascii="Times New Roman" w:hAnsi="Times New Roman"/>
          <w:b/>
          <w:sz w:val="22"/>
          <w:szCs w:val="22"/>
        </w:rPr>
        <w:lastRenderedPageBreak/>
        <w:t>4.3</w:t>
      </w:r>
      <w:r w:rsidRPr="00630129">
        <w:rPr>
          <w:rFonts w:ascii="Times New Roman" w:hAnsi="Times New Roman"/>
          <w:b/>
          <w:sz w:val="22"/>
          <w:szCs w:val="22"/>
        </w:rPr>
        <w:tab/>
        <w:t>Settlement Period Times</w:t>
      </w:r>
    </w:p>
    <w:p w14:paraId="3BE29AAE"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4.3.1</w:t>
      </w:r>
      <w:r w:rsidRPr="00630129">
        <w:rPr>
          <w:rFonts w:ascii="Times New Roman" w:hAnsi="Times New Roman"/>
          <w:sz w:val="22"/>
          <w:szCs w:val="22"/>
        </w:rPr>
        <w:tab/>
        <w:t>Settlement Period j starts at the spot time occurring at the beginning of the half hour and ends at the spot time occur</w:t>
      </w:r>
      <w:r w:rsidR="0032597C">
        <w:rPr>
          <w:rFonts w:ascii="Times New Roman" w:hAnsi="Times New Roman"/>
          <w:sz w:val="22"/>
          <w:szCs w:val="22"/>
        </w:rPr>
        <w:t xml:space="preserve">ring exactly 30 minutes later. </w:t>
      </w:r>
      <w:r w:rsidRPr="00630129">
        <w:rPr>
          <w:rFonts w:ascii="Times New Roman" w:hAnsi="Times New Roman"/>
          <w:sz w:val="22"/>
          <w:szCs w:val="22"/>
        </w:rPr>
        <w:t>The spot time at the beginning of one period therefore coincides with the spot time at the end of the pre</w:t>
      </w:r>
      <w:r w:rsidR="00D60C79" w:rsidRPr="00630129">
        <w:rPr>
          <w:rFonts w:ascii="Times New Roman" w:hAnsi="Times New Roman"/>
          <w:sz w:val="22"/>
          <w:szCs w:val="22"/>
        </w:rPr>
        <w:t>vious period.</w:t>
      </w:r>
    </w:p>
    <w:p w14:paraId="7F54CF16"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4.3.2</w:t>
      </w:r>
      <w:r w:rsidRPr="00630129">
        <w:rPr>
          <w:rFonts w:ascii="Times New Roman" w:hAnsi="Times New Roman"/>
          <w:sz w:val="22"/>
          <w:szCs w:val="22"/>
        </w:rPr>
        <w:tab/>
        <w:t xml:space="preserve">For the avoidance of doubt the first Settlement Period of a Settlement Day begins at the spot time </w:t>
      </w:r>
      <w:smartTag w:uri="urn:schemas-microsoft-com:office:smarttags" w:element="time">
        <w:smartTagPr>
          <w:attr w:name="Minute" w:val="0"/>
          <w:attr w:name="Hour" w:val="0"/>
        </w:smartTagPr>
        <w:r w:rsidRPr="00630129">
          <w:rPr>
            <w:rFonts w:ascii="Times New Roman" w:hAnsi="Times New Roman"/>
            <w:sz w:val="22"/>
            <w:szCs w:val="22"/>
          </w:rPr>
          <w:t>00:00</w:t>
        </w:r>
      </w:smartTag>
      <w:r w:rsidRPr="00630129">
        <w:rPr>
          <w:rFonts w:ascii="Times New Roman" w:hAnsi="Times New Roman"/>
          <w:sz w:val="22"/>
          <w:szCs w:val="22"/>
        </w:rPr>
        <w:t xml:space="preserve"> on the current Settlement Day (D), and ends at the spot time of </w:t>
      </w:r>
      <w:smartTag w:uri="urn:schemas-microsoft-com:office:smarttags" w:element="time">
        <w:smartTagPr>
          <w:attr w:name="Minute" w:val="30"/>
          <w:attr w:name="Hour" w:val="0"/>
        </w:smartTagPr>
        <w:r w:rsidRPr="00630129">
          <w:rPr>
            <w:rFonts w:ascii="Times New Roman" w:hAnsi="Times New Roman"/>
            <w:sz w:val="22"/>
            <w:szCs w:val="22"/>
          </w:rPr>
          <w:t>00:30</w:t>
        </w:r>
      </w:smartTag>
      <w:r w:rsidRPr="00630129">
        <w:rPr>
          <w:rFonts w:ascii="Times New Roman" w:hAnsi="Times New Roman"/>
          <w:sz w:val="22"/>
          <w:szCs w:val="22"/>
        </w:rPr>
        <w:t xml:space="preserve"> for the current Settlement Day D.</w:t>
      </w:r>
    </w:p>
    <w:p w14:paraId="739982F0"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b/>
          <w:sz w:val="22"/>
          <w:szCs w:val="22"/>
        </w:rPr>
      </w:pPr>
      <w:r w:rsidRPr="00630129">
        <w:rPr>
          <w:rFonts w:ascii="Times New Roman" w:hAnsi="Times New Roman"/>
          <w:b/>
          <w:sz w:val="22"/>
          <w:szCs w:val="22"/>
        </w:rPr>
        <w:t>4.3A</w:t>
      </w:r>
      <w:r w:rsidRPr="00630129">
        <w:rPr>
          <w:rFonts w:ascii="Times New Roman" w:hAnsi="Times New Roman"/>
          <w:b/>
          <w:sz w:val="22"/>
          <w:szCs w:val="22"/>
        </w:rPr>
        <w:tab/>
        <w:t>Quarter Hour Times</w:t>
      </w:r>
    </w:p>
    <w:p w14:paraId="63412C71"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4.3A.1</w:t>
      </w:r>
      <w:r w:rsidRPr="00630129">
        <w:rPr>
          <w:rFonts w:ascii="Times New Roman" w:hAnsi="Times New Roman"/>
          <w:sz w:val="22"/>
          <w:szCs w:val="22"/>
        </w:rPr>
        <w:tab/>
      </w:r>
      <w:r w:rsidRPr="00630129">
        <w:rPr>
          <w:snapToGrid w:val="0"/>
          <w:sz w:val="22"/>
          <w:szCs w:val="22"/>
        </w:rPr>
        <w:t>Quarter Hours start at the spot time occurring at the beginning of the quarter hour and ends at the spot time occu</w:t>
      </w:r>
      <w:r w:rsidR="0032597C">
        <w:rPr>
          <w:snapToGrid w:val="0"/>
          <w:sz w:val="22"/>
          <w:szCs w:val="22"/>
        </w:rPr>
        <w:t>rring exactly 15 minutes later.</w:t>
      </w:r>
      <w:r w:rsidRPr="00630129">
        <w:rPr>
          <w:snapToGrid w:val="0"/>
          <w:sz w:val="22"/>
          <w:szCs w:val="22"/>
        </w:rPr>
        <w:t xml:space="preserve"> The spot time at the beginning of one Quarter Hour period therefore coincides with the spot time at the end of the previous Quarter Hour period.</w:t>
      </w:r>
    </w:p>
    <w:p w14:paraId="5652E39C"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b/>
          <w:sz w:val="22"/>
          <w:szCs w:val="22"/>
        </w:rPr>
      </w:pPr>
      <w:r w:rsidRPr="00630129">
        <w:rPr>
          <w:rFonts w:ascii="Times New Roman" w:hAnsi="Times New Roman"/>
          <w:b/>
          <w:sz w:val="22"/>
          <w:szCs w:val="22"/>
        </w:rPr>
        <w:t>4.4</w:t>
      </w:r>
      <w:r w:rsidRPr="00630129">
        <w:rPr>
          <w:rFonts w:ascii="Times New Roman" w:hAnsi="Times New Roman"/>
          <w:b/>
          <w:sz w:val="22"/>
          <w:szCs w:val="22"/>
        </w:rPr>
        <w:tab/>
        <w:t>Point Variables</w:t>
      </w:r>
    </w:p>
    <w:p w14:paraId="44F2BB7A"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4.4.1</w:t>
      </w:r>
      <w:r w:rsidRPr="00630129">
        <w:rPr>
          <w:rFonts w:ascii="Times New Roman" w:hAnsi="Times New Roman"/>
          <w:sz w:val="22"/>
          <w:szCs w:val="22"/>
        </w:rPr>
        <w:tab/>
        <w:t>Where variables are determined in relation to spot times, they are termed ‘point’ variables. The values of point variables and their associated spot times are converted (as provided in Section T3.1) from data provided by t</w:t>
      </w:r>
      <w:r w:rsidR="0032597C">
        <w:rPr>
          <w:rFonts w:ascii="Times New Roman" w:hAnsi="Times New Roman"/>
          <w:sz w:val="22"/>
          <w:szCs w:val="22"/>
        </w:rPr>
        <w:t>he NETSO in a different format.</w:t>
      </w:r>
      <w:r w:rsidRPr="00630129">
        <w:rPr>
          <w:rFonts w:ascii="Times New Roman" w:hAnsi="Times New Roman"/>
          <w:sz w:val="22"/>
          <w:szCs w:val="22"/>
        </w:rPr>
        <w:t xml:space="preserve"> There is a restriction on the resolution of the pre-conversion data, such that values of point variables to which this data is converted may only be for spot times expressed in a whole number of minutes.</w:t>
      </w:r>
    </w:p>
    <w:p w14:paraId="2F0F0F10"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4.4.2</w:t>
      </w:r>
      <w:r w:rsidRPr="00630129">
        <w:rPr>
          <w:rFonts w:ascii="Times New Roman" w:hAnsi="Times New Roman"/>
          <w:sz w:val="22"/>
          <w:szCs w:val="22"/>
        </w:rPr>
        <w:tab/>
        <w:t>Point variables are given the subscript 't', where 't' denotes the spot time to which the point variable applies. As point variables must be submitted in a whole number of minutes, there are 31 spot times for which point data may be submitted for any Settlement Period. Up to two point variables may be submitted for a single spot time. This is to accommodate step changes in the associated variable. As the first and last spot times for any Settlement Period coincide with the adjoining Settlement Periods, only one value may be submitted for these spot times. Thus for example for the period 12:30 – 13:00, only one value of point FPN may be submitted for spot times 12:30 and 13:00 (and up to 2 values for any other spot time which is a whole number of minutes and falls</w:t>
      </w:r>
      <w:r w:rsidR="00D60C79" w:rsidRPr="00630129">
        <w:rPr>
          <w:rFonts w:ascii="Times New Roman" w:hAnsi="Times New Roman"/>
          <w:sz w:val="22"/>
          <w:szCs w:val="22"/>
        </w:rPr>
        <w:t xml:space="preserve"> within the Settlement Period).</w:t>
      </w:r>
    </w:p>
    <w:p w14:paraId="6FC1A72F"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4.4.3</w:t>
      </w:r>
      <w:r w:rsidRPr="00630129">
        <w:rPr>
          <w:rFonts w:ascii="Times New Roman" w:hAnsi="Times New Roman"/>
          <w:sz w:val="22"/>
          <w:szCs w:val="22"/>
        </w:rPr>
        <w:tab/>
        <w:t>Whether or not step changes are expected depends upon the variable in question. For example, as FPN Data may normally be expected to comply with dynamic parameters, step changes (especially for generation) might not normally be expected. However, a Party’s view of their operating level may change significantly from one Gate Closure to the next, and step changes may be expected at th</w:t>
      </w:r>
      <w:r w:rsidR="00D60C79" w:rsidRPr="00630129">
        <w:rPr>
          <w:rFonts w:ascii="Times New Roman" w:hAnsi="Times New Roman"/>
          <w:sz w:val="22"/>
          <w:szCs w:val="22"/>
        </w:rPr>
        <w:t>e start of a Settlement Period.</w:t>
      </w:r>
    </w:p>
    <w:p w14:paraId="7337B620"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4.4.4</w:t>
      </w:r>
      <w:r w:rsidRPr="00630129">
        <w:rPr>
          <w:rFonts w:ascii="Times New Roman" w:hAnsi="Times New Roman"/>
          <w:sz w:val="22"/>
          <w:szCs w:val="22"/>
        </w:rPr>
        <w:tab/>
        <w:t>Where two point values are submitted for the same spot time, the Point Variable Identification Number (f) is used to determine the sequence of the two values (as explained further in paragraph 4.5.4).</w:t>
      </w:r>
    </w:p>
    <w:p w14:paraId="3B52D3CD"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4.4.5</w:t>
      </w:r>
      <w:r w:rsidRPr="00630129">
        <w:rPr>
          <w:rFonts w:ascii="Times New Roman" w:hAnsi="Times New Roman"/>
          <w:sz w:val="22"/>
          <w:szCs w:val="22"/>
        </w:rPr>
        <w:tab/>
        <w:t xml:space="preserve">An example of a set of Point FPN data for Settlement Period (e.g. </w:t>
      </w:r>
      <w:smartTag w:uri="urn:schemas-microsoft-com:office:smarttags" w:element="time">
        <w:smartTagPr>
          <w:attr w:name="Hour" w:val="12"/>
          <w:attr w:name="Minute" w:val="30"/>
        </w:smartTagPr>
        <w:r w:rsidRPr="00630129">
          <w:rPr>
            <w:rFonts w:ascii="Times New Roman" w:hAnsi="Times New Roman"/>
            <w:sz w:val="22"/>
            <w:szCs w:val="22"/>
          </w:rPr>
          <w:t>12:30 – 13:00</w:t>
        </w:r>
      </w:smartTag>
      <w:r w:rsidRPr="00630129">
        <w:rPr>
          <w:rFonts w:ascii="Times New Roman" w:hAnsi="Times New Roman"/>
          <w:sz w:val="22"/>
          <w:szCs w:val="22"/>
        </w:rPr>
        <w:t>) is as follows:</w:t>
      </w:r>
    </w:p>
    <w:tbl>
      <w:tblPr>
        <w:tblW w:w="0" w:type="auto"/>
        <w:tblInd w:w="1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3"/>
        <w:gridCol w:w="2228"/>
      </w:tblGrid>
      <w:tr w:rsidR="00630129" w:rsidRPr="00630129" w14:paraId="13D7BB05" w14:textId="77777777" w:rsidTr="007F51D0">
        <w:trPr>
          <w:cantSplit/>
          <w:tblHeader/>
        </w:trPr>
        <w:tc>
          <w:tcPr>
            <w:tcW w:w="1493" w:type="dxa"/>
            <w:tcMar>
              <w:top w:w="85" w:type="dxa"/>
              <w:left w:w="85" w:type="dxa"/>
              <w:bottom w:w="85" w:type="dxa"/>
              <w:right w:w="85" w:type="dxa"/>
            </w:tcMar>
          </w:tcPr>
          <w:p w14:paraId="739421C8"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spacing w:after="0"/>
              <w:ind w:left="0" w:firstLine="0"/>
              <w:jc w:val="both"/>
              <w:rPr>
                <w:rFonts w:ascii="Times New Roman" w:hAnsi="Times New Roman"/>
                <w:i/>
                <w:sz w:val="22"/>
                <w:szCs w:val="22"/>
              </w:rPr>
            </w:pPr>
            <w:r w:rsidRPr="00630129">
              <w:rPr>
                <w:rFonts w:ascii="Times New Roman" w:hAnsi="Times New Roman"/>
                <w:i/>
                <w:sz w:val="22"/>
                <w:szCs w:val="22"/>
              </w:rPr>
              <w:t>Spot time, t</w:t>
            </w:r>
          </w:p>
        </w:tc>
        <w:tc>
          <w:tcPr>
            <w:tcW w:w="2228" w:type="dxa"/>
            <w:tcMar>
              <w:top w:w="85" w:type="dxa"/>
              <w:left w:w="85" w:type="dxa"/>
              <w:bottom w:w="85" w:type="dxa"/>
              <w:right w:w="85" w:type="dxa"/>
            </w:tcMar>
          </w:tcPr>
          <w:p w14:paraId="14E0EC58" w14:textId="77777777" w:rsidR="002A68CF" w:rsidRPr="00630129" w:rsidRDefault="001C7564" w:rsidP="001A726F">
            <w:pPr>
              <w:pStyle w:val="BodyTextIndent3"/>
              <w:tabs>
                <w:tab w:val="clear" w:pos="-720"/>
                <w:tab w:val="clear" w:pos="0"/>
                <w:tab w:val="clear" w:pos="720"/>
                <w:tab w:val="clear" w:pos="1440"/>
                <w:tab w:val="clear" w:pos="2160"/>
                <w:tab w:val="clear" w:pos="2977"/>
              </w:tabs>
              <w:suppressAutoHyphens w:val="0"/>
              <w:spacing w:after="0"/>
              <w:ind w:left="0" w:firstLine="0"/>
              <w:jc w:val="both"/>
              <w:rPr>
                <w:rFonts w:ascii="Times New Roman" w:hAnsi="Times New Roman"/>
                <w:i/>
                <w:sz w:val="22"/>
                <w:szCs w:val="22"/>
              </w:rPr>
            </w:pPr>
            <w:r w:rsidRPr="00630129">
              <w:rPr>
                <w:rFonts w:ascii="Times New Roman" w:hAnsi="Times New Roman"/>
                <w:i/>
                <w:sz w:val="22"/>
                <w:szCs w:val="22"/>
              </w:rPr>
              <w:t>Point</w:t>
            </w:r>
            <w:r w:rsidRPr="00630129">
              <w:t xml:space="preserve"> </w:t>
            </w:r>
            <w:proofErr w:type="spellStart"/>
            <w:r w:rsidRPr="00630129">
              <w:rPr>
                <w:rFonts w:ascii="Times New Roman" w:hAnsi="Times New Roman"/>
                <w:i/>
                <w:sz w:val="22"/>
                <w:szCs w:val="22"/>
                <w:vertAlign w:val="superscript"/>
              </w:rPr>
              <w:t>f</w:t>
            </w:r>
            <w:r w:rsidRPr="00630129">
              <w:rPr>
                <w:rFonts w:ascii="Times New Roman" w:hAnsi="Times New Roman"/>
                <w:i/>
                <w:sz w:val="22"/>
                <w:szCs w:val="22"/>
              </w:rPr>
              <w:t>FPN</w:t>
            </w:r>
            <w:r w:rsidRPr="00630129">
              <w:rPr>
                <w:rFonts w:ascii="Times New Roman" w:hAnsi="Times New Roman"/>
                <w:i/>
                <w:sz w:val="22"/>
                <w:szCs w:val="22"/>
                <w:vertAlign w:val="subscript"/>
              </w:rPr>
              <w:t>ijt</w:t>
            </w:r>
            <w:proofErr w:type="spellEnd"/>
            <w:r w:rsidRPr="00630129">
              <w:rPr>
                <w:rFonts w:ascii="Times New Roman" w:hAnsi="Times New Roman"/>
                <w:i/>
                <w:sz w:val="22"/>
                <w:szCs w:val="22"/>
              </w:rPr>
              <w:t xml:space="preserve"> (MW)</w:t>
            </w:r>
          </w:p>
        </w:tc>
      </w:tr>
      <w:tr w:rsidR="00630129" w:rsidRPr="00630129" w14:paraId="2E9DB372" w14:textId="77777777">
        <w:trPr>
          <w:cantSplit/>
        </w:trPr>
        <w:tc>
          <w:tcPr>
            <w:tcW w:w="1493" w:type="dxa"/>
            <w:tcMar>
              <w:top w:w="85" w:type="dxa"/>
              <w:left w:w="85" w:type="dxa"/>
              <w:bottom w:w="85" w:type="dxa"/>
              <w:right w:w="85" w:type="dxa"/>
            </w:tcMar>
          </w:tcPr>
          <w:p w14:paraId="562E7A7E"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spacing w:after="0"/>
              <w:ind w:left="0" w:firstLine="0"/>
              <w:jc w:val="both"/>
              <w:rPr>
                <w:rFonts w:ascii="Times New Roman" w:hAnsi="Times New Roman"/>
                <w:sz w:val="22"/>
                <w:szCs w:val="22"/>
              </w:rPr>
            </w:pPr>
            <w:smartTag w:uri="urn:schemas-microsoft-com:office:smarttags" w:element="time">
              <w:smartTagPr>
                <w:attr w:name="Minute" w:val="30"/>
                <w:attr w:name="Hour" w:val="12"/>
              </w:smartTagPr>
              <w:r w:rsidRPr="00630129">
                <w:rPr>
                  <w:rFonts w:ascii="Times New Roman" w:hAnsi="Times New Roman"/>
                  <w:sz w:val="22"/>
                  <w:szCs w:val="22"/>
                </w:rPr>
                <w:t>12:30</w:t>
              </w:r>
            </w:smartTag>
          </w:p>
        </w:tc>
        <w:tc>
          <w:tcPr>
            <w:tcW w:w="2228" w:type="dxa"/>
            <w:tcMar>
              <w:top w:w="85" w:type="dxa"/>
              <w:left w:w="85" w:type="dxa"/>
              <w:bottom w:w="85" w:type="dxa"/>
              <w:right w:w="85" w:type="dxa"/>
            </w:tcMar>
          </w:tcPr>
          <w:p w14:paraId="501E1F25"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spacing w:after="0"/>
              <w:ind w:left="0" w:firstLine="0"/>
              <w:jc w:val="both"/>
              <w:rPr>
                <w:rFonts w:ascii="Times New Roman" w:hAnsi="Times New Roman"/>
                <w:sz w:val="22"/>
                <w:szCs w:val="22"/>
              </w:rPr>
            </w:pPr>
            <w:r w:rsidRPr="00630129">
              <w:rPr>
                <w:rFonts w:ascii="Times New Roman" w:hAnsi="Times New Roman"/>
                <w:sz w:val="22"/>
                <w:szCs w:val="22"/>
              </w:rPr>
              <w:t>200</w:t>
            </w:r>
          </w:p>
        </w:tc>
      </w:tr>
      <w:tr w:rsidR="00630129" w:rsidRPr="00630129" w14:paraId="697C735E" w14:textId="77777777">
        <w:trPr>
          <w:cantSplit/>
        </w:trPr>
        <w:tc>
          <w:tcPr>
            <w:tcW w:w="1493" w:type="dxa"/>
            <w:tcMar>
              <w:top w:w="85" w:type="dxa"/>
              <w:left w:w="85" w:type="dxa"/>
              <w:bottom w:w="85" w:type="dxa"/>
              <w:right w:w="85" w:type="dxa"/>
            </w:tcMar>
          </w:tcPr>
          <w:p w14:paraId="72F9F08E"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spacing w:after="0"/>
              <w:ind w:left="0" w:firstLine="0"/>
              <w:jc w:val="both"/>
              <w:rPr>
                <w:rFonts w:ascii="Times New Roman" w:hAnsi="Times New Roman"/>
                <w:sz w:val="22"/>
                <w:szCs w:val="22"/>
              </w:rPr>
            </w:pPr>
            <w:smartTag w:uri="urn:schemas-microsoft-com:office:smarttags" w:element="time">
              <w:smartTagPr>
                <w:attr w:name="Hour" w:val="12"/>
                <w:attr w:name="Minute" w:val="37"/>
              </w:smartTagPr>
              <w:r w:rsidRPr="00630129">
                <w:rPr>
                  <w:rFonts w:ascii="Times New Roman" w:hAnsi="Times New Roman"/>
                  <w:sz w:val="22"/>
                  <w:szCs w:val="22"/>
                </w:rPr>
                <w:t>12:37</w:t>
              </w:r>
            </w:smartTag>
          </w:p>
        </w:tc>
        <w:tc>
          <w:tcPr>
            <w:tcW w:w="2228" w:type="dxa"/>
            <w:tcMar>
              <w:top w:w="85" w:type="dxa"/>
              <w:left w:w="85" w:type="dxa"/>
              <w:bottom w:w="85" w:type="dxa"/>
              <w:right w:w="85" w:type="dxa"/>
            </w:tcMar>
          </w:tcPr>
          <w:p w14:paraId="798E771C"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spacing w:after="0"/>
              <w:ind w:left="0" w:firstLine="0"/>
              <w:jc w:val="both"/>
              <w:rPr>
                <w:rFonts w:ascii="Times New Roman" w:hAnsi="Times New Roman"/>
                <w:sz w:val="22"/>
                <w:szCs w:val="22"/>
              </w:rPr>
            </w:pPr>
            <w:r w:rsidRPr="00630129">
              <w:rPr>
                <w:rFonts w:ascii="Times New Roman" w:hAnsi="Times New Roman"/>
                <w:sz w:val="22"/>
                <w:szCs w:val="22"/>
              </w:rPr>
              <w:t>235</w:t>
            </w:r>
          </w:p>
        </w:tc>
      </w:tr>
      <w:tr w:rsidR="00630129" w:rsidRPr="00630129" w14:paraId="374DD897" w14:textId="77777777">
        <w:trPr>
          <w:cantSplit/>
        </w:trPr>
        <w:tc>
          <w:tcPr>
            <w:tcW w:w="1493" w:type="dxa"/>
            <w:tcMar>
              <w:top w:w="85" w:type="dxa"/>
              <w:left w:w="85" w:type="dxa"/>
              <w:bottom w:w="85" w:type="dxa"/>
              <w:right w:w="85" w:type="dxa"/>
            </w:tcMar>
          </w:tcPr>
          <w:p w14:paraId="6662C346"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spacing w:after="0"/>
              <w:ind w:left="0" w:firstLine="0"/>
              <w:jc w:val="both"/>
              <w:rPr>
                <w:rFonts w:ascii="Times New Roman" w:hAnsi="Times New Roman"/>
                <w:sz w:val="22"/>
                <w:szCs w:val="22"/>
              </w:rPr>
            </w:pPr>
            <w:smartTag w:uri="urn:schemas-microsoft-com:office:smarttags" w:element="time">
              <w:smartTagPr>
                <w:attr w:name="Hour" w:val="12"/>
                <w:attr w:name="Minute" w:val="57"/>
              </w:smartTagPr>
              <w:r w:rsidRPr="00630129">
                <w:rPr>
                  <w:rFonts w:ascii="Times New Roman" w:hAnsi="Times New Roman"/>
                  <w:sz w:val="22"/>
                  <w:szCs w:val="22"/>
                </w:rPr>
                <w:t>12:57</w:t>
              </w:r>
            </w:smartTag>
          </w:p>
        </w:tc>
        <w:tc>
          <w:tcPr>
            <w:tcW w:w="2228" w:type="dxa"/>
            <w:tcMar>
              <w:top w:w="85" w:type="dxa"/>
              <w:left w:w="85" w:type="dxa"/>
              <w:bottom w:w="85" w:type="dxa"/>
              <w:right w:w="85" w:type="dxa"/>
            </w:tcMar>
          </w:tcPr>
          <w:p w14:paraId="75EA445F"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spacing w:after="0"/>
              <w:ind w:left="0" w:firstLine="0"/>
              <w:jc w:val="both"/>
              <w:rPr>
                <w:rFonts w:ascii="Times New Roman" w:hAnsi="Times New Roman"/>
                <w:sz w:val="22"/>
                <w:szCs w:val="22"/>
              </w:rPr>
            </w:pPr>
            <w:r w:rsidRPr="00630129">
              <w:rPr>
                <w:rFonts w:ascii="Times New Roman" w:hAnsi="Times New Roman"/>
                <w:sz w:val="22"/>
                <w:szCs w:val="22"/>
              </w:rPr>
              <w:t>245</w:t>
            </w:r>
          </w:p>
        </w:tc>
      </w:tr>
      <w:tr w:rsidR="002A68CF" w:rsidRPr="00630129" w14:paraId="11E06FC7" w14:textId="77777777">
        <w:trPr>
          <w:cantSplit/>
        </w:trPr>
        <w:tc>
          <w:tcPr>
            <w:tcW w:w="1493" w:type="dxa"/>
            <w:tcMar>
              <w:top w:w="85" w:type="dxa"/>
              <w:left w:w="85" w:type="dxa"/>
              <w:bottom w:w="85" w:type="dxa"/>
              <w:right w:w="85" w:type="dxa"/>
            </w:tcMar>
          </w:tcPr>
          <w:p w14:paraId="407AD7DF"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spacing w:after="0"/>
              <w:ind w:left="0" w:firstLine="0"/>
              <w:jc w:val="both"/>
              <w:rPr>
                <w:rFonts w:ascii="Times New Roman" w:hAnsi="Times New Roman"/>
                <w:sz w:val="22"/>
                <w:szCs w:val="22"/>
              </w:rPr>
            </w:pPr>
            <w:smartTag w:uri="urn:schemas-microsoft-com:office:smarttags" w:element="time">
              <w:smartTagPr>
                <w:attr w:name="Hour" w:val="13"/>
                <w:attr w:name="Minute" w:val="0"/>
              </w:smartTagPr>
              <w:r w:rsidRPr="00630129">
                <w:rPr>
                  <w:rFonts w:ascii="Times New Roman" w:hAnsi="Times New Roman"/>
                  <w:sz w:val="22"/>
                  <w:szCs w:val="22"/>
                </w:rPr>
                <w:t>13:00</w:t>
              </w:r>
            </w:smartTag>
          </w:p>
        </w:tc>
        <w:tc>
          <w:tcPr>
            <w:tcW w:w="2228" w:type="dxa"/>
            <w:tcMar>
              <w:top w:w="85" w:type="dxa"/>
              <w:left w:w="85" w:type="dxa"/>
              <w:bottom w:w="85" w:type="dxa"/>
              <w:right w:w="85" w:type="dxa"/>
            </w:tcMar>
          </w:tcPr>
          <w:p w14:paraId="43B856A2"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spacing w:after="0"/>
              <w:ind w:left="0" w:firstLine="0"/>
              <w:jc w:val="both"/>
              <w:rPr>
                <w:rFonts w:ascii="Times New Roman" w:hAnsi="Times New Roman"/>
                <w:sz w:val="22"/>
                <w:szCs w:val="22"/>
              </w:rPr>
            </w:pPr>
            <w:r w:rsidRPr="00630129">
              <w:rPr>
                <w:rFonts w:ascii="Times New Roman" w:hAnsi="Times New Roman"/>
                <w:sz w:val="22"/>
                <w:szCs w:val="22"/>
              </w:rPr>
              <w:t>245</w:t>
            </w:r>
          </w:p>
        </w:tc>
      </w:tr>
    </w:tbl>
    <w:p w14:paraId="56ACE1EB"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lastRenderedPageBreak/>
        <w:t>4.4.6</w:t>
      </w:r>
      <w:r w:rsidRPr="00630129">
        <w:rPr>
          <w:rFonts w:ascii="Times New Roman" w:hAnsi="Times New Roman"/>
          <w:sz w:val="22"/>
          <w:szCs w:val="22"/>
        </w:rPr>
        <w:tab/>
        <w:t>The use of the subscript j is retained to represent the fact that the spot values are being submitted for spot times that fall within a particular Settlement Period.</w:t>
      </w:r>
    </w:p>
    <w:p w14:paraId="4163CB4A"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b/>
          <w:sz w:val="22"/>
          <w:szCs w:val="22"/>
        </w:rPr>
      </w:pPr>
      <w:r w:rsidRPr="00630129">
        <w:rPr>
          <w:rFonts w:ascii="Times New Roman" w:hAnsi="Times New Roman"/>
          <w:b/>
          <w:sz w:val="22"/>
          <w:szCs w:val="22"/>
        </w:rPr>
        <w:t>4.5</w:t>
      </w:r>
      <w:r w:rsidRPr="00630129">
        <w:rPr>
          <w:rFonts w:ascii="Times New Roman" w:hAnsi="Times New Roman"/>
          <w:b/>
          <w:sz w:val="22"/>
          <w:szCs w:val="22"/>
        </w:rPr>
        <w:tab/>
        <w:t>Interpolation of Values of Point Variables Between Spot Times Supplied</w:t>
      </w:r>
    </w:p>
    <w:p w14:paraId="2C7AA456"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4.5.1</w:t>
      </w:r>
      <w:r w:rsidRPr="00630129">
        <w:rPr>
          <w:rFonts w:ascii="Times New Roman" w:hAnsi="Times New Roman"/>
          <w:sz w:val="22"/>
          <w:szCs w:val="22"/>
        </w:rPr>
        <w:tab/>
        <w:t>For certain spot variables it may be necessary to evaluate values applicable to any spot time within a Settlement Period from the discrete point variables s</w:t>
      </w:r>
      <w:r w:rsidR="0032597C">
        <w:rPr>
          <w:rFonts w:ascii="Times New Roman" w:hAnsi="Times New Roman"/>
          <w:sz w:val="22"/>
          <w:szCs w:val="22"/>
        </w:rPr>
        <w:t>upplied.</w:t>
      </w:r>
      <w:r w:rsidR="00D60C79" w:rsidRPr="00630129">
        <w:rPr>
          <w:rFonts w:ascii="Times New Roman" w:hAnsi="Times New Roman"/>
          <w:sz w:val="22"/>
          <w:szCs w:val="22"/>
        </w:rPr>
        <w:t xml:space="preserve"> These are:</w:t>
      </w:r>
    </w:p>
    <w:tbl>
      <w:tblPr>
        <w:tblW w:w="0" w:type="auto"/>
        <w:tblInd w:w="110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2427"/>
        <w:gridCol w:w="1890"/>
        <w:gridCol w:w="1080"/>
        <w:gridCol w:w="1890"/>
      </w:tblGrid>
      <w:tr w:rsidR="00630129" w:rsidRPr="00630129" w14:paraId="7E492F62" w14:textId="77777777">
        <w:trPr>
          <w:cantSplit/>
        </w:trPr>
        <w:tc>
          <w:tcPr>
            <w:tcW w:w="2427" w:type="dxa"/>
            <w:tcMar>
              <w:top w:w="85" w:type="dxa"/>
              <w:left w:w="85" w:type="dxa"/>
              <w:bottom w:w="85" w:type="dxa"/>
              <w:right w:w="85" w:type="dxa"/>
            </w:tcMar>
          </w:tcPr>
          <w:p w14:paraId="77FF3189"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szCs w:val="22"/>
              </w:rPr>
            </w:pPr>
            <w:r w:rsidRPr="00630129">
              <w:rPr>
                <w:rFonts w:ascii="Times New Roman" w:hAnsi="Times New Roman"/>
                <w:szCs w:val="22"/>
              </w:rPr>
              <w:t>Name</w:t>
            </w:r>
          </w:p>
        </w:tc>
        <w:tc>
          <w:tcPr>
            <w:tcW w:w="1890" w:type="dxa"/>
            <w:tcMar>
              <w:top w:w="85" w:type="dxa"/>
              <w:left w:w="85" w:type="dxa"/>
              <w:bottom w:w="85" w:type="dxa"/>
              <w:right w:w="85" w:type="dxa"/>
            </w:tcMar>
          </w:tcPr>
          <w:p w14:paraId="141C3AC0"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szCs w:val="22"/>
              </w:rPr>
            </w:pPr>
            <w:r w:rsidRPr="00630129">
              <w:rPr>
                <w:rFonts w:ascii="Times New Roman" w:hAnsi="Times New Roman"/>
                <w:szCs w:val="22"/>
              </w:rPr>
              <w:t>Acronym</w:t>
            </w:r>
          </w:p>
        </w:tc>
        <w:tc>
          <w:tcPr>
            <w:tcW w:w="1080" w:type="dxa"/>
            <w:tcMar>
              <w:top w:w="85" w:type="dxa"/>
              <w:left w:w="85" w:type="dxa"/>
              <w:bottom w:w="85" w:type="dxa"/>
              <w:right w:w="85" w:type="dxa"/>
            </w:tcMar>
          </w:tcPr>
          <w:p w14:paraId="1A069378"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szCs w:val="22"/>
              </w:rPr>
            </w:pPr>
            <w:r w:rsidRPr="00630129">
              <w:rPr>
                <w:rFonts w:ascii="Times New Roman" w:hAnsi="Times New Roman"/>
                <w:szCs w:val="22"/>
              </w:rPr>
              <w:t>Units</w:t>
            </w:r>
          </w:p>
        </w:tc>
        <w:tc>
          <w:tcPr>
            <w:tcW w:w="1890" w:type="dxa"/>
            <w:tcMar>
              <w:top w:w="85" w:type="dxa"/>
              <w:left w:w="85" w:type="dxa"/>
              <w:bottom w:w="85" w:type="dxa"/>
              <w:right w:w="85" w:type="dxa"/>
            </w:tcMar>
          </w:tcPr>
          <w:p w14:paraId="09543385"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szCs w:val="22"/>
              </w:rPr>
            </w:pPr>
            <w:r w:rsidRPr="00630129">
              <w:rPr>
                <w:rFonts w:ascii="Times New Roman" w:hAnsi="Times New Roman"/>
                <w:szCs w:val="22"/>
              </w:rPr>
              <w:t>Calculated from point variable:</w:t>
            </w:r>
          </w:p>
        </w:tc>
      </w:tr>
      <w:tr w:rsidR="00630129" w:rsidRPr="00630129" w14:paraId="2FC56D1D" w14:textId="77777777">
        <w:trPr>
          <w:cantSplit/>
        </w:trPr>
        <w:tc>
          <w:tcPr>
            <w:tcW w:w="2427" w:type="dxa"/>
            <w:tcMar>
              <w:top w:w="85" w:type="dxa"/>
              <w:left w:w="85" w:type="dxa"/>
              <w:bottom w:w="85" w:type="dxa"/>
              <w:right w:w="85" w:type="dxa"/>
            </w:tcMar>
          </w:tcPr>
          <w:p w14:paraId="58ABBA09" w14:textId="77777777" w:rsidR="002A68CF" w:rsidRPr="00630129" w:rsidRDefault="001C7564">
            <w:pPr>
              <w:pStyle w:val="GlossaryTerm"/>
              <w:keepNext w:val="0"/>
              <w:keepLines w:val="0"/>
              <w:tabs>
                <w:tab w:val="clear" w:pos="1440"/>
              </w:tabs>
              <w:spacing w:line="240" w:lineRule="auto"/>
              <w:ind w:left="0" w:firstLine="0"/>
              <w:outlineLvl w:val="9"/>
              <w:rPr>
                <w:rFonts w:ascii="Times New Roman" w:hAnsi="Times New Roman"/>
                <w:b w:val="0"/>
                <w:szCs w:val="22"/>
              </w:rPr>
            </w:pPr>
            <w:r w:rsidRPr="00630129">
              <w:rPr>
                <w:rFonts w:ascii="Times New Roman" w:hAnsi="Times New Roman"/>
                <w:b w:val="0"/>
                <w:szCs w:val="22"/>
              </w:rPr>
              <w:t>Acceptance Volume</w:t>
            </w:r>
          </w:p>
        </w:tc>
        <w:tc>
          <w:tcPr>
            <w:tcW w:w="1890" w:type="dxa"/>
            <w:tcMar>
              <w:top w:w="85" w:type="dxa"/>
              <w:left w:w="85" w:type="dxa"/>
              <w:bottom w:w="85" w:type="dxa"/>
              <w:right w:w="85" w:type="dxa"/>
            </w:tcMar>
          </w:tcPr>
          <w:p w14:paraId="4F0CD9CA"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proofErr w:type="spellStart"/>
            <w:r w:rsidRPr="00630129">
              <w:rPr>
                <w:rFonts w:ascii="Times New Roman" w:hAnsi="Times New Roman"/>
                <w:b w:val="0"/>
                <w:szCs w:val="22"/>
              </w:rPr>
              <w:t>qA</w:t>
            </w:r>
            <w:r w:rsidRPr="00630129">
              <w:rPr>
                <w:rFonts w:ascii="Times New Roman" w:hAnsi="Times New Roman"/>
                <w:b w:val="0"/>
                <w:szCs w:val="22"/>
                <w:vertAlign w:val="superscript"/>
              </w:rPr>
              <w:t>k</w:t>
            </w:r>
            <w:r w:rsidRPr="00630129">
              <w:rPr>
                <w:rFonts w:ascii="Times New Roman" w:hAnsi="Times New Roman"/>
                <w:b w:val="0"/>
                <w:szCs w:val="22"/>
                <w:vertAlign w:val="subscript"/>
              </w:rPr>
              <w:t>ij</w:t>
            </w:r>
            <w:proofErr w:type="spellEnd"/>
            <w:r w:rsidRPr="00630129">
              <w:rPr>
                <w:rFonts w:ascii="Times New Roman" w:hAnsi="Times New Roman"/>
                <w:b w:val="0"/>
                <w:szCs w:val="22"/>
              </w:rPr>
              <w:t>(t)</w:t>
            </w:r>
          </w:p>
        </w:tc>
        <w:tc>
          <w:tcPr>
            <w:tcW w:w="1080" w:type="dxa"/>
            <w:tcMar>
              <w:top w:w="85" w:type="dxa"/>
              <w:left w:w="85" w:type="dxa"/>
              <w:bottom w:w="85" w:type="dxa"/>
              <w:right w:w="85" w:type="dxa"/>
            </w:tcMar>
          </w:tcPr>
          <w:p w14:paraId="3B0BF127"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r w:rsidRPr="00630129">
              <w:rPr>
                <w:rFonts w:ascii="Times New Roman" w:hAnsi="Times New Roman"/>
                <w:b w:val="0"/>
                <w:szCs w:val="22"/>
              </w:rPr>
              <w:t>MW</w:t>
            </w:r>
          </w:p>
        </w:tc>
        <w:tc>
          <w:tcPr>
            <w:tcW w:w="1890" w:type="dxa"/>
            <w:tcMar>
              <w:top w:w="85" w:type="dxa"/>
              <w:left w:w="85" w:type="dxa"/>
              <w:bottom w:w="85" w:type="dxa"/>
              <w:right w:w="85" w:type="dxa"/>
            </w:tcMar>
          </w:tcPr>
          <w:p w14:paraId="542F25AE"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vertAlign w:val="superscript"/>
              </w:rPr>
            </w:pPr>
            <w:proofErr w:type="spellStart"/>
            <w:r w:rsidRPr="00630129">
              <w:rPr>
                <w:rFonts w:ascii="Times New Roman" w:hAnsi="Times New Roman"/>
                <w:b w:val="0"/>
                <w:szCs w:val="22"/>
                <w:vertAlign w:val="superscript"/>
              </w:rPr>
              <w:t>f</w:t>
            </w:r>
            <w:r w:rsidRPr="00630129">
              <w:rPr>
                <w:rFonts w:ascii="Times New Roman" w:hAnsi="Times New Roman"/>
                <w:b w:val="0"/>
                <w:szCs w:val="22"/>
              </w:rPr>
              <w:t>qA</w:t>
            </w:r>
            <w:r w:rsidRPr="00630129">
              <w:rPr>
                <w:rFonts w:ascii="Times New Roman" w:hAnsi="Times New Roman"/>
                <w:b w:val="0"/>
                <w:szCs w:val="22"/>
                <w:vertAlign w:val="superscript"/>
              </w:rPr>
              <w:t>k</w:t>
            </w:r>
            <w:r w:rsidRPr="00630129">
              <w:rPr>
                <w:rFonts w:ascii="Times New Roman" w:hAnsi="Times New Roman"/>
                <w:b w:val="0"/>
                <w:szCs w:val="22"/>
                <w:vertAlign w:val="subscript"/>
              </w:rPr>
              <w:t>ijt</w:t>
            </w:r>
            <w:proofErr w:type="spellEnd"/>
          </w:p>
        </w:tc>
      </w:tr>
      <w:tr w:rsidR="00630129" w:rsidRPr="00630129" w14:paraId="1A461B3D" w14:textId="77777777">
        <w:trPr>
          <w:cantSplit/>
        </w:trPr>
        <w:tc>
          <w:tcPr>
            <w:tcW w:w="2427" w:type="dxa"/>
            <w:tcMar>
              <w:top w:w="85" w:type="dxa"/>
              <w:left w:w="85" w:type="dxa"/>
              <w:bottom w:w="85" w:type="dxa"/>
              <w:right w:w="85" w:type="dxa"/>
            </w:tcMar>
          </w:tcPr>
          <w:p w14:paraId="43F7B066" w14:textId="77777777" w:rsidR="002A68CF" w:rsidRPr="00630129" w:rsidRDefault="001C7564">
            <w:pPr>
              <w:pStyle w:val="GlossaryTerm"/>
              <w:keepNext w:val="0"/>
              <w:keepLines w:val="0"/>
              <w:tabs>
                <w:tab w:val="clear" w:pos="1440"/>
              </w:tabs>
              <w:spacing w:line="240" w:lineRule="auto"/>
              <w:ind w:left="0" w:firstLine="0"/>
              <w:outlineLvl w:val="9"/>
              <w:rPr>
                <w:rFonts w:ascii="Times New Roman" w:hAnsi="Times New Roman"/>
                <w:b w:val="0"/>
                <w:szCs w:val="22"/>
              </w:rPr>
            </w:pPr>
            <w:r w:rsidRPr="00630129">
              <w:rPr>
                <w:rFonts w:ascii="Times New Roman" w:hAnsi="Times New Roman"/>
                <w:b w:val="0"/>
                <w:szCs w:val="22"/>
              </w:rPr>
              <w:t>Accepted Bid Volume</w:t>
            </w:r>
          </w:p>
        </w:tc>
        <w:tc>
          <w:tcPr>
            <w:tcW w:w="1890" w:type="dxa"/>
            <w:tcMar>
              <w:top w:w="85" w:type="dxa"/>
              <w:left w:w="85" w:type="dxa"/>
              <w:bottom w:w="85" w:type="dxa"/>
              <w:right w:w="85" w:type="dxa"/>
            </w:tcMar>
          </w:tcPr>
          <w:p w14:paraId="1037221B"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proofErr w:type="spellStart"/>
            <w:r w:rsidRPr="00630129">
              <w:rPr>
                <w:rFonts w:ascii="Times New Roman" w:hAnsi="Times New Roman"/>
                <w:b w:val="0"/>
                <w:szCs w:val="22"/>
              </w:rPr>
              <w:t>qAB</w:t>
            </w:r>
            <w:r w:rsidRPr="00630129">
              <w:rPr>
                <w:rFonts w:ascii="Times New Roman" w:hAnsi="Times New Roman"/>
                <w:b w:val="0"/>
                <w:szCs w:val="22"/>
                <w:vertAlign w:val="superscript"/>
              </w:rPr>
              <w:t>kn</w:t>
            </w:r>
            <w:r w:rsidRPr="00630129">
              <w:rPr>
                <w:rFonts w:ascii="Times New Roman" w:hAnsi="Times New Roman"/>
                <w:b w:val="0"/>
                <w:szCs w:val="22"/>
                <w:vertAlign w:val="subscript"/>
              </w:rPr>
              <w:t>ij</w:t>
            </w:r>
            <w:proofErr w:type="spellEnd"/>
            <w:r w:rsidRPr="00630129">
              <w:rPr>
                <w:rFonts w:ascii="Times New Roman" w:hAnsi="Times New Roman"/>
                <w:b w:val="0"/>
                <w:szCs w:val="22"/>
              </w:rPr>
              <w:t xml:space="preserve">(t) </w:t>
            </w:r>
          </w:p>
        </w:tc>
        <w:tc>
          <w:tcPr>
            <w:tcW w:w="1080" w:type="dxa"/>
            <w:tcMar>
              <w:top w:w="85" w:type="dxa"/>
              <w:left w:w="85" w:type="dxa"/>
              <w:bottom w:w="85" w:type="dxa"/>
              <w:right w:w="85" w:type="dxa"/>
            </w:tcMar>
          </w:tcPr>
          <w:p w14:paraId="2E24329D"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r w:rsidRPr="00630129">
              <w:rPr>
                <w:rFonts w:ascii="Times New Roman" w:hAnsi="Times New Roman"/>
                <w:b w:val="0"/>
                <w:szCs w:val="22"/>
              </w:rPr>
              <w:t>MW</w:t>
            </w:r>
          </w:p>
        </w:tc>
        <w:tc>
          <w:tcPr>
            <w:tcW w:w="1890" w:type="dxa"/>
            <w:tcMar>
              <w:top w:w="85" w:type="dxa"/>
              <w:left w:w="85" w:type="dxa"/>
              <w:bottom w:w="85" w:type="dxa"/>
              <w:right w:w="85" w:type="dxa"/>
            </w:tcMar>
          </w:tcPr>
          <w:p w14:paraId="3DB66B7B"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vertAlign w:val="superscript"/>
              </w:rPr>
            </w:pPr>
            <w:proofErr w:type="spellStart"/>
            <w:r w:rsidRPr="00630129">
              <w:rPr>
                <w:rFonts w:ascii="Times New Roman" w:hAnsi="Times New Roman"/>
                <w:b w:val="0"/>
                <w:szCs w:val="22"/>
                <w:vertAlign w:val="superscript"/>
              </w:rPr>
              <w:t>f</w:t>
            </w:r>
            <w:r w:rsidRPr="00630129">
              <w:rPr>
                <w:rFonts w:ascii="Times New Roman" w:hAnsi="Times New Roman"/>
                <w:b w:val="0"/>
                <w:szCs w:val="22"/>
              </w:rPr>
              <w:t>qAB</w:t>
            </w:r>
            <w:r w:rsidRPr="00630129">
              <w:rPr>
                <w:rFonts w:ascii="Times New Roman" w:hAnsi="Times New Roman"/>
                <w:b w:val="0"/>
                <w:szCs w:val="22"/>
                <w:vertAlign w:val="superscript"/>
              </w:rPr>
              <w:t>kn</w:t>
            </w:r>
            <w:r w:rsidRPr="00630129">
              <w:rPr>
                <w:rFonts w:ascii="Times New Roman" w:hAnsi="Times New Roman"/>
                <w:b w:val="0"/>
                <w:szCs w:val="22"/>
                <w:vertAlign w:val="subscript"/>
              </w:rPr>
              <w:t>ijt</w:t>
            </w:r>
            <w:proofErr w:type="spellEnd"/>
            <w:r w:rsidRPr="00630129">
              <w:rPr>
                <w:rFonts w:ascii="Times New Roman" w:hAnsi="Times New Roman"/>
                <w:b w:val="0"/>
                <w:szCs w:val="22"/>
              </w:rPr>
              <w:t xml:space="preserve"> </w:t>
            </w:r>
          </w:p>
        </w:tc>
      </w:tr>
      <w:tr w:rsidR="00630129" w:rsidRPr="00630129" w14:paraId="36E61767" w14:textId="77777777">
        <w:trPr>
          <w:cantSplit/>
        </w:trPr>
        <w:tc>
          <w:tcPr>
            <w:tcW w:w="2427" w:type="dxa"/>
            <w:tcMar>
              <w:top w:w="85" w:type="dxa"/>
              <w:left w:w="85" w:type="dxa"/>
              <w:bottom w:w="85" w:type="dxa"/>
              <w:right w:w="85" w:type="dxa"/>
            </w:tcMar>
          </w:tcPr>
          <w:p w14:paraId="0E8FA690" w14:textId="77777777" w:rsidR="002A68CF" w:rsidRPr="00630129" w:rsidRDefault="001C7564">
            <w:pPr>
              <w:pStyle w:val="GlossaryTerm"/>
              <w:keepNext w:val="0"/>
              <w:keepLines w:val="0"/>
              <w:tabs>
                <w:tab w:val="clear" w:pos="1440"/>
              </w:tabs>
              <w:spacing w:line="240" w:lineRule="auto"/>
              <w:ind w:left="0" w:firstLine="0"/>
              <w:outlineLvl w:val="9"/>
              <w:rPr>
                <w:rFonts w:ascii="Times New Roman" w:hAnsi="Times New Roman"/>
                <w:b w:val="0"/>
                <w:szCs w:val="22"/>
              </w:rPr>
            </w:pPr>
            <w:r w:rsidRPr="00630129">
              <w:rPr>
                <w:rFonts w:ascii="Times New Roman" w:hAnsi="Times New Roman"/>
                <w:b w:val="0"/>
                <w:szCs w:val="22"/>
              </w:rPr>
              <w:t>Accepted Bid-Offer Volume</w:t>
            </w:r>
          </w:p>
        </w:tc>
        <w:tc>
          <w:tcPr>
            <w:tcW w:w="1890" w:type="dxa"/>
            <w:tcMar>
              <w:top w:w="85" w:type="dxa"/>
              <w:left w:w="85" w:type="dxa"/>
              <w:bottom w:w="85" w:type="dxa"/>
              <w:right w:w="85" w:type="dxa"/>
            </w:tcMar>
          </w:tcPr>
          <w:p w14:paraId="37F5AD04"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proofErr w:type="spellStart"/>
            <w:r w:rsidRPr="00630129">
              <w:rPr>
                <w:rFonts w:ascii="Times New Roman" w:hAnsi="Times New Roman"/>
                <w:b w:val="0"/>
                <w:szCs w:val="22"/>
              </w:rPr>
              <w:t>qABO</w:t>
            </w:r>
            <w:r w:rsidRPr="00630129">
              <w:rPr>
                <w:rFonts w:ascii="Times New Roman" w:hAnsi="Times New Roman"/>
                <w:b w:val="0"/>
                <w:szCs w:val="22"/>
                <w:vertAlign w:val="superscript"/>
              </w:rPr>
              <w:t>kn</w:t>
            </w:r>
            <w:r w:rsidRPr="00630129">
              <w:rPr>
                <w:rFonts w:ascii="Times New Roman" w:hAnsi="Times New Roman"/>
                <w:b w:val="0"/>
                <w:szCs w:val="22"/>
                <w:vertAlign w:val="subscript"/>
              </w:rPr>
              <w:t>ij</w:t>
            </w:r>
            <w:proofErr w:type="spellEnd"/>
            <w:r w:rsidRPr="00630129">
              <w:rPr>
                <w:rFonts w:ascii="Times New Roman" w:hAnsi="Times New Roman"/>
                <w:b w:val="0"/>
                <w:szCs w:val="22"/>
              </w:rPr>
              <w:t xml:space="preserve">(t) </w:t>
            </w:r>
          </w:p>
        </w:tc>
        <w:tc>
          <w:tcPr>
            <w:tcW w:w="1080" w:type="dxa"/>
            <w:tcMar>
              <w:top w:w="85" w:type="dxa"/>
              <w:left w:w="85" w:type="dxa"/>
              <w:bottom w:w="85" w:type="dxa"/>
              <w:right w:w="85" w:type="dxa"/>
            </w:tcMar>
          </w:tcPr>
          <w:p w14:paraId="66FB4FF6"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r w:rsidRPr="00630129">
              <w:rPr>
                <w:rFonts w:ascii="Times New Roman" w:hAnsi="Times New Roman"/>
                <w:b w:val="0"/>
                <w:szCs w:val="22"/>
              </w:rPr>
              <w:t>MW</w:t>
            </w:r>
          </w:p>
        </w:tc>
        <w:tc>
          <w:tcPr>
            <w:tcW w:w="1890" w:type="dxa"/>
            <w:tcMar>
              <w:top w:w="85" w:type="dxa"/>
              <w:left w:w="85" w:type="dxa"/>
              <w:bottom w:w="85" w:type="dxa"/>
              <w:right w:w="85" w:type="dxa"/>
            </w:tcMar>
          </w:tcPr>
          <w:p w14:paraId="52378495"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vertAlign w:val="superscript"/>
              </w:rPr>
            </w:pPr>
            <w:proofErr w:type="spellStart"/>
            <w:r w:rsidRPr="00630129">
              <w:rPr>
                <w:rFonts w:ascii="Times New Roman" w:hAnsi="Times New Roman"/>
                <w:b w:val="0"/>
                <w:szCs w:val="22"/>
                <w:vertAlign w:val="superscript"/>
              </w:rPr>
              <w:t>f</w:t>
            </w:r>
            <w:r w:rsidRPr="00630129">
              <w:rPr>
                <w:rFonts w:ascii="Times New Roman" w:hAnsi="Times New Roman"/>
                <w:b w:val="0"/>
                <w:szCs w:val="22"/>
              </w:rPr>
              <w:t>qABO</w:t>
            </w:r>
            <w:r w:rsidRPr="00630129">
              <w:rPr>
                <w:rFonts w:ascii="Times New Roman" w:hAnsi="Times New Roman"/>
                <w:b w:val="0"/>
                <w:szCs w:val="22"/>
                <w:vertAlign w:val="superscript"/>
              </w:rPr>
              <w:t>kn</w:t>
            </w:r>
            <w:r w:rsidRPr="00630129">
              <w:rPr>
                <w:rFonts w:ascii="Times New Roman" w:hAnsi="Times New Roman"/>
                <w:b w:val="0"/>
                <w:szCs w:val="22"/>
                <w:vertAlign w:val="subscript"/>
              </w:rPr>
              <w:t>ijt</w:t>
            </w:r>
            <w:proofErr w:type="spellEnd"/>
            <w:r w:rsidRPr="00630129">
              <w:rPr>
                <w:rFonts w:ascii="Times New Roman" w:hAnsi="Times New Roman"/>
                <w:b w:val="0"/>
                <w:szCs w:val="22"/>
              </w:rPr>
              <w:t xml:space="preserve"> </w:t>
            </w:r>
          </w:p>
        </w:tc>
      </w:tr>
      <w:tr w:rsidR="00630129" w:rsidRPr="00630129" w14:paraId="5F98ADCA" w14:textId="77777777">
        <w:trPr>
          <w:cantSplit/>
        </w:trPr>
        <w:tc>
          <w:tcPr>
            <w:tcW w:w="2427" w:type="dxa"/>
            <w:tcMar>
              <w:top w:w="85" w:type="dxa"/>
              <w:left w:w="85" w:type="dxa"/>
              <w:bottom w:w="85" w:type="dxa"/>
              <w:right w:w="85" w:type="dxa"/>
            </w:tcMar>
          </w:tcPr>
          <w:p w14:paraId="341CAB00" w14:textId="77777777" w:rsidR="002A68CF" w:rsidRPr="00630129" w:rsidRDefault="001C7564">
            <w:pPr>
              <w:pStyle w:val="GlossaryTerm"/>
              <w:keepNext w:val="0"/>
              <w:keepLines w:val="0"/>
              <w:tabs>
                <w:tab w:val="clear" w:pos="1440"/>
              </w:tabs>
              <w:spacing w:line="240" w:lineRule="auto"/>
              <w:ind w:left="0" w:firstLine="0"/>
              <w:outlineLvl w:val="9"/>
              <w:rPr>
                <w:rFonts w:ascii="Times New Roman" w:hAnsi="Times New Roman"/>
                <w:b w:val="0"/>
                <w:szCs w:val="22"/>
              </w:rPr>
            </w:pPr>
            <w:r w:rsidRPr="00630129">
              <w:rPr>
                <w:rFonts w:ascii="Times New Roman" w:hAnsi="Times New Roman"/>
                <w:b w:val="0"/>
                <w:szCs w:val="22"/>
              </w:rPr>
              <w:t>Accepted Offer Volume</w:t>
            </w:r>
          </w:p>
        </w:tc>
        <w:tc>
          <w:tcPr>
            <w:tcW w:w="1890" w:type="dxa"/>
            <w:tcMar>
              <w:top w:w="85" w:type="dxa"/>
              <w:left w:w="85" w:type="dxa"/>
              <w:bottom w:w="85" w:type="dxa"/>
              <w:right w:w="85" w:type="dxa"/>
            </w:tcMar>
          </w:tcPr>
          <w:p w14:paraId="4AD8FE02"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proofErr w:type="spellStart"/>
            <w:r w:rsidRPr="00630129">
              <w:rPr>
                <w:rFonts w:ascii="Times New Roman" w:hAnsi="Times New Roman"/>
                <w:b w:val="0"/>
                <w:szCs w:val="22"/>
              </w:rPr>
              <w:t>qAO</w:t>
            </w:r>
            <w:r w:rsidRPr="00630129">
              <w:rPr>
                <w:rFonts w:ascii="Times New Roman" w:hAnsi="Times New Roman"/>
                <w:b w:val="0"/>
                <w:szCs w:val="22"/>
                <w:vertAlign w:val="superscript"/>
              </w:rPr>
              <w:t>kn</w:t>
            </w:r>
            <w:r w:rsidRPr="00630129">
              <w:rPr>
                <w:rFonts w:ascii="Times New Roman" w:hAnsi="Times New Roman"/>
                <w:b w:val="0"/>
                <w:szCs w:val="22"/>
                <w:vertAlign w:val="subscript"/>
              </w:rPr>
              <w:t>ij</w:t>
            </w:r>
            <w:proofErr w:type="spellEnd"/>
            <w:r w:rsidRPr="00630129">
              <w:rPr>
                <w:rFonts w:ascii="Times New Roman" w:hAnsi="Times New Roman"/>
                <w:b w:val="0"/>
                <w:szCs w:val="22"/>
              </w:rPr>
              <w:t>(t)</w:t>
            </w:r>
          </w:p>
        </w:tc>
        <w:tc>
          <w:tcPr>
            <w:tcW w:w="1080" w:type="dxa"/>
            <w:tcMar>
              <w:top w:w="85" w:type="dxa"/>
              <w:left w:w="85" w:type="dxa"/>
              <w:bottom w:w="85" w:type="dxa"/>
              <w:right w:w="85" w:type="dxa"/>
            </w:tcMar>
          </w:tcPr>
          <w:p w14:paraId="019578DC"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r w:rsidRPr="00630129">
              <w:rPr>
                <w:rFonts w:ascii="Times New Roman" w:hAnsi="Times New Roman"/>
                <w:b w:val="0"/>
                <w:szCs w:val="22"/>
              </w:rPr>
              <w:t>MW</w:t>
            </w:r>
          </w:p>
        </w:tc>
        <w:tc>
          <w:tcPr>
            <w:tcW w:w="1890" w:type="dxa"/>
            <w:tcMar>
              <w:top w:w="85" w:type="dxa"/>
              <w:left w:w="85" w:type="dxa"/>
              <w:bottom w:w="85" w:type="dxa"/>
              <w:right w:w="85" w:type="dxa"/>
            </w:tcMar>
          </w:tcPr>
          <w:p w14:paraId="5E4A3323"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vertAlign w:val="superscript"/>
              </w:rPr>
            </w:pPr>
            <w:proofErr w:type="spellStart"/>
            <w:r w:rsidRPr="00630129">
              <w:rPr>
                <w:rFonts w:ascii="Times New Roman" w:hAnsi="Times New Roman"/>
                <w:b w:val="0"/>
                <w:szCs w:val="22"/>
                <w:vertAlign w:val="superscript"/>
              </w:rPr>
              <w:t>f</w:t>
            </w:r>
            <w:r w:rsidRPr="00630129">
              <w:rPr>
                <w:rFonts w:ascii="Times New Roman" w:hAnsi="Times New Roman"/>
                <w:b w:val="0"/>
                <w:szCs w:val="22"/>
              </w:rPr>
              <w:t>qAO</w:t>
            </w:r>
            <w:r w:rsidRPr="00630129">
              <w:rPr>
                <w:rFonts w:ascii="Times New Roman" w:hAnsi="Times New Roman"/>
                <w:b w:val="0"/>
                <w:szCs w:val="22"/>
                <w:vertAlign w:val="superscript"/>
              </w:rPr>
              <w:t>kn</w:t>
            </w:r>
            <w:r w:rsidRPr="00630129">
              <w:rPr>
                <w:rFonts w:ascii="Times New Roman" w:hAnsi="Times New Roman"/>
                <w:b w:val="0"/>
                <w:szCs w:val="22"/>
                <w:vertAlign w:val="subscript"/>
              </w:rPr>
              <w:t>ijt</w:t>
            </w:r>
            <w:proofErr w:type="spellEnd"/>
          </w:p>
        </w:tc>
      </w:tr>
      <w:tr w:rsidR="00630129" w:rsidRPr="00630129" w14:paraId="255E534C" w14:textId="77777777">
        <w:trPr>
          <w:cantSplit/>
        </w:trPr>
        <w:tc>
          <w:tcPr>
            <w:tcW w:w="2427" w:type="dxa"/>
            <w:tcMar>
              <w:top w:w="85" w:type="dxa"/>
              <w:left w:w="85" w:type="dxa"/>
              <w:bottom w:w="85" w:type="dxa"/>
              <w:right w:w="85" w:type="dxa"/>
            </w:tcMar>
          </w:tcPr>
          <w:p w14:paraId="7F500F25" w14:textId="77777777" w:rsidR="002A68CF" w:rsidRPr="00630129" w:rsidRDefault="001C7564">
            <w:pPr>
              <w:pStyle w:val="GlossaryTerm"/>
              <w:keepNext w:val="0"/>
              <w:keepLines w:val="0"/>
              <w:tabs>
                <w:tab w:val="clear" w:pos="1440"/>
              </w:tabs>
              <w:spacing w:line="240" w:lineRule="auto"/>
              <w:ind w:left="0" w:firstLine="0"/>
              <w:outlineLvl w:val="9"/>
              <w:rPr>
                <w:rFonts w:ascii="Times New Roman" w:hAnsi="Times New Roman"/>
                <w:b w:val="0"/>
                <w:szCs w:val="22"/>
              </w:rPr>
            </w:pPr>
            <w:r w:rsidRPr="00630129">
              <w:rPr>
                <w:rFonts w:ascii="Times New Roman" w:hAnsi="Times New Roman"/>
                <w:b w:val="0"/>
                <w:szCs w:val="22"/>
              </w:rPr>
              <w:t>Bid-Offer Volume</w:t>
            </w:r>
          </w:p>
        </w:tc>
        <w:tc>
          <w:tcPr>
            <w:tcW w:w="1890" w:type="dxa"/>
            <w:tcMar>
              <w:top w:w="85" w:type="dxa"/>
              <w:left w:w="85" w:type="dxa"/>
              <w:bottom w:w="85" w:type="dxa"/>
              <w:right w:w="85" w:type="dxa"/>
            </w:tcMar>
          </w:tcPr>
          <w:p w14:paraId="3D620CCE"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proofErr w:type="spellStart"/>
            <w:r w:rsidRPr="00630129">
              <w:rPr>
                <w:rFonts w:ascii="Times New Roman" w:hAnsi="Times New Roman"/>
                <w:b w:val="0"/>
                <w:szCs w:val="22"/>
              </w:rPr>
              <w:t>qBO</w:t>
            </w:r>
            <w:r w:rsidRPr="00630129">
              <w:rPr>
                <w:rFonts w:ascii="Times New Roman" w:hAnsi="Times New Roman"/>
                <w:b w:val="0"/>
                <w:szCs w:val="22"/>
                <w:vertAlign w:val="superscript"/>
              </w:rPr>
              <w:t>n</w:t>
            </w:r>
            <w:r w:rsidRPr="00630129">
              <w:rPr>
                <w:rFonts w:ascii="Times New Roman" w:hAnsi="Times New Roman"/>
                <w:b w:val="0"/>
                <w:szCs w:val="22"/>
                <w:vertAlign w:val="subscript"/>
              </w:rPr>
              <w:t>ij</w:t>
            </w:r>
            <w:proofErr w:type="spellEnd"/>
            <w:r w:rsidRPr="00630129">
              <w:rPr>
                <w:rFonts w:ascii="Times New Roman" w:hAnsi="Times New Roman"/>
                <w:b w:val="0"/>
                <w:szCs w:val="22"/>
              </w:rPr>
              <w:t>(t)</w:t>
            </w:r>
          </w:p>
        </w:tc>
        <w:tc>
          <w:tcPr>
            <w:tcW w:w="1080" w:type="dxa"/>
            <w:tcMar>
              <w:top w:w="85" w:type="dxa"/>
              <w:left w:w="85" w:type="dxa"/>
              <w:bottom w:w="85" w:type="dxa"/>
              <w:right w:w="85" w:type="dxa"/>
            </w:tcMar>
          </w:tcPr>
          <w:p w14:paraId="7592192B"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r w:rsidRPr="00630129">
              <w:rPr>
                <w:rFonts w:ascii="Times New Roman" w:hAnsi="Times New Roman"/>
                <w:b w:val="0"/>
                <w:szCs w:val="22"/>
              </w:rPr>
              <w:t>MW</w:t>
            </w:r>
          </w:p>
        </w:tc>
        <w:tc>
          <w:tcPr>
            <w:tcW w:w="1890" w:type="dxa"/>
            <w:tcMar>
              <w:top w:w="85" w:type="dxa"/>
              <w:left w:w="85" w:type="dxa"/>
              <w:bottom w:w="85" w:type="dxa"/>
              <w:right w:w="85" w:type="dxa"/>
            </w:tcMar>
          </w:tcPr>
          <w:p w14:paraId="00DC7AC4"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vertAlign w:val="subscript"/>
              </w:rPr>
            </w:pPr>
            <w:proofErr w:type="spellStart"/>
            <w:r w:rsidRPr="00630129">
              <w:rPr>
                <w:rFonts w:ascii="Times New Roman" w:hAnsi="Times New Roman"/>
                <w:b w:val="0"/>
                <w:szCs w:val="22"/>
                <w:vertAlign w:val="superscript"/>
              </w:rPr>
              <w:t>f</w:t>
            </w:r>
            <w:r w:rsidRPr="00630129">
              <w:rPr>
                <w:rFonts w:ascii="Times New Roman" w:hAnsi="Times New Roman"/>
                <w:b w:val="0"/>
                <w:szCs w:val="22"/>
              </w:rPr>
              <w:t>qBO</w:t>
            </w:r>
            <w:r w:rsidRPr="00630129">
              <w:rPr>
                <w:rFonts w:ascii="Times New Roman" w:hAnsi="Times New Roman"/>
                <w:b w:val="0"/>
                <w:szCs w:val="22"/>
                <w:vertAlign w:val="superscript"/>
              </w:rPr>
              <w:t>n</w:t>
            </w:r>
            <w:r w:rsidRPr="00630129">
              <w:rPr>
                <w:rFonts w:ascii="Times New Roman" w:hAnsi="Times New Roman"/>
                <w:b w:val="0"/>
                <w:szCs w:val="22"/>
                <w:vertAlign w:val="subscript"/>
              </w:rPr>
              <w:t>ijt</w:t>
            </w:r>
            <w:proofErr w:type="spellEnd"/>
          </w:p>
        </w:tc>
      </w:tr>
      <w:tr w:rsidR="00630129" w:rsidRPr="00630129" w14:paraId="0189D6EF" w14:textId="77777777">
        <w:trPr>
          <w:cantSplit/>
        </w:trPr>
        <w:tc>
          <w:tcPr>
            <w:tcW w:w="2427" w:type="dxa"/>
            <w:tcMar>
              <w:top w:w="85" w:type="dxa"/>
              <w:left w:w="85" w:type="dxa"/>
              <w:bottom w:w="85" w:type="dxa"/>
              <w:right w:w="85" w:type="dxa"/>
            </w:tcMar>
          </w:tcPr>
          <w:p w14:paraId="2EAE56E4" w14:textId="77777777" w:rsidR="002A68CF" w:rsidRPr="00630129" w:rsidRDefault="001C7564">
            <w:pPr>
              <w:pStyle w:val="GlossaryTerm"/>
              <w:keepNext w:val="0"/>
              <w:keepLines w:val="0"/>
              <w:tabs>
                <w:tab w:val="clear" w:pos="1440"/>
              </w:tabs>
              <w:spacing w:line="240" w:lineRule="auto"/>
              <w:ind w:left="0" w:firstLine="0"/>
              <w:outlineLvl w:val="9"/>
              <w:rPr>
                <w:rFonts w:ascii="Times New Roman" w:hAnsi="Times New Roman"/>
                <w:b w:val="0"/>
                <w:szCs w:val="22"/>
              </w:rPr>
            </w:pPr>
            <w:r w:rsidRPr="00630129">
              <w:rPr>
                <w:rFonts w:ascii="Times New Roman" w:hAnsi="Times New Roman"/>
                <w:b w:val="0"/>
                <w:szCs w:val="22"/>
              </w:rPr>
              <w:t>FPN</w:t>
            </w:r>
          </w:p>
        </w:tc>
        <w:tc>
          <w:tcPr>
            <w:tcW w:w="1890" w:type="dxa"/>
            <w:tcMar>
              <w:top w:w="85" w:type="dxa"/>
              <w:left w:w="85" w:type="dxa"/>
              <w:bottom w:w="85" w:type="dxa"/>
              <w:right w:w="85" w:type="dxa"/>
            </w:tcMar>
          </w:tcPr>
          <w:p w14:paraId="7148245B"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proofErr w:type="spellStart"/>
            <w:r w:rsidRPr="00630129">
              <w:rPr>
                <w:rFonts w:ascii="Times New Roman" w:hAnsi="Times New Roman"/>
                <w:b w:val="0"/>
                <w:szCs w:val="22"/>
              </w:rPr>
              <w:t>FPN</w:t>
            </w:r>
            <w:r w:rsidRPr="00630129">
              <w:rPr>
                <w:rFonts w:ascii="Times New Roman" w:hAnsi="Times New Roman"/>
                <w:b w:val="0"/>
                <w:szCs w:val="22"/>
                <w:vertAlign w:val="subscript"/>
              </w:rPr>
              <w:t>ij</w:t>
            </w:r>
            <w:proofErr w:type="spellEnd"/>
            <w:r w:rsidRPr="00630129">
              <w:rPr>
                <w:rFonts w:ascii="Times New Roman" w:hAnsi="Times New Roman"/>
                <w:b w:val="0"/>
                <w:szCs w:val="22"/>
              </w:rPr>
              <w:t xml:space="preserve">(t) </w:t>
            </w:r>
          </w:p>
        </w:tc>
        <w:tc>
          <w:tcPr>
            <w:tcW w:w="1080" w:type="dxa"/>
            <w:tcMar>
              <w:top w:w="85" w:type="dxa"/>
              <w:left w:w="85" w:type="dxa"/>
              <w:bottom w:w="85" w:type="dxa"/>
              <w:right w:w="85" w:type="dxa"/>
            </w:tcMar>
          </w:tcPr>
          <w:p w14:paraId="77A7B01A"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r w:rsidRPr="00630129">
              <w:rPr>
                <w:rFonts w:ascii="Times New Roman" w:hAnsi="Times New Roman"/>
                <w:b w:val="0"/>
                <w:szCs w:val="22"/>
              </w:rPr>
              <w:t>MW</w:t>
            </w:r>
          </w:p>
        </w:tc>
        <w:tc>
          <w:tcPr>
            <w:tcW w:w="1890" w:type="dxa"/>
            <w:tcMar>
              <w:top w:w="85" w:type="dxa"/>
              <w:left w:w="85" w:type="dxa"/>
              <w:bottom w:w="85" w:type="dxa"/>
              <w:right w:w="85" w:type="dxa"/>
            </w:tcMar>
          </w:tcPr>
          <w:p w14:paraId="771BD366"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proofErr w:type="spellStart"/>
            <w:r w:rsidRPr="00630129">
              <w:rPr>
                <w:rFonts w:ascii="Times New Roman" w:hAnsi="Times New Roman"/>
                <w:b w:val="0"/>
                <w:szCs w:val="22"/>
                <w:vertAlign w:val="superscript"/>
              </w:rPr>
              <w:t>f</w:t>
            </w:r>
            <w:r w:rsidRPr="00630129">
              <w:rPr>
                <w:rFonts w:ascii="Times New Roman" w:hAnsi="Times New Roman"/>
                <w:b w:val="0"/>
                <w:szCs w:val="22"/>
              </w:rPr>
              <w:t>FPN</w:t>
            </w:r>
            <w:r w:rsidRPr="00630129">
              <w:rPr>
                <w:rFonts w:ascii="Times New Roman" w:hAnsi="Times New Roman"/>
                <w:b w:val="0"/>
                <w:szCs w:val="22"/>
                <w:vertAlign w:val="subscript"/>
              </w:rPr>
              <w:t>ijt</w:t>
            </w:r>
            <w:proofErr w:type="spellEnd"/>
            <w:r w:rsidRPr="00630129">
              <w:rPr>
                <w:rFonts w:ascii="Times New Roman" w:hAnsi="Times New Roman"/>
                <w:b w:val="0"/>
                <w:szCs w:val="22"/>
              </w:rPr>
              <w:t xml:space="preserve"> </w:t>
            </w:r>
          </w:p>
        </w:tc>
      </w:tr>
      <w:tr w:rsidR="002A68CF" w:rsidRPr="00630129" w14:paraId="34324940" w14:textId="77777777">
        <w:trPr>
          <w:cantSplit/>
        </w:trPr>
        <w:tc>
          <w:tcPr>
            <w:tcW w:w="2427" w:type="dxa"/>
            <w:tcMar>
              <w:top w:w="85" w:type="dxa"/>
              <w:left w:w="85" w:type="dxa"/>
              <w:bottom w:w="85" w:type="dxa"/>
              <w:right w:w="85" w:type="dxa"/>
            </w:tcMar>
          </w:tcPr>
          <w:p w14:paraId="20075170" w14:textId="77777777" w:rsidR="002A68CF" w:rsidRPr="00630129" w:rsidRDefault="001C7564">
            <w:pPr>
              <w:pStyle w:val="GlossaryTerm"/>
              <w:keepNext w:val="0"/>
              <w:keepLines w:val="0"/>
              <w:tabs>
                <w:tab w:val="clear" w:pos="1440"/>
              </w:tabs>
              <w:spacing w:line="240" w:lineRule="auto"/>
              <w:ind w:left="0" w:firstLine="0"/>
              <w:outlineLvl w:val="9"/>
              <w:rPr>
                <w:rFonts w:ascii="Times New Roman" w:hAnsi="Times New Roman"/>
                <w:b w:val="0"/>
                <w:szCs w:val="22"/>
              </w:rPr>
            </w:pPr>
            <w:r w:rsidRPr="00630129">
              <w:rPr>
                <w:rFonts w:ascii="Times New Roman" w:hAnsi="Times New Roman"/>
                <w:b w:val="0"/>
                <w:szCs w:val="22"/>
              </w:rPr>
              <w:t>Deemed Standard Product Shape</w:t>
            </w:r>
          </w:p>
        </w:tc>
        <w:tc>
          <w:tcPr>
            <w:tcW w:w="1890" w:type="dxa"/>
            <w:tcMar>
              <w:top w:w="85" w:type="dxa"/>
              <w:left w:w="85" w:type="dxa"/>
              <w:bottom w:w="85" w:type="dxa"/>
              <w:right w:w="85" w:type="dxa"/>
            </w:tcMar>
          </w:tcPr>
          <w:p w14:paraId="53CBFB85"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proofErr w:type="spellStart"/>
            <w:r w:rsidRPr="00630129">
              <w:rPr>
                <w:rFonts w:ascii="Times New Roman" w:hAnsi="Times New Roman"/>
                <w:b w:val="0"/>
                <w:szCs w:val="22"/>
              </w:rPr>
              <w:t>qDSP</w:t>
            </w:r>
            <w:r w:rsidRPr="00630129">
              <w:rPr>
                <w:rFonts w:ascii="Times New Roman" w:hAnsi="Times New Roman"/>
                <w:b w:val="0"/>
                <w:szCs w:val="22"/>
                <w:vertAlign w:val="superscript"/>
              </w:rPr>
              <w:t>J</w:t>
            </w:r>
            <w:r w:rsidRPr="00630129">
              <w:rPr>
                <w:rFonts w:ascii="Times New Roman" w:hAnsi="Times New Roman"/>
                <w:b w:val="0"/>
                <w:szCs w:val="22"/>
                <w:vertAlign w:val="subscript"/>
              </w:rPr>
              <w:t>ij</w:t>
            </w:r>
            <w:proofErr w:type="spellEnd"/>
            <w:r w:rsidRPr="00630129">
              <w:rPr>
                <w:rFonts w:ascii="Times New Roman" w:hAnsi="Times New Roman"/>
                <w:b w:val="0"/>
                <w:szCs w:val="22"/>
              </w:rPr>
              <w:t>(t)</w:t>
            </w:r>
          </w:p>
        </w:tc>
        <w:tc>
          <w:tcPr>
            <w:tcW w:w="1080" w:type="dxa"/>
            <w:tcMar>
              <w:top w:w="85" w:type="dxa"/>
              <w:left w:w="85" w:type="dxa"/>
              <w:bottom w:w="85" w:type="dxa"/>
              <w:right w:w="85" w:type="dxa"/>
            </w:tcMar>
          </w:tcPr>
          <w:p w14:paraId="537D0DBF"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rPr>
            </w:pPr>
            <w:r w:rsidRPr="00630129">
              <w:rPr>
                <w:rFonts w:ascii="Times New Roman" w:hAnsi="Times New Roman"/>
                <w:b w:val="0"/>
                <w:szCs w:val="22"/>
              </w:rPr>
              <w:t>MW</w:t>
            </w:r>
          </w:p>
        </w:tc>
        <w:tc>
          <w:tcPr>
            <w:tcW w:w="1890" w:type="dxa"/>
            <w:tcMar>
              <w:top w:w="85" w:type="dxa"/>
              <w:left w:w="85" w:type="dxa"/>
              <w:bottom w:w="85" w:type="dxa"/>
              <w:right w:w="85" w:type="dxa"/>
            </w:tcMar>
          </w:tcPr>
          <w:p w14:paraId="7F85343F" w14:textId="77777777" w:rsidR="002A68CF" w:rsidRPr="00630129" w:rsidRDefault="001C7564">
            <w:pPr>
              <w:pStyle w:val="GlossaryTerm"/>
              <w:keepNext w:val="0"/>
              <w:keepLines w:val="0"/>
              <w:tabs>
                <w:tab w:val="clear" w:pos="1440"/>
              </w:tabs>
              <w:spacing w:line="240" w:lineRule="auto"/>
              <w:ind w:left="0" w:firstLine="0"/>
              <w:jc w:val="both"/>
              <w:outlineLvl w:val="9"/>
              <w:rPr>
                <w:rFonts w:ascii="Times New Roman" w:hAnsi="Times New Roman"/>
                <w:b w:val="0"/>
                <w:szCs w:val="22"/>
                <w:vertAlign w:val="superscript"/>
              </w:rPr>
            </w:pPr>
            <w:proofErr w:type="spellStart"/>
            <w:r w:rsidRPr="00630129">
              <w:rPr>
                <w:rFonts w:ascii="Times New Roman" w:hAnsi="Times New Roman"/>
                <w:b w:val="0"/>
                <w:szCs w:val="22"/>
                <w:vertAlign w:val="superscript"/>
              </w:rPr>
              <w:t>f</w:t>
            </w:r>
            <w:r w:rsidRPr="00630129">
              <w:rPr>
                <w:rFonts w:ascii="Times New Roman" w:hAnsi="Times New Roman"/>
                <w:b w:val="0"/>
                <w:szCs w:val="22"/>
              </w:rPr>
              <w:t>DSP</w:t>
            </w:r>
            <w:r w:rsidRPr="00630129">
              <w:rPr>
                <w:rFonts w:ascii="Times New Roman" w:hAnsi="Times New Roman"/>
                <w:b w:val="0"/>
                <w:szCs w:val="22"/>
                <w:vertAlign w:val="superscript"/>
              </w:rPr>
              <w:t>J</w:t>
            </w:r>
            <w:r w:rsidRPr="00630129">
              <w:rPr>
                <w:rFonts w:ascii="Times New Roman" w:hAnsi="Times New Roman"/>
                <w:b w:val="0"/>
                <w:szCs w:val="22"/>
                <w:vertAlign w:val="subscript"/>
              </w:rPr>
              <w:t>ijt</w:t>
            </w:r>
            <w:proofErr w:type="spellEnd"/>
          </w:p>
        </w:tc>
      </w:tr>
    </w:tbl>
    <w:p w14:paraId="0830F98A" w14:textId="77777777" w:rsidR="002A68CF" w:rsidRPr="00630129" w:rsidRDefault="002A68CF">
      <w:pPr>
        <w:pStyle w:val="BodyTextIndent3"/>
        <w:tabs>
          <w:tab w:val="clear" w:pos="-720"/>
          <w:tab w:val="clear" w:pos="0"/>
          <w:tab w:val="clear" w:pos="720"/>
          <w:tab w:val="clear" w:pos="1440"/>
          <w:tab w:val="clear" w:pos="2160"/>
          <w:tab w:val="clear" w:pos="2977"/>
        </w:tabs>
        <w:suppressAutoHyphens w:val="0"/>
        <w:ind w:left="0" w:firstLine="0"/>
        <w:jc w:val="both"/>
        <w:rPr>
          <w:rFonts w:ascii="Times New Roman" w:hAnsi="Times New Roman"/>
          <w:sz w:val="22"/>
          <w:szCs w:val="22"/>
        </w:rPr>
      </w:pPr>
    </w:p>
    <w:p w14:paraId="59E1DC14"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sz w:val="22"/>
          <w:szCs w:val="22"/>
        </w:rPr>
      </w:pPr>
      <w:r w:rsidRPr="00630129">
        <w:rPr>
          <w:rFonts w:ascii="Times New Roman" w:hAnsi="Times New Roman"/>
          <w:sz w:val="22"/>
          <w:szCs w:val="22"/>
        </w:rPr>
        <w:t>4.5.2</w:t>
      </w:r>
      <w:r w:rsidRPr="00630129">
        <w:rPr>
          <w:rFonts w:ascii="Times New Roman" w:hAnsi="Times New Roman"/>
          <w:sz w:val="22"/>
          <w:szCs w:val="22"/>
        </w:rPr>
        <w:tab/>
        <w:t>Point variables for a particular parameter are normally used to calculate an associated function that is defined for all spot times in a Settlement Period, or in the time interval between such Point Variables. Such associated functions are expressed as a function of time F(t) and are calculated by linear interpolation from the point variables.</w:t>
      </w:r>
    </w:p>
    <w:p w14:paraId="48C4C6E7" w14:textId="77777777" w:rsidR="002A68CF" w:rsidRPr="00630129" w:rsidRDefault="001C7564">
      <w:pPr>
        <w:spacing w:after="220"/>
        <w:ind w:left="992" w:hanging="992"/>
        <w:jc w:val="both"/>
        <w:rPr>
          <w:sz w:val="22"/>
          <w:szCs w:val="22"/>
        </w:rPr>
      </w:pPr>
      <w:r w:rsidRPr="00630129">
        <w:rPr>
          <w:sz w:val="22"/>
          <w:szCs w:val="22"/>
        </w:rPr>
        <w:t>4.5.3</w:t>
      </w:r>
      <w:r w:rsidRPr="00630129">
        <w:rPr>
          <w:sz w:val="22"/>
          <w:szCs w:val="22"/>
        </w:rPr>
        <w:tab/>
        <w:t>Whenever linear interpolation is referred to, the procedures set out in paragraphs 4.5.4 shall be followed.</w:t>
      </w:r>
    </w:p>
    <w:p w14:paraId="400F6B60" w14:textId="77777777" w:rsidR="002A68CF" w:rsidRPr="00630129" w:rsidRDefault="001C7564" w:rsidP="00B87569">
      <w:pPr>
        <w:spacing w:after="220"/>
        <w:ind w:left="992" w:hanging="992"/>
        <w:jc w:val="both"/>
        <w:rPr>
          <w:sz w:val="22"/>
          <w:szCs w:val="22"/>
        </w:rPr>
      </w:pPr>
      <w:r w:rsidRPr="00630129">
        <w:rPr>
          <w:sz w:val="22"/>
          <w:szCs w:val="22"/>
        </w:rPr>
        <w:t>4.5.4</w:t>
      </w:r>
      <w:r w:rsidRPr="00630129">
        <w:rPr>
          <w:sz w:val="22"/>
          <w:szCs w:val="22"/>
        </w:rPr>
        <w:tab/>
        <w:t>Where for the purposes of the Code, a function of time F(t) is to be established by linear interpolation from a set of related pairs of spot values with point identification numbers and associated spot times t (each being a whole number of minutes) the following interpretation shall apply:</w:t>
      </w:r>
    </w:p>
    <w:p w14:paraId="2A972B73" w14:textId="77777777" w:rsidR="002A68CF" w:rsidRPr="00630129" w:rsidRDefault="001C7564">
      <w:pPr>
        <w:spacing w:after="220"/>
        <w:ind w:left="1984" w:hanging="992"/>
        <w:jc w:val="both"/>
        <w:rPr>
          <w:sz w:val="22"/>
          <w:szCs w:val="22"/>
        </w:rPr>
      </w:pPr>
      <w:r w:rsidRPr="00630129">
        <w:rPr>
          <w:sz w:val="22"/>
          <w:szCs w:val="22"/>
        </w:rPr>
        <w:t>(a)</w:t>
      </w:r>
      <w:r w:rsidRPr="00630129">
        <w:rPr>
          <w:sz w:val="22"/>
          <w:szCs w:val="22"/>
        </w:rPr>
        <w:tab/>
        <w:t xml:space="preserve">For a spot time </w:t>
      </w:r>
      <w:proofErr w:type="spellStart"/>
      <w:r w:rsidRPr="00630129">
        <w:rPr>
          <w:sz w:val="22"/>
          <w:szCs w:val="22"/>
        </w:rPr>
        <w:t>t</w:t>
      </w:r>
      <w:r w:rsidRPr="00630129">
        <w:rPr>
          <w:sz w:val="22"/>
          <w:szCs w:val="22"/>
          <w:vertAlign w:val="subscript"/>
        </w:rPr>
        <w:t>i</w:t>
      </w:r>
      <w:proofErr w:type="spellEnd"/>
      <w:r w:rsidRPr="00630129">
        <w:rPr>
          <w:sz w:val="22"/>
          <w:szCs w:val="22"/>
        </w:rPr>
        <w:t xml:space="preserve"> which is not a spot value contained in the set of related pairs, but which lies within the range of t spanned by the set of related pairs, the following formula shall be applied:</w:t>
      </w:r>
    </w:p>
    <w:p w14:paraId="046AB1FF" w14:textId="77777777" w:rsidR="002A68CF" w:rsidRPr="00630129" w:rsidRDefault="001C7564">
      <w:pPr>
        <w:spacing w:after="220"/>
        <w:ind w:left="1985"/>
        <w:jc w:val="both"/>
        <w:rPr>
          <w:sz w:val="22"/>
          <w:szCs w:val="22"/>
        </w:rPr>
      </w:pPr>
      <w:r w:rsidRPr="00630129">
        <w:rPr>
          <w:sz w:val="22"/>
          <w:szCs w:val="22"/>
        </w:rPr>
        <w:t>F(</w:t>
      </w:r>
      <w:proofErr w:type="spellStart"/>
      <w:r w:rsidRPr="00630129">
        <w:rPr>
          <w:sz w:val="22"/>
          <w:szCs w:val="22"/>
        </w:rPr>
        <w:t>t</w:t>
      </w:r>
      <w:r w:rsidRPr="00630129">
        <w:rPr>
          <w:sz w:val="22"/>
          <w:szCs w:val="22"/>
          <w:vertAlign w:val="subscript"/>
        </w:rPr>
        <w:t>i</w:t>
      </w:r>
      <w:proofErr w:type="spellEnd"/>
      <w:r w:rsidRPr="00630129">
        <w:rPr>
          <w:sz w:val="22"/>
          <w:szCs w:val="22"/>
        </w:rPr>
        <w:t xml:space="preserve">) = </w:t>
      </w:r>
      <w:r w:rsidRPr="00630129">
        <w:rPr>
          <w:sz w:val="22"/>
          <w:szCs w:val="22"/>
          <w:vertAlign w:val="superscript"/>
        </w:rPr>
        <w:t>H</w:t>
      </w:r>
      <w:r w:rsidRPr="00630129">
        <w:rPr>
          <w:sz w:val="22"/>
          <w:szCs w:val="22"/>
        </w:rPr>
        <w:t>F</w:t>
      </w:r>
      <w:r w:rsidRPr="00630129">
        <w:rPr>
          <w:sz w:val="22"/>
          <w:szCs w:val="22"/>
          <w:vertAlign w:val="subscript"/>
        </w:rPr>
        <w:t>t0</w:t>
      </w:r>
      <w:r w:rsidRPr="00630129">
        <w:rPr>
          <w:sz w:val="22"/>
          <w:szCs w:val="22"/>
        </w:rPr>
        <w:t xml:space="preserve"> + (</w:t>
      </w:r>
      <w:r w:rsidRPr="00630129">
        <w:rPr>
          <w:sz w:val="22"/>
          <w:szCs w:val="22"/>
          <w:vertAlign w:val="superscript"/>
        </w:rPr>
        <w:t>L</w:t>
      </w:r>
      <w:r w:rsidRPr="00630129">
        <w:rPr>
          <w:sz w:val="22"/>
          <w:szCs w:val="22"/>
        </w:rPr>
        <w:t>F</w:t>
      </w:r>
      <w:r w:rsidRPr="00630129">
        <w:rPr>
          <w:sz w:val="22"/>
          <w:szCs w:val="22"/>
          <w:vertAlign w:val="subscript"/>
        </w:rPr>
        <w:t>t1</w:t>
      </w:r>
      <w:r w:rsidRPr="00630129">
        <w:rPr>
          <w:sz w:val="22"/>
          <w:szCs w:val="22"/>
        </w:rPr>
        <w:t xml:space="preserve"> – </w:t>
      </w:r>
      <w:r w:rsidRPr="00630129">
        <w:rPr>
          <w:sz w:val="22"/>
          <w:szCs w:val="22"/>
          <w:vertAlign w:val="superscript"/>
        </w:rPr>
        <w:t>H</w:t>
      </w:r>
      <w:r w:rsidRPr="00630129">
        <w:rPr>
          <w:sz w:val="22"/>
          <w:szCs w:val="22"/>
        </w:rPr>
        <w:t>F</w:t>
      </w:r>
      <w:r w:rsidRPr="00630129">
        <w:rPr>
          <w:sz w:val="22"/>
          <w:szCs w:val="22"/>
          <w:vertAlign w:val="subscript"/>
        </w:rPr>
        <w:t>t0</w:t>
      </w:r>
      <w:r w:rsidRPr="00630129">
        <w:rPr>
          <w:sz w:val="22"/>
          <w:szCs w:val="22"/>
        </w:rPr>
        <w:t>)*(</w:t>
      </w:r>
      <w:proofErr w:type="spellStart"/>
      <w:r w:rsidRPr="00630129">
        <w:rPr>
          <w:sz w:val="22"/>
          <w:szCs w:val="22"/>
        </w:rPr>
        <w:t>t</w:t>
      </w:r>
      <w:r w:rsidRPr="00630129">
        <w:rPr>
          <w:sz w:val="22"/>
          <w:szCs w:val="22"/>
          <w:vertAlign w:val="subscript"/>
        </w:rPr>
        <w:t>i</w:t>
      </w:r>
      <w:proofErr w:type="spellEnd"/>
      <w:r w:rsidRPr="00630129">
        <w:rPr>
          <w:sz w:val="22"/>
          <w:szCs w:val="22"/>
        </w:rPr>
        <w:t xml:space="preserve"> – t</w:t>
      </w:r>
      <w:r w:rsidRPr="00630129">
        <w:rPr>
          <w:sz w:val="22"/>
          <w:szCs w:val="22"/>
          <w:vertAlign w:val="subscript"/>
        </w:rPr>
        <w:t>0</w:t>
      </w:r>
      <w:r w:rsidRPr="00630129">
        <w:rPr>
          <w:sz w:val="22"/>
          <w:szCs w:val="22"/>
        </w:rPr>
        <w:t>)/(t</w:t>
      </w:r>
      <w:r w:rsidRPr="00630129">
        <w:rPr>
          <w:sz w:val="22"/>
          <w:szCs w:val="22"/>
          <w:vertAlign w:val="subscript"/>
        </w:rPr>
        <w:t>1</w:t>
      </w:r>
      <w:r w:rsidRPr="00630129">
        <w:rPr>
          <w:sz w:val="22"/>
          <w:szCs w:val="22"/>
        </w:rPr>
        <w:t>–t</w:t>
      </w:r>
      <w:r w:rsidRPr="00630129">
        <w:rPr>
          <w:sz w:val="22"/>
          <w:szCs w:val="22"/>
          <w:vertAlign w:val="subscript"/>
        </w:rPr>
        <w:t>0</w:t>
      </w:r>
      <w:r w:rsidRPr="00630129">
        <w:rPr>
          <w:sz w:val="22"/>
          <w:szCs w:val="22"/>
        </w:rPr>
        <w:t>)</w:t>
      </w:r>
    </w:p>
    <w:p w14:paraId="0C3B479A" w14:textId="77777777" w:rsidR="002A68CF" w:rsidRPr="00630129" w:rsidRDefault="001C7564" w:rsidP="00AC5E97">
      <w:pPr>
        <w:spacing w:after="220"/>
        <w:ind w:left="992"/>
        <w:jc w:val="both"/>
        <w:rPr>
          <w:sz w:val="22"/>
          <w:szCs w:val="22"/>
        </w:rPr>
      </w:pPr>
      <w:r w:rsidRPr="00630129">
        <w:rPr>
          <w:sz w:val="22"/>
          <w:szCs w:val="22"/>
        </w:rPr>
        <w:t>where</w:t>
      </w:r>
    </w:p>
    <w:p w14:paraId="593688C1" w14:textId="77777777" w:rsidR="002A68CF" w:rsidRPr="00630129" w:rsidRDefault="001C7564">
      <w:pPr>
        <w:spacing w:after="220"/>
        <w:ind w:left="2977" w:hanging="992"/>
        <w:jc w:val="both"/>
        <w:rPr>
          <w:sz w:val="22"/>
          <w:szCs w:val="22"/>
        </w:rPr>
      </w:pPr>
      <w:r w:rsidRPr="00630129">
        <w:rPr>
          <w:sz w:val="22"/>
          <w:szCs w:val="22"/>
        </w:rPr>
        <w:t>t</w:t>
      </w:r>
      <w:r w:rsidRPr="00630129">
        <w:rPr>
          <w:sz w:val="22"/>
          <w:szCs w:val="22"/>
          <w:vertAlign w:val="subscript"/>
        </w:rPr>
        <w:t>0</w:t>
      </w:r>
      <w:r w:rsidRPr="00630129">
        <w:rPr>
          <w:sz w:val="22"/>
          <w:szCs w:val="22"/>
          <w:vertAlign w:val="subscript"/>
        </w:rPr>
        <w:tab/>
      </w:r>
      <w:r w:rsidRPr="00630129">
        <w:rPr>
          <w:sz w:val="22"/>
          <w:szCs w:val="22"/>
        </w:rPr>
        <w:t xml:space="preserve">refers to the value of t in that related pair in the set of related pairs in which </w:t>
      </w:r>
      <w:proofErr w:type="spellStart"/>
      <w:r w:rsidRPr="00630129">
        <w:rPr>
          <w:sz w:val="22"/>
          <w:szCs w:val="22"/>
        </w:rPr>
        <w:t>t</w:t>
      </w:r>
      <w:proofErr w:type="spellEnd"/>
      <w:r w:rsidRPr="00630129">
        <w:rPr>
          <w:sz w:val="22"/>
          <w:szCs w:val="22"/>
        </w:rPr>
        <w:t xml:space="preserve"> is less than </w:t>
      </w:r>
      <w:proofErr w:type="spellStart"/>
      <w:r w:rsidRPr="00630129">
        <w:rPr>
          <w:sz w:val="22"/>
          <w:szCs w:val="22"/>
        </w:rPr>
        <w:t>t</w:t>
      </w:r>
      <w:r w:rsidRPr="00630129">
        <w:rPr>
          <w:sz w:val="22"/>
          <w:szCs w:val="22"/>
          <w:vertAlign w:val="subscript"/>
        </w:rPr>
        <w:t>i</w:t>
      </w:r>
      <w:proofErr w:type="spellEnd"/>
      <w:r w:rsidRPr="00630129">
        <w:rPr>
          <w:sz w:val="22"/>
          <w:szCs w:val="22"/>
        </w:rPr>
        <w:t xml:space="preserve">, and where the t of the related pair is the closest t to </w:t>
      </w:r>
      <w:proofErr w:type="spellStart"/>
      <w:r w:rsidRPr="00630129">
        <w:rPr>
          <w:sz w:val="22"/>
          <w:szCs w:val="22"/>
        </w:rPr>
        <w:t>t</w:t>
      </w:r>
      <w:r w:rsidRPr="00630129">
        <w:rPr>
          <w:sz w:val="22"/>
          <w:szCs w:val="22"/>
          <w:vertAlign w:val="subscript"/>
        </w:rPr>
        <w:t>i</w:t>
      </w:r>
      <w:proofErr w:type="spellEnd"/>
      <w:r w:rsidRPr="00630129">
        <w:rPr>
          <w:sz w:val="22"/>
          <w:szCs w:val="22"/>
        </w:rPr>
        <w:t>.</w:t>
      </w:r>
    </w:p>
    <w:p w14:paraId="1C293B97" w14:textId="77777777" w:rsidR="002A68CF" w:rsidRPr="00630129" w:rsidRDefault="001C7564">
      <w:pPr>
        <w:spacing w:after="220"/>
        <w:ind w:left="2977" w:hanging="992"/>
        <w:jc w:val="both"/>
        <w:rPr>
          <w:sz w:val="22"/>
          <w:szCs w:val="22"/>
        </w:rPr>
      </w:pPr>
      <w:r w:rsidRPr="00630129">
        <w:rPr>
          <w:sz w:val="22"/>
          <w:szCs w:val="22"/>
        </w:rPr>
        <w:t>t</w:t>
      </w:r>
      <w:r w:rsidRPr="00630129">
        <w:rPr>
          <w:sz w:val="22"/>
          <w:szCs w:val="22"/>
          <w:vertAlign w:val="subscript"/>
        </w:rPr>
        <w:t>1</w:t>
      </w:r>
      <w:r w:rsidRPr="00630129">
        <w:rPr>
          <w:sz w:val="22"/>
          <w:szCs w:val="22"/>
          <w:vertAlign w:val="subscript"/>
        </w:rPr>
        <w:tab/>
      </w:r>
      <w:r w:rsidRPr="00630129">
        <w:rPr>
          <w:sz w:val="22"/>
          <w:szCs w:val="22"/>
        </w:rPr>
        <w:t xml:space="preserve">refers to the value of t in that related pair in the set of related pairs in which </w:t>
      </w:r>
      <w:proofErr w:type="spellStart"/>
      <w:r w:rsidRPr="00630129">
        <w:rPr>
          <w:sz w:val="22"/>
          <w:szCs w:val="22"/>
        </w:rPr>
        <w:t>t</w:t>
      </w:r>
      <w:proofErr w:type="spellEnd"/>
      <w:r w:rsidRPr="00630129">
        <w:rPr>
          <w:sz w:val="22"/>
          <w:szCs w:val="22"/>
        </w:rPr>
        <w:t xml:space="preserve"> is greater than </w:t>
      </w:r>
      <w:proofErr w:type="spellStart"/>
      <w:r w:rsidRPr="00630129">
        <w:rPr>
          <w:sz w:val="22"/>
          <w:szCs w:val="22"/>
        </w:rPr>
        <w:t>t</w:t>
      </w:r>
      <w:r w:rsidRPr="00630129">
        <w:rPr>
          <w:sz w:val="22"/>
          <w:szCs w:val="22"/>
          <w:vertAlign w:val="subscript"/>
        </w:rPr>
        <w:t>i</w:t>
      </w:r>
      <w:proofErr w:type="spellEnd"/>
      <w:r w:rsidRPr="00630129">
        <w:rPr>
          <w:sz w:val="22"/>
          <w:szCs w:val="22"/>
        </w:rPr>
        <w:t xml:space="preserve">, and where the t of the related pair is the closest t to </w:t>
      </w:r>
      <w:proofErr w:type="spellStart"/>
      <w:r w:rsidRPr="00630129">
        <w:rPr>
          <w:sz w:val="22"/>
          <w:szCs w:val="22"/>
        </w:rPr>
        <w:t>t</w:t>
      </w:r>
      <w:r w:rsidRPr="00630129">
        <w:rPr>
          <w:sz w:val="22"/>
          <w:szCs w:val="22"/>
          <w:vertAlign w:val="subscript"/>
        </w:rPr>
        <w:t>i</w:t>
      </w:r>
      <w:proofErr w:type="spellEnd"/>
      <w:r w:rsidR="00D60C79" w:rsidRPr="00630129">
        <w:rPr>
          <w:sz w:val="22"/>
          <w:szCs w:val="22"/>
        </w:rPr>
        <w:t>.</w:t>
      </w:r>
    </w:p>
    <w:p w14:paraId="74DFE3C6" w14:textId="77777777" w:rsidR="002A68CF" w:rsidRPr="00630129" w:rsidRDefault="001C7564">
      <w:pPr>
        <w:spacing w:after="220"/>
        <w:ind w:left="2977" w:hanging="992"/>
        <w:jc w:val="both"/>
        <w:rPr>
          <w:sz w:val="22"/>
          <w:szCs w:val="22"/>
        </w:rPr>
      </w:pPr>
      <w:r w:rsidRPr="00630129">
        <w:rPr>
          <w:sz w:val="22"/>
          <w:szCs w:val="22"/>
          <w:vertAlign w:val="superscript"/>
        </w:rPr>
        <w:lastRenderedPageBreak/>
        <w:t>H</w:t>
      </w:r>
      <w:r w:rsidRPr="00630129">
        <w:rPr>
          <w:sz w:val="22"/>
          <w:szCs w:val="22"/>
        </w:rPr>
        <w:t>F</w:t>
      </w:r>
      <w:r w:rsidRPr="00630129">
        <w:rPr>
          <w:sz w:val="22"/>
          <w:szCs w:val="22"/>
          <w:vertAlign w:val="subscript"/>
        </w:rPr>
        <w:t>t0</w:t>
      </w:r>
      <w:r w:rsidRPr="00630129">
        <w:rPr>
          <w:sz w:val="22"/>
          <w:szCs w:val="22"/>
          <w:vertAlign w:val="subscript"/>
        </w:rPr>
        <w:tab/>
      </w:r>
      <w:r w:rsidRPr="00630129">
        <w:rPr>
          <w:sz w:val="22"/>
          <w:szCs w:val="22"/>
        </w:rPr>
        <w:t xml:space="preserve">refers to the value of </w:t>
      </w:r>
      <w:proofErr w:type="spellStart"/>
      <w:r w:rsidRPr="00630129">
        <w:rPr>
          <w:sz w:val="22"/>
          <w:szCs w:val="22"/>
          <w:vertAlign w:val="superscript"/>
        </w:rPr>
        <w:t>f</w:t>
      </w:r>
      <w:r w:rsidRPr="00630129">
        <w:rPr>
          <w:sz w:val="22"/>
          <w:szCs w:val="22"/>
        </w:rPr>
        <w:t>F</w:t>
      </w:r>
      <w:r w:rsidRPr="00630129">
        <w:rPr>
          <w:sz w:val="22"/>
          <w:szCs w:val="22"/>
          <w:vertAlign w:val="subscript"/>
        </w:rPr>
        <w:t>t</w:t>
      </w:r>
      <w:proofErr w:type="spellEnd"/>
      <w:r w:rsidRPr="00630129">
        <w:rPr>
          <w:sz w:val="22"/>
          <w:szCs w:val="22"/>
        </w:rPr>
        <w:t xml:space="preserve"> related to t</w:t>
      </w:r>
      <w:r w:rsidRPr="00630129">
        <w:rPr>
          <w:sz w:val="22"/>
          <w:szCs w:val="22"/>
          <w:vertAlign w:val="subscript"/>
        </w:rPr>
        <w:t>0</w:t>
      </w:r>
      <w:r w:rsidRPr="00630129">
        <w:rPr>
          <w:sz w:val="22"/>
          <w:szCs w:val="22"/>
        </w:rPr>
        <w:t xml:space="preserve"> with the highest value of f; and</w:t>
      </w:r>
    </w:p>
    <w:p w14:paraId="4C320D8D" w14:textId="77777777" w:rsidR="002A68CF" w:rsidRPr="00630129" w:rsidRDefault="001C7564">
      <w:pPr>
        <w:spacing w:after="220"/>
        <w:ind w:left="2977" w:hanging="992"/>
        <w:jc w:val="both"/>
        <w:rPr>
          <w:sz w:val="22"/>
          <w:szCs w:val="22"/>
        </w:rPr>
      </w:pPr>
      <w:r w:rsidRPr="00630129">
        <w:rPr>
          <w:sz w:val="22"/>
          <w:szCs w:val="22"/>
          <w:vertAlign w:val="superscript"/>
        </w:rPr>
        <w:t>L</w:t>
      </w:r>
      <w:r w:rsidRPr="00630129">
        <w:rPr>
          <w:sz w:val="22"/>
          <w:szCs w:val="22"/>
        </w:rPr>
        <w:t>F</w:t>
      </w:r>
      <w:r w:rsidRPr="00630129">
        <w:rPr>
          <w:sz w:val="22"/>
          <w:szCs w:val="22"/>
          <w:vertAlign w:val="subscript"/>
        </w:rPr>
        <w:t>t1</w:t>
      </w:r>
      <w:r w:rsidRPr="00630129">
        <w:rPr>
          <w:sz w:val="22"/>
          <w:szCs w:val="22"/>
        </w:rPr>
        <w:t xml:space="preserve"> </w:t>
      </w:r>
      <w:r w:rsidRPr="00630129">
        <w:rPr>
          <w:sz w:val="22"/>
          <w:szCs w:val="22"/>
        </w:rPr>
        <w:tab/>
        <w:t xml:space="preserve">refers to the value of </w:t>
      </w:r>
      <w:proofErr w:type="spellStart"/>
      <w:r w:rsidRPr="00630129">
        <w:rPr>
          <w:sz w:val="22"/>
          <w:szCs w:val="22"/>
          <w:vertAlign w:val="superscript"/>
        </w:rPr>
        <w:t>f</w:t>
      </w:r>
      <w:r w:rsidRPr="00630129">
        <w:rPr>
          <w:sz w:val="22"/>
          <w:szCs w:val="22"/>
        </w:rPr>
        <w:t>F</w:t>
      </w:r>
      <w:r w:rsidRPr="00630129">
        <w:rPr>
          <w:sz w:val="22"/>
          <w:szCs w:val="22"/>
          <w:vertAlign w:val="subscript"/>
        </w:rPr>
        <w:t>t</w:t>
      </w:r>
      <w:proofErr w:type="spellEnd"/>
      <w:r w:rsidRPr="00630129">
        <w:rPr>
          <w:sz w:val="22"/>
          <w:szCs w:val="22"/>
        </w:rPr>
        <w:t xml:space="preserve"> related to t</w:t>
      </w:r>
      <w:r w:rsidRPr="00630129">
        <w:rPr>
          <w:sz w:val="22"/>
          <w:szCs w:val="22"/>
          <w:vertAlign w:val="subscript"/>
        </w:rPr>
        <w:t>1</w:t>
      </w:r>
      <w:r w:rsidR="00D60C79" w:rsidRPr="00630129">
        <w:rPr>
          <w:sz w:val="22"/>
          <w:szCs w:val="22"/>
        </w:rPr>
        <w:t xml:space="preserve"> with the lowest value of f.</w:t>
      </w:r>
    </w:p>
    <w:p w14:paraId="373EC658" w14:textId="77777777" w:rsidR="002A68CF" w:rsidRPr="00630129" w:rsidRDefault="001C7564">
      <w:pPr>
        <w:spacing w:after="220"/>
        <w:ind w:left="1984" w:hanging="992"/>
        <w:jc w:val="both"/>
        <w:rPr>
          <w:sz w:val="22"/>
          <w:szCs w:val="22"/>
        </w:rPr>
      </w:pPr>
      <w:r w:rsidRPr="00630129">
        <w:rPr>
          <w:sz w:val="22"/>
          <w:szCs w:val="22"/>
        </w:rPr>
        <w:t>(b)</w:t>
      </w:r>
      <w:r w:rsidRPr="00630129">
        <w:rPr>
          <w:sz w:val="22"/>
          <w:szCs w:val="22"/>
        </w:rPr>
        <w:tab/>
        <w:t xml:space="preserve">For a spot time </w:t>
      </w:r>
      <w:proofErr w:type="spellStart"/>
      <w:r w:rsidRPr="00630129">
        <w:rPr>
          <w:sz w:val="22"/>
          <w:szCs w:val="22"/>
        </w:rPr>
        <w:t>t</w:t>
      </w:r>
      <w:r w:rsidRPr="00630129">
        <w:rPr>
          <w:sz w:val="22"/>
          <w:szCs w:val="22"/>
          <w:vertAlign w:val="subscript"/>
        </w:rPr>
        <w:t>i</w:t>
      </w:r>
      <w:proofErr w:type="spellEnd"/>
      <w:r w:rsidRPr="00630129">
        <w:rPr>
          <w:sz w:val="22"/>
          <w:szCs w:val="22"/>
        </w:rPr>
        <w:t xml:space="preserve"> that is a value of t referred to in a related pair where a single value of </w:t>
      </w:r>
      <w:proofErr w:type="spellStart"/>
      <w:r w:rsidRPr="00630129">
        <w:rPr>
          <w:sz w:val="22"/>
          <w:szCs w:val="22"/>
          <w:vertAlign w:val="superscript"/>
        </w:rPr>
        <w:t>f</w:t>
      </w:r>
      <w:r w:rsidRPr="00630129">
        <w:rPr>
          <w:sz w:val="22"/>
          <w:szCs w:val="22"/>
        </w:rPr>
        <w:t>F</w:t>
      </w:r>
      <w:r w:rsidRPr="00630129">
        <w:rPr>
          <w:sz w:val="22"/>
          <w:szCs w:val="22"/>
          <w:vertAlign w:val="subscript"/>
        </w:rPr>
        <w:t>t</w:t>
      </w:r>
      <w:proofErr w:type="spellEnd"/>
      <w:r w:rsidRPr="00630129">
        <w:rPr>
          <w:sz w:val="22"/>
          <w:szCs w:val="22"/>
        </w:rPr>
        <w:t xml:space="preserve"> exists, the value of F(</w:t>
      </w:r>
      <w:proofErr w:type="spellStart"/>
      <w:r w:rsidRPr="00630129">
        <w:rPr>
          <w:sz w:val="22"/>
          <w:szCs w:val="22"/>
        </w:rPr>
        <w:t>t</w:t>
      </w:r>
      <w:r w:rsidRPr="00630129">
        <w:rPr>
          <w:sz w:val="22"/>
          <w:szCs w:val="22"/>
          <w:vertAlign w:val="subscript"/>
        </w:rPr>
        <w:t>i</w:t>
      </w:r>
      <w:proofErr w:type="spellEnd"/>
      <w:r w:rsidRPr="00630129">
        <w:rPr>
          <w:sz w:val="22"/>
          <w:szCs w:val="22"/>
        </w:rPr>
        <w:t xml:space="preserve">) shall be set to </w:t>
      </w:r>
      <w:proofErr w:type="spellStart"/>
      <w:r w:rsidRPr="00630129">
        <w:rPr>
          <w:sz w:val="22"/>
          <w:szCs w:val="22"/>
          <w:vertAlign w:val="superscript"/>
        </w:rPr>
        <w:t>f</w:t>
      </w:r>
      <w:r w:rsidRPr="00630129">
        <w:rPr>
          <w:sz w:val="22"/>
          <w:szCs w:val="22"/>
        </w:rPr>
        <w:t>F</w:t>
      </w:r>
      <w:r w:rsidRPr="00630129">
        <w:rPr>
          <w:sz w:val="22"/>
          <w:szCs w:val="22"/>
          <w:vertAlign w:val="subscript"/>
        </w:rPr>
        <w:t>ti</w:t>
      </w:r>
      <w:proofErr w:type="spellEnd"/>
      <w:r w:rsidRPr="00630129">
        <w:rPr>
          <w:sz w:val="22"/>
          <w:szCs w:val="22"/>
        </w:rPr>
        <w:t xml:space="preserve"> contained in that related pair.</w:t>
      </w:r>
    </w:p>
    <w:p w14:paraId="7E4BFBED" w14:textId="77777777" w:rsidR="002A68CF" w:rsidRPr="00630129" w:rsidRDefault="001C7564">
      <w:pPr>
        <w:spacing w:after="220"/>
        <w:ind w:left="1984" w:hanging="992"/>
        <w:jc w:val="both"/>
        <w:rPr>
          <w:sz w:val="22"/>
          <w:szCs w:val="22"/>
        </w:rPr>
      </w:pPr>
      <w:r w:rsidRPr="00630129">
        <w:rPr>
          <w:sz w:val="22"/>
          <w:szCs w:val="22"/>
        </w:rPr>
        <w:t>(c)</w:t>
      </w:r>
      <w:r w:rsidRPr="00630129">
        <w:rPr>
          <w:sz w:val="22"/>
          <w:szCs w:val="22"/>
        </w:rPr>
        <w:tab/>
        <w:t xml:space="preserve">For a spot time </w:t>
      </w:r>
      <w:proofErr w:type="spellStart"/>
      <w:r w:rsidRPr="00630129">
        <w:rPr>
          <w:sz w:val="22"/>
          <w:szCs w:val="22"/>
        </w:rPr>
        <w:t>t</w:t>
      </w:r>
      <w:r w:rsidRPr="00630129">
        <w:rPr>
          <w:sz w:val="22"/>
          <w:szCs w:val="22"/>
          <w:vertAlign w:val="subscript"/>
        </w:rPr>
        <w:t>i</w:t>
      </w:r>
      <w:proofErr w:type="spellEnd"/>
      <w:r w:rsidRPr="00630129">
        <w:rPr>
          <w:sz w:val="22"/>
          <w:szCs w:val="22"/>
        </w:rPr>
        <w:t xml:space="preserve"> that is a value of t referred to in a related pair where two values of </w:t>
      </w:r>
      <w:proofErr w:type="spellStart"/>
      <w:r w:rsidRPr="00630129">
        <w:rPr>
          <w:sz w:val="22"/>
          <w:szCs w:val="22"/>
          <w:vertAlign w:val="superscript"/>
        </w:rPr>
        <w:t>f</w:t>
      </w:r>
      <w:r w:rsidRPr="00630129">
        <w:rPr>
          <w:sz w:val="22"/>
          <w:szCs w:val="22"/>
        </w:rPr>
        <w:t>F</w:t>
      </w:r>
      <w:r w:rsidRPr="00630129">
        <w:rPr>
          <w:sz w:val="22"/>
          <w:szCs w:val="22"/>
          <w:vertAlign w:val="subscript"/>
        </w:rPr>
        <w:t>t</w:t>
      </w:r>
      <w:proofErr w:type="spellEnd"/>
      <w:r w:rsidRPr="00630129">
        <w:rPr>
          <w:sz w:val="22"/>
          <w:szCs w:val="22"/>
        </w:rPr>
        <w:t xml:space="preserve"> exist, the value of F(</w:t>
      </w:r>
      <w:proofErr w:type="spellStart"/>
      <w:r w:rsidRPr="00630129">
        <w:rPr>
          <w:sz w:val="22"/>
          <w:szCs w:val="22"/>
        </w:rPr>
        <w:t>t</w:t>
      </w:r>
      <w:r w:rsidRPr="00630129">
        <w:rPr>
          <w:sz w:val="22"/>
          <w:szCs w:val="22"/>
          <w:vertAlign w:val="subscript"/>
        </w:rPr>
        <w:t>i</w:t>
      </w:r>
      <w:proofErr w:type="spellEnd"/>
      <w:r w:rsidRPr="00630129">
        <w:rPr>
          <w:sz w:val="22"/>
          <w:szCs w:val="22"/>
        </w:rPr>
        <w:t xml:space="preserve">) shall (subject to 4.6.1(a)) and 4.6.1(b)) below) remain undefined for that time </w:t>
      </w:r>
      <w:proofErr w:type="spellStart"/>
      <w:r w:rsidRPr="00630129">
        <w:rPr>
          <w:sz w:val="22"/>
          <w:szCs w:val="22"/>
        </w:rPr>
        <w:t>t</w:t>
      </w:r>
      <w:r w:rsidRPr="00630129">
        <w:rPr>
          <w:sz w:val="22"/>
          <w:szCs w:val="22"/>
          <w:vertAlign w:val="subscript"/>
        </w:rPr>
        <w:t>i</w:t>
      </w:r>
      <w:proofErr w:type="spellEnd"/>
      <w:r w:rsidRPr="00630129">
        <w:rPr>
          <w:sz w:val="22"/>
          <w:szCs w:val="22"/>
        </w:rPr>
        <w:t>.</w:t>
      </w:r>
    </w:p>
    <w:p w14:paraId="440CAAC2"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992" w:hanging="992"/>
        <w:jc w:val="both"/>
        <w:rPr>
          <w:rFonts w:ascii="Times New Roman" w:hAnsi="Times New Roman"/>
          <w:b/>
          <w:sz w:val="22"/>
          <w:szCs w:val="22"/>
        </w:rPr>
      </w:pPr>
      <w:r w:rsidRPr="00630129">
        <w:rPr>
          <w:rFonts w:ascii="Times New Roman" w:hAnsi="Times New Roman"/>
          <w:b/>
          <w:sz w:val="22"/>
          <w:szCs w:val="22"/>
        </w:rPr>
        <w:t>4.6</w:t>
      </w:r>
      <w:r w:rsidRPr="00630129">
        <w:rPr>
          <w:rFonts w:ascii="Times New Roman" w:hAnsi="Times New Roman"/>
          <w:b/>
          <w:sz w:val="22"/>
          <w:szCs w:val="22"/>
        </w:rPr>
        <w:tab/>
        <w:t>Evaluation of Period Variables from Supplied and Interpolated Spot Variables</w:t>
      </w:r>
    </w:p>
    <w:p w14:paraId="34FFB177" w14:textId="77777777" w:rsidR="002A68CF" w:rsidRPr="00630129" w:rsidRDefault="001C7564">
      <w:pPr>
        <w:pStyle w:val="New1"/>
        <w:tabs>
          <w:tab w:val="clear" w:pos="720"/>
        </w:tabs>
        <w:spacing w:after="220"/>
        <w:ind w:left="992" w:hanging="992"/>
        <w:rPr>
          <w:b w:val="0"/>
          <w:sz w:val="22"/>
          <w:szCs w:val="22"/>
        </w:rPr>
      </w:pPr>
      <w:r w:rsidRPr="00630129">
        <w:rPr>
          <w:b w:val="0"/>
          <w:sz w:val="22"/>
          <w:szCs w:val="22"/>
        </w:rPr>
        <w:t>4.6.1</w:t>
      </w:r>
      <w:r w:rsidRPr="00630129">
        <w:rPr>
          <w:b w:val="0"/>
          <w:sz w:val="22"/>
          <w:szCs w:val="22"/>
        </w:rPr>
        <w:tab/>
        <w:t>Period Variables represent the integrated MWh value over the Settlement Period j. Period variables are evaluated as follows:</w:t>
      </w:r>
    </w:p>
    <w:p w14:paraId="5047E5AA" w14:textId="77777777" w:rsidR="002A68CF" w:rsidRPr="00630129" w:rsidRDefault="001C7564">
      <w:pPr>
        <w:pStyle w:val="New1"/>
        <w:tabs>
          <w:tab w:val="clear" w:pos="720"/>
        </w:tabs>
        <w:spacing w:after="220"/>
        <w:ind w:left="992"/>
        <w:rPr>
          <w:b w:val="0"/>
          <w:sz w:val="22"/>
          <w:szCs w:val="22"/>
        </w:rPr>
      </w:pPr>
      <w:r w:rsidRPr="00630129">
        <w:rPr>
          <w:b w:val="0"/>
          <w:sz w:val="22"/>
          <w:szCs w:val="22"/>
        </w:rPr>
        <w:t>The value of the Period Variable F</w:t>
      </w:r>
      <w:r w:rsidRPr="00630129">
        <w:rPr>
          <w:b w:val="0"/>
          <w:sz w:val="22"/>
          <w:szCs w:val="22"/>
          <w:vertAlign w:val="subscript"/>
        </w:rPr>
        <w:t>j</w:t>
      </w:r>
      <w:r w:rsidRPr="00630129">
        <w:rPr>
          <w:b w:val="0"/>
          <w:sz w:val="22"/>
          <w:szCs w:val="22"/>
        </w:rPr>
        <w:t xml:space="preserve"> for Settlement Period j, is determined by integrating the associated function of time F(t) with respect to time across the Settlement Period.</w:t>
      </w:r>
    </w:p>
    <w:p w14:paraId="714296E0" w14:textId="77777777" w:rsidR="002A68CF" w:rsidRPr="00630129" w:rsidRDefault="001C7564">
      <w:pPr>
        <w:pStyle w:val="New1"/>
        <w:tabs>
          <w:tab w:val="clear" w:pos="720"/>
        </w:tabs>
        <w:spacing w:after="220"/>
        <w:ind w:left="1984" w:hanging="992"/>
        <w:rPr>
          <w:b w:val="0"/>
          <w:sz w:val="22"/>
          <w:szCs w:val="22"/>
        </w:rPr>
      </w:pPr>
      <w:r w:rsidRPr="00630129">
        <w:rPr>
          <w:b w:val="0"/>
          <w:sz w:val="22"/>
          <w:szCs w:val="22"/>
        </w:rPr>
        <w:t>(a)</w:t>
      </w:r>
      <w:r w:rsidRPr="00630129">
        <w:rPr>
          <w:b w:val="0"/>
          <w:sz w:val="22"/>
          <w:szCs w:val="22"/>
        </w:rPr>
        <w:tab/>
        <w:t xml:space="preserve">Where the spot time </w:t>
      </w:r>
      <w:proofErr w:type="spellStart"/>
      <w:r w:rsidRPr="00630129">
        <w:rPr>
          <w:b w:val="0"/>
          <w:sz w:val="22"/>
          <w:szCs w:val="22"/>
        </w:rPr>
        <w:t>t</w:t>
      </w:r>
      <w:r w:rsidRPr="00630129">
        <w:rPr>
          <w:b w:val="0"/>
          <w:sz w:val="22"/>
          <w:szCs w:val="22"/>
          <w:vertAlign w:val="subscript"/>
        </w:rPr>
        <w:t>i</w:t>
      </w:r>
      <w:proofErr w:type="spellEnd"/>
      <w:r w:rsidRPr="00630129">
        <w:rPr>
          <w:b w:val="0"/>
          <w:sz w:val="22"/>
          <w:szCs w:val="22"/>
        </w:rPr>
        <w:t xml:space="preserve"> is the first spot time of the Settlement Period, the value of F(</w:t>
      </w:r>
      <w:proofErr w:type="spellStart"/>
      <w:r w:rsidRPr="00630129">
        <w:rPr>
          <w:b w:val="0"/>
          <w:sz w:val="22"/>
          <w:szCs w:val="22"/>
        </w:rPr>
        <w:t>t</w:t>
      </w:r>
      <w:r w:rsidRPr="00630129">
        <w:rPr>
          <w:b w:val="0"/>
          <w:sz w:val="22"/>
          <w:szCs w:val="22"/>
          <w:vertAlign w:val="subscript"/>
        </w:rPr>
        <w:t>i</w:t>
      </w:r>
      <w:proofErr w:type="spellEnd"/>
      <w:r w:rsidRPr="00630129">
        <w:rPr>
          <w:b w:val="0"/>
          <w:sz w:val="22"/>
          <w:szCs w:val="22"/>
        </w:rPr>
        <w:t xml:space="preserve">) shall be set to the value of </w:t>
      </w:r>
      <w:proofErr w:type="spellStart"/>
      <w:r w:rsidRPr="00630129">
        <w:rPr>
          <w:b w:val="0"/>
          <w:sz w:val="22"/>
          <w:szCs w:val="22"/>
          <w:vertAlign w:val="superscript"/>
        </w:rPr>
        <w:t>H</w:t>
      </w:r>
      <w:r w:rsidRPr="00630129">
        <w:rPr>
          <w:b w:val="0"/>
          <w:sz w:val="22"/>
          <w:szCs w:val="22"/>
        </w:rPr>
        <w:t>F</w:t>
      </w:r>
      <w:r w:rsidRPr="00630129">
        <w:rPr>
          <w:b w:val="0"/>
          <w:sz w:val="22"/>
          <w:szCs w:val="22"/>
          <w:vertAlign w:val="subscript"/>
        </w:rPr>
        <w:t>ti</w:t>
      </w:r>
      <w:proofErr w:type="spellEnd"/>
      <w:r w:rsidRPr="00630129">
        <w:rPr>
          <w:b w:val="0"/>
          <w:sz w:val="22"/>
          <w:szCs w:val="22"/>
        </w:rPr>
        <w:t xml:space="preserve"> for the purposes of evaluating the integral.</w:t>
      </w:r>
    </w:p>
    <w:p w14:paraId="22A313B3" w14:textId="77777777" w:rsidR="002A68CF" w:rsidRPr="00630129" w:rsidRDefault="001C7564">
      <w:pPr>
        <w:pStyle w:val="New1"/>
        <w:tabs>
          <w:tab w:val="clear" w:pos="720"/>
        </w:tabs>
        <w:spacing w:after="220"/>
        <w:ind w:left="1984" w:hanging="992"/>
        <w:rPr>
          <w:b w:val="0"/>
          <w:sz w:val="22"/>
          <w:szCs w:val="22"/>
        </w:rPr>
      </w:pPr>
      <w:r w:rsidRPr="00630129">
        <w:rPr>
          <w:b w:val="0"/>
          <w:sz w:val="22"/>
          <w:szCs w:val="22"/>
        </w:rPr>
        <w:t>(b)</w:t>
      </w:r>
      <w:r w:rsidRPr="00630129">
        <w:rPr>
          <w:b w:val="0"/>
          <w:sz w:val="22"/>
          <w:szCs w:val="22"/>
        </w:rPr>
        <w:tab/>
        <w:t xml:space="preserve">Where the spot time </w:t>
      </w:r>
      <w:proofErr w:type="spellStart"/>
      <w:r w:rsidRPr="00630129">
        <w:rPr>
          <w:b w:val="0"/>
          <w:sz w:val="22"/>
          <w:szCs w:val="22"/>
        </w:rPr>
        <w:t>t</w:t>
      </w:r>
      <w:r w:rsidRPr="00630129">
        <w:rPr>
          <w:b w:val="0"/>
          <w:sz w:val="22"/>
          <w:szCs w:val="22"/>
          <w:vertAlign w:val="subscript"/>
        </w:rPr>
        <w:t>i</w:t>
      </w:r>
      <w:proofErr w:type="spellEnd"/>
      <w:r w:rsidRPr="00630129">
        <w:rPr>
          <w:b w:val="0"/>
          <w:sz w:val="22"/>
          <w:szCs w:val="22"/>
        </w:rPr>
        <w:t xml:space="preserve"> is the last spot time of the Settlement Period, the value of F(</w:t>
      </w:r>
      <w:proofErr w:type="spellStart"/>
      <w:r w:rsidRPr="00630129">
        <w:rPr>
          <w:b w:val="0"/>
          <w:sz w:val="22"/>
          <w:szCs w:val="22"/>
        </w:rPr>
        <w:t>t</w:t>
      </w:r>
      <w:r w:rsidRPr="00630129">
        <w:rPr>
          <w:b w:val="0"/>
          <w:sz w:val="22"/>
          <w:szCs w:val="22"/>
          <w:vertAlign w:val="subscript"/>
        </w:rPr>
        <w:t>i</w:t>
      </w:r>
      <w:proofErr w:type="spellEnd"/>
      <w:r w:rsidRPr="00630129">
        <w:rPr>
          <w:b w:val="0"/>
          <w:sz w:val="22"/>
          <w:szCs w:val="22"/>
        </w:rPr>
        <w:t xml:space="preserve">) shall be set to the value of </w:t>
      </w:r>
      <w:proofErr w:type="spellStart"/>
      <w:r w:rsidRPr="00630129">
        <w:rPr>
          <w:b w:val="0"/>
          <w:sz w:val="22"/>
          <w:szCs w:val="22"/>
          <w:vertAlign w:val="superscript"/>
        </w:rPr>
        <w:t>L</w:t>
      </w:r>
      <w:r w:rsidRPr="00630129">
        <w:rPr>
          <w:b w:val="0"/>
          <w:sz w:val="22"/>
          <w:szCs w:val="22"/>
        </w:rPr>
        <w:t>F</w:t>
      </w:r>
      <w:r w:rsidRPr="00630129">
        <w:rPr>
          <w:b w:val="0"/>
          <w:sz w:val="22"/>
          <w:szCs w:val="22"/>
          <w:vertAlign w:val="subscript"/>
        </w:rPr>
        <w:t>ti</w:t>
      </w:r>
      <w:proofErr w:type="spellEnd"/>
      <w:r w:rsidRPr="00630129">
        <w:rPr>
          <w:b w:val="0"/>
          <w:sz w:val="22"/>
          <w:szCs w:val="22"/>
        </w:rPr>
        <w:t xml:space="preserve"> for the purposes of evaluating the integral.</w:t>
      </w:r>
    </w:p>
    <w:p w14:paraId="65378B79"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1984" w:hanging="992"/>
        <w:jc w:val="both"/>
        <w:rPr>
          <w:rFonts w:ascii="Times New Roman" w:hAnsi="Times New Roman"/>
          <w:sz w:val="22"/>
          <w:szCs w:val="22"/>
        </w:rPr>
      </w:pPr>
      <w:r w:rsidRPr="00630129">
        <w:rPr>
          <w:rFonts w:ascii="Times New Roman" w:hAnsi="Times New Roman"/>
          <w:sz w:val="22"/>
          <w:szCs w:val="22"/>
        </w:rPr>
        <w:t>(c)</w:t>
      </w:r>
      <w:r w:rsidRPr="00630129">
        <w:rPr>
          <w:rFonts w:ascii="Times New Roman" w:hAnsi="Times New Roman"/>
          <w:sz w:val="22"/>
          <w:szCs w:val="22"/>
        </w:rPr>
        <w:tab/>
        <w:t>Where for one or more spot time(s) (t</w:t>
      </w:r>
      <w:r w:rsidRPr="00630129">
        <w:rPr>
          <w:rFonts w:ascii="Times New Roman" w:hAnsi="Times New Roman"/>
          <w:sz w:val="22"/>
          <w:szCs w:val="22"/>
          <w:vertAlign w:val="subscript"/>
        </w:rPr>
        <w:t>1</w:t>
      </w:r>
      <w:r w:rsidRPr="00630129">
        <w:rPr>
          <w:rFonts w:ascii="Times New Roman" w:hAnsi="Times New Roman"/>
          <w:sz w:val="22"/>
          <w:szCs w:val="22"/>
        </w:rPr>
        <w:t>, t</w:t>
      </w:r>
      <w:r w:rsidRPr="00630129">
        <w:rPr>
          <w:rFonts w:ascii="Times New Roman" w:hAnsi="Times New Roman"/>
          <w:sz w:val="22"/>
          <w:szCs w:val="22"/>
          <w:vertAlign w:val="subscript"/>
        </w:rPr>
        <w:t>2</w:t>
      </w:r>
      <w:r w:rsidRPr="00630129">
        <w:rPr>
          <w:rFonts w:ascii="Times New Roman" w:hAnsi="Times New Roman"/>
          <w:sz w:val="22"/>
          <w:szCs w:val="22"/>
        </w:rPr>
        <w:t xml:space="preserve"> … </w:t>
      </w:r>
      <w:proofErr w:type="spellStart"/>
      <w:r w:rsidRPr="00630129">
        <w:rPr>
          <w:rFonts w:ascii="Times New Roman" w:hAnsi="Times New Roman"/>
          <w:sz w:val="22"/>
          <w:szCs w:val="22"/>
        </w:rPr>
        <w:t>t</w:t>
      </w:r>
      <w:r w:rsidRPr="00630129">
        <w:rPr>
          <w:rFonts w:ascii="Times New Roman" w:hAnsi="Times New Roman"/>
          <w:sz w:val="22"/>
          <w:szCs w:val="22"/>
          <w:vertAlign w:val="subscript"/>
        </w:rPr>
        <w:t>n</w:t>
      </w:r>
      <w:proofErr w:type="spellEnd"/>
      <w:r w:rsidRPr="00630129">
        <w:rPr>
          <w:rFonts w:ascii="Times New Roman" w:hAnsi="Times New Roman"/>
          <w:sz w:val="22"/>
          <w:szCs w:val="22"/>
        </w:rPr>
        <w:t>) falling within the Settlement Period, the value of F(</w:t>
      </w:r>
      <w:proofErr w:type="spellStart"/>
      <w:r w:rsidRPr="00630129">
        <w:rPr>
          <w:rFonts w:ascii="Times New Roman" w:hAnsi="Times New Roman"/>
          <w:sz w:val="22"/>
          <w:szCs w:val="22"/>
        </w:rPr>
        <w:t>t</w:t>
      </w:r>
      <w:r w:rsidRPr="00630129">
        <w:rPr>
          <w:rFonts w:ascii="Times New Roman" w:hAnsi="Times New Roman"/>
          <w:sz w:val="22"/>
          <w:szCs w:val="22"/>
          <w:vertAlign w:val="subscript"/>
        </w:rPr>
        <w:t>i</w:t>
      </w:r>
      <w:proofErr w:type="spellEnd"/>
      <w:r w:rsidRPr="00630129">
        <w:rPr>
          <w:rFonts w:ascii="Times New Roman" w:hAnsi="Times New Roman"/>
          <w:sz w:val="22"/>
          <w:szCs w:val="22"/>
        </w:rPr>
        <w:t xml:space="preserve">) remains undefined because two values of </w:t>
      </w:r>
      <w:proofErr w:type="spellStart"/>
      <w:r w:rsidRPr="00630129">
        <w:rPr>
          <w:rFonts w:ascii="Times New Roman" w:hAnsi="Times New Roman"/>
          <w:sz w:val="22"/>
          <w:szCs w:val="22"/>
          <w:vertAlign w:val="superscript"/>
        </w:rPr>
        <w:t>f</w:t>
      </w:r>
      <w:r w:rsidRPr="00630129">
        <w:rPr>
          <w:rFonts w:ascii="Times New Roman" w:hAnsi="Times New Roman"/>
          <w:sz w:val="22"/>
          <w:szCs w:val="22"/>
        </w:rPr>
        <w:t>F</w:t>
      </w:r>
      <w:r w:rsidRPr="00630129">
        <w:rPr>
          <w:rFonts w:ascii="Times New Roman" w:hAnsi="Times New Roman"/>
          <w:sz w:val="22"/>
          <w:szCs w:val="22"/>
          <w:vertAlign w:val="subscript"/>
        </w:rPr>
        <w:t>ti</w:t>
      </w:r>
      <w:proofErr w:type="spellEnd"/>
      <w:r w:rsidRPr="00630129">
        <w:rPr>
          <w:rFonts w:ascii="Times New Roman" w:hAnsi="Times New Roman"/>
          <w:sz w:val="22"/>
          <w:szCs w:val="22"/>
        </w:rPr>
        <w:t xml:space="preserve"> exist for those spot times, and the spot times are neither the first nor last spot times in the Settlement Period, the integral will be evaluated pursuant to 4.6.2.</w:t>
      </w:r>
    </w:p>
    <w:p w14:paraId="1EEE8BCF" w14:textId="77777777" w:rsidR="002A68CF" w:rsidRPr="00630129" w:rsidRDefault="001C7564">
      <w:pPr>
        <w:spacing w:after="220"/>
        <w:ind w:left="992" w:hanging="992"/>
        <w:jc w:val="both"/>
        <w:rPr>
          <w:sz w:val="22"/>
          <w:szCs w:val="22"/>
        </w:rPr>
      </w:pPr>
      <w:r w:rsidRPr="00630129">
        <w:rPr>
          <w:sz w:val="22"/>
          <w:szCs w:val="22"/>
        </w:rPr>
        <w:t>4.6.2</w:t>
      </w:r>
      <w:r w:rsidRPr="00630129">
        <w:rPr>
          <w:sz w:val="22"/>
          <w:szCs w:val="22"/>
        </w:rPr>
        <w:tab/>
        <w:t>The integral shall be evaluated as the sum of:</w:t>
      </w:r>
    </w:p>
    <w:p w14:paraId="4076386D" w14:textId="77777777" w:rsidR="002A68CF" w:rsidRPr="00630129" w:rsidRDefault="001C7564">
      <w:pPr>
        <w:spacing w:after="220"/>
        <w:ind w:left="1984" w:hanging="992"/>
        <w:jc w:val="both"/>
        <w:rPr>
          <w:sz w:val="22"/>
          <w:szCs w:val="22"/>
        </w:rPr>
      </w:pPr>
      <w:r w:rsidRPr="00630129">
        <w:rPr>
          <w:sz w:val="22"/>
          <w:szCs w:val="22"/>
        </w:rPr>
        <w:t>(a)</w:t>
      </w:r>
      <w:r w:rsidRPr="00630129">
        <w:rPr>
          <w:sz w:val="22"/>
          <w:szCs w:val="22"/>
        </w:rPr>
        <w:tab/>
        <w:t>the integral for the period from the first spot time of the Settlement Period to the spot time immediately preceding</w:t>
      </w:r>
      <w:r w:rsidR="00D60C79" w:rsidRPr="00630129">
        <w:rPr>
          <w:sz w:val="22"/>
          <w:szCs w:val="22"/>
        </w:rPr>
        <w:t xml:space="preserve"> the first such spot time; plus</w:t>
      </w:r>
    </w:p>
    <w:p w14:paraId="125F783B" w14:textId="77777777" w:rsidR="002A68CF" w:rsidRPr="00630129" w:rsidRDefault="001C7564">
      <w:pPr>
        <w:spacing w:after="220"/>
        <w:ind w:left="1984" w:hanging="992"/>
        <w:jc w:val="both"/>
        <w:rPr>
          <w:sz w:val="22"/>
          <w:szCs w:val="22"/>
        </w:rPr>
      </w:pPr>
      <w:r w:rsidRPr="00630129">
        <w:rPr>
          <w:sz w:val="22"/>
          <w:szCs w:val="22"/>
        </w:rPr>
        <w:t>(b)</w:t>
      </w:r>
      <w:r w:rsidRPr="00630129">
        <w:rPr>
          <w:sz w:val="22"/>
          <w:szCs w:val="22"/>
        </w:rPr>
        <w:tab/>
        <w:t>the integral from the spot time immediately succeeding the last such spot time to the last spot time</w:t>
      </w:r>
      <w:r w:rsidR="00D60C79" w:rsidRPr="00630129">
        <w:rPr>
          <w:sz w:val="22"/>
          <w:szCs w:val="22"/>
        </w:rPr>
        <w:t xml:space="preserve"> of the Settlement Period; plus</w:t>
      </w:r>
    </w:p>
    <w:p w14:paraId="73941F9C" w14:textId="77777777" w:rsidR="002A68CF" w:rsidRPr="00630129" w:rsidRDefault="001C7564">
      <w:pPr>
        <w:spacing w:after="220"/>
        <w:ind w:left="1984" w:hanging="992"/>
        <w:jc w:val="both"/>
        <w:rPr>
          <w:sz w:val="22"/>
          <w:szCs w:val="22"/>
        </w:rPr>
      </w:pPr>
      <w:r w:rsidRPr="00630129">
        <w:rPr>
          <w:sz w:val="22"/>
          <w:szCs w:val="22"/>
        </w:rPr>
        <w:t>(c)</w:t>
      </w:r>
      <w:r w:rsidRPr="00630129">
        <w:rPr>
          <w:sz w:val="22"/>
          <w:szCs w:val="22"/>
        </w:rPr>
        <w:tab/>
        <w:t>the integrals for each of the other periods within the Settlement Period, if any, defined by the interval between the spot time immediately succeeding any such spot time and the spot time immediately preceding the next such spot time.</w:t>
      </w:r>
    </w:p>
    <w:p w14:paraId="148D9C02" w14:textId="77777777" w:rsidR="002A68CF" w:rsidRPr="00630129" w:rsidRDefault="002A68CF">
      <w:pPr>
        <w:spacing w:after="220"/>
        <w:jc w:val="both"/>
        <w:rPr>
          <w:sz w:val="22"/>
          <w:szCs w:val="22"/>
        </w:rPr>
      </w:pPr>
    </w:p>
    <w:p w14:paraId="17A6C7C7" w14:textId="77777777" w:rsidR="002A68CF" w:rsidRPr="00630129" w:rsidRDefault="001C7564">
      <w:pPr>
        <w:pageBreakBefore/>
        <w:spacing w:after="220"/>
        <w:jc w:val="center"/>
        <w:rPr>
          <w:b/>
          <w:sz w:val="22"/>
          <w:szCs w:val="22"/>
        </w:rPr>
      </w:pPr>
      <w:r w:rsidRPr="00630129">
        <w:rPr>
          <w:b/>
          <w:sz w:val="22"/>
          <w:szCs w:val="22"/>
        </w:rPr>
        <w:lastRenderedPageBreak/>
        <w:t>Table X–1</w:t>
      </w:r>
    </w:p>
    <w:p w14:paraId="744AE8F8" w14:textId="77777777" w:rsidR="002A68CF" w:rsidRPr="00630129" w:rsidRDefault="001C7564">
      <w:pPr>
        <w:pStyle w:val="Lowercasea"/>
        <w:keepNext w:val="0"/>
        <w:keepLines w:val="0"/>
        <w:tabs>
          <w:tab w:val="clear" w:pos="-720"/>
          <w:tab w:val="clear" w:pos="0"/>
        </w:tabs>
        <w:suppressAutoHyphens w:val="0"/>
        <w:spacing w:after="220"/>
        <w:ind w:left="0" w:firstLine="0"/>
        <w:jc w:val="center"/>
        <w:rPr>
          <w:rFonts w:ascii="Times New Roman" w:hAnsi="Times New Roman"/>
          <w:b/>
          <w:sz w:val="22"/>
          <w:szCs w:val="22"/>
        </w:rPr>
      </w:pPr>
      <w:r w:rsidRPr="00630129">
        <w:rPr>
          <w:rFonts w:ascii="Times New Roman" w:hAnsi="Times New Roman"/>
          <w:b/>
          <w:sz w:val="22"/>
          <w:szCs w:val="22"/>
        </w:rPr>
        <w:t>Use of Subscripts and Superscripts Applying Except in Relation to Section S</w:t>
      </w:r>
    </w:p>
    <w:p w14:paraId="78D85D76"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0" w:firstLine="0"/>
        <w:jc w:val="both"/>
        <w:rPr>
          <w:rFonts w:ascii="Times New Roman" w:hAnsi="Times New Roman"/>
          <w:sz w:val="22"/>
          <w:szCs w:val="22"/>
        </w:rPr>
      </w:pPr>
      <w:r w:rsidRPr="00630129">
        <w:rPr>
          <w:rFonts w:ascii="Times New Roman" w:hAnsi="Times New Roman"/>
          <w:sz w:val="22"/>
          <w:szCs w:val="22"/>
        </w:rPr>
        <w:t>The following subscripts and superscripts are used in the formulae and other algebraic expressions contained in the Code to refer to the following:</w:t>
      </w:r>
    </w:p>
    <w:tbl>
      <w:tblPr>
        <w:tblStyle w:val="TableGrid"/>
        <w:tblW w:w="0" w:type="auto"/>
        <w:tblInd w:w="567" w:type="dxa"/>
        <w:tblLook w:val="04A0" w:firstRow="1" w:lastRow="0" w:firstColumn="1" w:lastColumn="0" w:noHBand="0" w:noVBand="1"/>
      </w:tblPr>
      <w:tblGrid>
        <w:gridCol w:w="1853"/>
        <w:gridCol w:w="6585"/>
      </w:tblGrid>
      <w:tr w:rsidR="00630129" w:rsidRPr="00630129" w14:paraId="69C10879" w14:textId="77777777">
        <w:trPr>
          <w:cantSplit/>
          <w:tblHeader/>
        </w:trPr>
        <w:tc>
          <w:tcPr>
            <w:tcW w:w="1853" w:type="dxa"/>
            <w:tcMar>
              <w:top w:w="85" w:type="dxa"/>
              <w:left w:w="85" w:type="dxa"/>
              <w:bottom w:w="85" w:type="dxa"/>
              <w:right w:w="85" w:type="dxa"/>
            </w:tcMar>
          </w:tcPr>
          <w:p w14:paraId="1F868350" w14:textId="77777777" w:rsidR="002A68CF" w:rsidRPr="00630129" w:rsidRDefault="001C7564">
            <w:pPr>
              <w:rPr>
                <w:b/>
                <w:sz w:val="22"/>
                <w:szCs w:val="22"/>
              </w:rPr>
            </w:pPr>
            <w:r w:rsidRPr="00630129">
              <w:rPr>
                <w:b/>
                <w:sz w:val="22"/>
                <w:szCs w:val="22"/>
              </w:rPr>
              <w:t>Symbol</w:t>
            </w:r>
          </w:p>
        </w:tc>
        <w:tc>
          <w:tcPr>
            <w:tcW w:w="6585" w:type="dxa"/>
            <w:tcMar>
              <w:top w:w="85" w:type="dxa"/>
              <w:left w:w="85" w:type="dxa"/>
              <w:bottom w:w="85" w:type="dxa"/>
              <w:right w:w="85" w:type="dxa"/>
            </w:tcMar>
          </w:tcPr>
          <w:p w14:paraId="066848E4" w14:textId="77777777" w:rsidR="002A68CF" w:rsidRPr="00630129" w:rsidRDefault="001C7564">
            <w:pPr>
              <w:rPr>
                <w:b/>
                <w:sz w:val="22"/>
                <w:szCs w:val="22"/>
              </w:rPr>
            </w:pPr>
            <w:r w:rsidRPr="00630129">
              <w:rPr>
                <w:b/>
                <w:sz w:val="22"/>
                <w:szCs w:val="22"/>
              </w:rPr>
              <w:t>Parameter</w:t>
            </w:r>
          </w:p>
        </w:tc>
      </w:tr>
      <w:tr w:rsidR="00630129" w:rsidRPr="00630129" w14:paraId="6DCE6100" w14:textId="77777777">
        <w:trPr>
          <w:cantSplit/>
        </w:trPr>
        <w:tc>
          <w:tcPr>
            <w:tcW w:w="1853" w:type="dxa"/>
            <w:tcMar>
              <w:top w:w="85" w:type="dxa"/>
              <w:left w:w="85" w:type="dxa"/>
              <w:bottom w:w="85" w:type="dxa"/>
              <w:right w:w="85" w:type="dxa"/>
            </w:tcMar>
          </w:tcPr>
          <w:p w14:paraId="2D6F0C42" w14:textId="77777777" w:rsidR="002A68CF" w:rsidRPr="00630129" w:rsidRDefault="001C7564">
            <w:pPr>
              <w:pStyle w:val="EndnoteText"/>
              <w:rPr>
                <w:sz w:val="22"/>
                <w:szCs w:val="22"/>
              </w:rPr>
            </w:pPr>
            <w:r w:rsidRPr="00630129">
              <w:rPr>
                <w:sz w:val="22"/>
                <w:szCs w:val="22"/>
              </w:rPr>
              <w:t>a</w:t>
            </w:r>
          </w:p>
        </w:tc>
        <w:tc>
          <w:tcPr>
            <w:tcW w:w="6585" w:type="dxa"/>
            <w:tcMar>
              <w:top w:w="85" w:type="dxa"/>
              <w:left w:w="85" w:type="dxa"/>
              <w:bottom w:w="85" w:type="dxa"/>
              <w:right w:w="85" w:type="dxa"/>
            </w:tcMar>
          </w:tcPr>
          <w:p w14:paraId="183614F3" w14:textId="77777777" w:rsidR="002A68CF" w:rsidRPr="00630129" w:rsidRDefault="001C7564">
            <w:pPr>
              <w:pStyle w:val="EndnoteText"/>
              <w:rPr>
                <w:sz w:val="22"/>
                <w:szCs w:val="22"/>
              </w:rPr>
            </w:pPr>
            <w:r w:rsidRPr="00630129">
              <w:rPr>
                <w:sz w:val="22"/>
                <w:szCs w:val="22"/>
              </w:rPr>
              <w:t>Energy Account / Virtual Balancing Account</w:t>
            </w:r>
          </w:p>
        </w:tc>
      </w:tr>
      <w:tr w:rsidR="00630129" w:rsidRPr="00630129" w14:paraId="34ABCA58" w14:textId="77777777">
        <w:trPr>
          <w:cantSplit/>
        </w:trPr>
        <w:tc>
          <w:tcPr>
            <w:tcW w:w="1853" w:type="dxa"/>
            <w:tcMar>
              <w:top w:w="85" w:type="dxa"/>
              <w:left w:w="85" w:type="dxa"/>
              <w:bottom w:w="85" w:type="dxa"/>
              <w:right w:w="85" w:type="dxa"/>
            </w:tcMar>
          </w:tcPr>
          <w:p w14:paraId="216C3C15" w14:textId="77777777" w:rsidR="002A68CF" w:rsidRPr="00630129" w:rsidRDefault="001C7564">
            <w:pPr>
              <w:pStyle w:val="EndnoteText"/>
              <w:rPr>
                <w:sz w:val="22"/>
                <w:szCs w:val="22"/>
              </w:rPr>
            </w:pPr>
            <w:r w:rsidRPr="00630129">
              <w:rPr>
                <w:sz w:val="22"/>
                <w:szCs w:val="22"/>
              </w:rPr>
              <w:t>b</w:t>
            </w:r>
          </w:p>
        </w:tc>
        <w:tc>
          <w:tcPr>
            <w:tcW w:w="6585" w:type="dxa"/>
            <w:tcMar>
              <w:top w:w="85" w:type="dxa"/>
              <w:left w:w="85" w:type="dxa"/>
              <w:bottom w:w="85" w:type="dxa"/>
              <w:right w:w="85" w:type="dxa"/>
            </w:tcMar>
          </w:tcPr>
          <w:p w14:paraId="5049A780" w14:textId="77777777" w:rsidR="002A68CF" w:rsidRPr="00630129" w:rsidRDefault="001C7564">
            <w:pPr>
              <w:pStyle w:val="EndnoteText"/>
              <w:rPr>
                <w:sz w:val="22"/>
                <w:szCs w:val="22"/>
              </w:rPr>
            </w:pPr>
            <w:r w:rsidRPr="00630129">
              <w:rPr>
                <w:sz w:val="22"/>
                <w:szCs w:val="22"/>
              </w:rPr>
              <w:t>Energy Account</w:t>
            </w:r>
          </w:p>
        </w:tc>
      </w:tr>
      <w:tr w:rsidR="00630129" w:rsidRPr="00630129" w14:paraId="5ADCE28C" w14:textId="77777777">
        <w:trPr>
          <w:cantSplit/>
        </w:trPr>
        <w:tc>
          <w:tcPr>
            <w:tcW w:w="1853" w:type="dxa"/>
            <w:tcMar>
              <w:top w:w="85" w:type="dxa"/>
              <w:left w:w="85" w:type="dxa"/>
              <w:bottom w:w="85" w:type="dxa"/>
              <w:right w:w="85" w:type="dxa"/>
            </w:tcMar>
          </w:tcPr>
          <w:p w14:paraId="3D7E5A93" w14:textId="77777777" w:rsidR="002A68CF" w:rsidRPr="00630129" w:rsidRDefault="001C7564">
            <w:pPr>
              <w:pStyle w:val="EndnoteText"/>
              <w:rPr>
                <w:sz w:val="22"/>
                <w:szCs w:val="22"/>
              </w:rPr>
            </w:pPr>
            <w:r w:rsidRPr="00630129">
              <w:rPr>
                <w:sz w:val="22"/>
                <w:szCs w:val="22"/>
              </w:rPr>
              <w:t>c</w:t>
            </w:r>
          </w:p>
        </w:tc>
        <w:tc>
          <w:tcPr>
            <w:tcW w:w="6585" w:type="dxa"/>
            <w:tcMar>
              <w:top w:w="85" w:type="dxa"/>
              <w:left w:w="85" w:type="dxa"/>
              <w:bottom w:w="85" w:type="dxa"/>
              <w:right w:w="85" w:type="dxa"/>
            </w:tcMar>
          </w:tcPr>
          <w:p w14:paraId="3365939E" w14:textId="77777777" w:rsidR="002A68CF" w:rsidRPr="00630129" w:rsidRDefault="001C7564">
            <w:pPr>
              <w:pStyle w:val="EndnoteText"/>
              <w:rPr>
                <w:sz w:val="22"/>
                <w:szCs w:val="22"/>
              </w:rPr>
            </w:pPr>
            <w:r w:rsidRPr="00630129">
              <w:rPr>
                <w:sz w:val="22"/>
                <w:szCs w:val="22"/>
              </w:rPr>
              <w:t>Demand Control Instruction</w:t>
            </w:r>
          </w:p>
        </w:tc>
      </w:tr>
      <w:tr w:rsidR="00630129" w:rsidRPr="00630129" w14:paraId="6C63AB28" w14:textId="77777777">
        <w:trPr>
          <w:cantSplit/>
        </w:trPr>
        <w:tc>
          <w:tcPr>
            <w:tcW w:w="1853" w:type="dxa"/>
            <w:tcMar>
              <w:top w:w="85" w:type="dxa"/>
              <w:left w:w="85" w:type="dxa"/>
              <w:bottom w:w="85" w:type="dxa"/>
              <w:right w:w="85" w:type="dxa"/>
            </w:tcMar>
          </w:tcPr>
          <w:p w14:paraId="66EC0001" w14:textId="77777777" w:rsidR="002A68CF" w:rsidRPr="00630129" w:rsidRDefault="001C7564">
            <w:pPr>
              <w:pStyle w:val="EndnoteText"/>
              <w:rPr>
                <w:sz w:val="22"/>
                <w:szCs w:val="22"/>
              </w:rPr>
            </w:pPr>
            <w:r w:rsidRPr="00630129">
              <w:rPr>
                <w:sz w:val="22"/>
                <w:szCs w:val="22"/>
              </w:rPr>
              <w:t>d</w:t>
            </w:r>
          </w:p>
        </w:tc>
        <w:tc>
          <w:tcPr>
            <w:tcW w:w="6585" w:type="dxa"/>
            <w:tcMar>
              <w:top w:w="85" w:type="dxa"/>
              <w:left w:w="85" w:type="dxa"/>
              <w:bottom w:w="85" w:type="dxa"/>
              <w:right w:w="85" w:type="dxa"/>
            </w:tcMar>
          </w:tcPr>
          <w:p w14:paraId="06C91CD4" w14:textId="77777777" w:rsidR="002A68CF" w:rsidRPr="00630129" w:rsidRDefault="001C7564">
            <w:pPr>
              <w:pStyle w:val="EndnoteText"/>
              <w:rPr>
                <w:sz w:val="22"/>
                <w:szCs w:val="22"/>
              </w:rPr>
            </w:pPr>
            <w:r w:rsidRPr="00630129">
              <w:rPr>
                <w:sz w:val="22"/>
                <w:szCs w:val="22"/>
              </w:rPr>
              <w:t>Day</w:t>
            </w:r>
          </w:p>
        </w:tc>
      </w:tr>
      <w:tr w:rsidR="00630129" w:rsidRPr="00630129" w14:paraId="6E06A3FA" w14:textId="77777777">
        <w:trPr>
          <w:cantSplit/>
        </w:trPr>
        <w:tc>
          <w:tcPr>
            <w:tcW w:w="1853" w:type="dxa"/>
            <w:tcMar>
              <w:top w:w="85" w:type="dxa"/>
              <w:left w:w="85" w:type="dxa"/>
              <w:bottom w:w="85" w:type="dxa"/>
              <w:right w:w="85" w:type="dxa"/>
            </w:tcMar>
          </w:tcPr>
          <w:p w14:paraId="46AA1BEF" w14:textId="77777777" w:rsidR="002A68CF" w:rsidRPr="00630129" w:rsidRDefault="001C7564">
            <w:pPr>
              <w:pStyle w:val="EndnoteText"/>
              <w:rPr>
                <w:sz w:val="22"/>
                <w:szCs w:val="22"/>
              </w:rPr>
            </w:pPr>
            <w:r w:rsidRPr="00630129">
              <w:rPr>
                <w:sz w:val="22"/>
                <w:szCs w:val="22"/>
              </w:rPr>
              <w:t>e</w:t>
            </w:r>
          </w:p>
        </w:tc>
        <w:tc>
          <w:tcPr>
            <w:tcW w:w="6585" w:type="dxa"/>
            <w:tcMar>
              <w:top w:w="85" w:type="dxa"/>
              <w:left w:w="85" w:type="dxa"/>
              <w:bottom w:w="85" w:type="dxa"/>
              <w:right w:w="85" w:type="dxa"/>
            </w:tcMar>
          </w:tcPr>
          <w:p w14:paraId="06FE8A27" w14:textId="77777777" w:rsidR="002A68CF" w:rsidRPr="00630129" w:rsidRDefault="001C7564">
            <w:pPr>
              <w:pStyle w:val="EndnoteText"/>
              <w:rPr>
                <w:sz w:val="22"/>
                <w:szCs w:val="22"/>
              </w:rPr>
            </w:pPr>
            <w:r w:rsidRPr="00630129">
              <w:rPr>
                <w:sz w:val="22"/>
                <w:szCs w:val="22"/>
              </w:rPr>
              <w:t>A particular order number of a ranked System Action</w:t>
            </w:r>
          </w:p>
        </w:tc>
      </w:tr>
      <w:tr w:rsidR="00630129" w:rsidRPr="00630129" w14:paraId="6584FD89" w14:textId="77777777">
        <w:trPr>
          <w:cantSplit/>
        </w:trPr>
        <w:tc>
          <w:tcPr>
            <w:tcW w:w="1853" w:type="dxa"/>
            <w:tcMar>
              <w:top w:w="85" w:type="dxa"/>
              <w:left w:w="85" w:type="dxa"/>
              <w:bottom w:w="85" w:type="dxa"/>
              <w:right w:w="85" w:type="dxa"/>
            </w:tcMar>
          </w:tcPr>
          <w:p w14:paraId="0FCD954D" w14:textId="77777777" w:rsidR="002A68CF" w:rsidRPr="00630129" w:rsidRDefault="001C7564">
            <w:pPr>
              <w:rPr>
                <w:sz w:val="22"/>
                <w:szCs w:val="22"/>
              </w:rPr>
            </w:pPr>
            <w:r w:rsidRPr="00630129">
              <w:rPr>
                <w:sz w:val="22"/>
                <w:szCs w:val="22"/>
              </w:rPr>
              <w:t>f</w:t>
            </w:r>
          </w:p>
        </w:tc>
        <w:tc>
          <w:tcPr>
            <w:tcW w:w="6585" w:type="dxa"/>
            <w:tcMar>
              <w:top w:w="85" w:type="dxa"/>
              <w:left w:w="85" w:type="dxa"/>
              <w:bottom w:w="85" w:type="dxa"/>
              <w:right w:w="85" w:type="dxa"/>
            </w:tcMar>
          </w:tcPr>
          <w:p w14:paraId="5CE5589A" w14:textId="77777777" w:rsidR="002A68CF" w:rsidRPr="00630129" w:rsidRDefault="001C7564">
            <w:pPr>
              <w:rPr>
                <w:sz w:val="22"/>
                <w:szCs w:val="22"/>
              </w:rPr>
            </w:pPr>
            <w:r w:rsidRPr="00630129">
              <w:rPr>
                <w:sz w:val="22"/>
                <w:szCs w:val="22"/>
              </w:rPr>
              <w:t>Point Value Identification Number</w:t>
            </w:r>
          </w:p>
        </w:tc>
      </w:tr>
      <w:tr w:rsidR="00630129" w:rsidRPr="00630129" w14:paraId="0B7510CE" w14:textId="77777777">
        <w:trPr>
          <w:cantSplit/>
        </w:trPr>
        <w:tc>
          <w:tcPr>
            <w:tcW w:w="1853" w:type="dxa"/>
            <w:tcMar>
              <w:top w:w="85" w:type="dxa"/>
              <w:left w:w="85" w:type="dxa"/>
              <w:bottom w:w="85" w:type="dxa"/>
              <w:right w:w="85" w:type="dxa"/>
            </w:tcMar>
          </w:tcPr>
          <w:p w14:paraId="39FF58B2" w14:textId="77777777" w:rsidR="002A68CF" w:rsidRPr="00630129" w:rsidRDefault="001C7564">
            <w:pPr>
              <w:rPr>
                <w:sz w:val="22"/>
                <w:szCs w:val="22"/>
              </w:rPr>
            </w:pPr>
            <w:r w:rsidRPr="00630129">
              <w:rPr>
                <w:sz w:val="22"/>
                <w:szCs w:val="22"/>
              </w:rPr>
              <w:t>g</w:t>
            </w:r>
          </w:p>
        </w:tc>
        <w:tc>
          <w:tcPr>
            <w:tcW w:w="6585" w:type="dxa"/>
            <w:tcMar>
              <w:top w:w="85" w:type="dxa"/>
              <w:left w:w="85" w:type="dxa"/>
              <w:bottom w:w="85" w:type="dxa"/>
              <w:right w:w="85" w:type="dxa"/>
            </w:tcMar>
          </w:tcPr>
          <w:p w14:paraId="13FA7C09" w14:textId="77777777" w:rsidR="002A68CF" w:rsidRPr="00630129" w:rsidRDefault="001C7564">
            <w:pPr>
              <w:rPr>
                <w:sz w:val="22"/>
                <w:szCs w:val="22"/>
              </w:rPr>
            </w:pPr>
            <w:r w:rsidRPr="00630129">
              <w:rPr>
                <w:sz w:val="22"/>
                <w:szCs w:val="22"/>
              </w:rPr>
              <w:t>A particular System Action</w:t>
            </w:r>
          </w:p>
        </w:tc>
      </w:tr>
      <w:tr w:rsidR="00630129" w:rsidRPr="00630129" w14:paraId="069FB9D7" w14:textId="77777777">
        <w:trPr>
          <w:cantSplit/>
        </w:trPr>
        <w:tc>
          <w:tcPr>
            <w:tcW w:w="1853" w:type="dxa"/>
            <w:tcMar>
              <w:top w:w="85" w:type="dxa"/>
              <w:left w:w="85" w:type="dxa"/>
              <w:bottom w:w="85" w:type="dxa"/>
              <w:right w:w="85" w:type="dxa"/>
            </w:tcMar>
          </w:tcPr>
          <w:p w14:paraId="251276C5" w14:textId="77777777" w:rsidR="002A68CF" w:rsidRPr="00630129" w:rsidRDefault="001C7564">
            <w:pPr>
              <w:rPr>
                <w:sz w:val="22"/>
                <w:szCs w:val="22"/>
              </w:rPr>
            </w:pPr>
            <w:r w:rsidRPr="00630129">
              <w:rPr>
                <w:sz w:val="22"/>
                <w:szCs w:val="22"/>
              </w:rPr>
              <w:t>H</w:t>
            </w:r>
          </w:p>
        </w:tc>
        <w:tc>
          <w:tcPr>
            <w:tcW w:w="6585" w:type="dxa"/>
            <w:tcMar>
              <w:top w:w="85" w:type="dxa"/>
              <w:left w:w="85" w:type="dxa"/>
              <w:bottom w:w="85" w:type="dxa"/>
              <w:right w:w="85" w:type="dxa"/>
            </w:tcMar>
          </w:tcPr>
          <w:p w14:paraId="5063256D" w14:textId="77777777" w:rsidR="002A68CF" w:rsidRPr="00630129" w:rsidRDefault="001C7564">
            <w:pPr>
              <w:rPr>
                <w:sz w:val="22"/>
                <w:szCs w:val="22"/>
              </w:rPr>
            </w:pPr>
            <w:r w:rsidRPr="00630129">
              <w:rPr>
                <w:sz w:val="22"/>
                <w:szCs w:val="22"/>
              </w:rPr>
              <w:t xml:space="preserve">The higher of two Point Value Identification Numbers f, specified at the same time t for function </w:t>
            </w:r>
            <w:proofErr w:type="spellStart"/>
            <w:r w:rsidRPr="00630129">
              <w:rPr>
                <w:sz w:val="22"/>
                <w:szCs w:val="22"/>
                <w:vertAlign w:val="superscript"/>
              </w:rPr>
              <w:t>f</w:t>
            </w:r>
            <w:r w:rsidRPr="00630129">
              <w:rPr>
                <w:sz w:val="22"/>
                <w:szCs w:val="22"/>
              </w:rPr>
              <w:t>F</w:t>
            </w:r>
            <w:proofErr w:type="spellEnd"/>
            <w:r w:rsidRPr="00630129">
              <w:rPr>
                <w:sz w:val="22"/>
                <w:szCs w:val="22"/>
              </w:rPr>
              <w:t>(t)</w:t>
            </w:r>
          </w:p>
        </w:tc>
      </w:tr>
      <w:tr w:rsidR="00630129" w:rsidRPr="00630129" w14:paraId="07011287" w14:textId="77777777">
        <w:trPr>
          <w:cantSplit/>
        </w:trPr>
        <w:tc>
          <w:tcPr>
            <w:tcW w:w="1853" w:type="dxa"/>
            <w:tcMar>
              <w:top w:w="85" w:type="dxa"/>
              <w:left w:w="85" w:type="dxa"/>
              <w:bottom w:w="85" w:type="dxa"/>
              <w:right w:w="85" w:type="dxa"/>
            </w:tcMar>
          </w:tcPr>
          <w:p w14:paraId="38A92E85" w14:textId="77777777" w:rsidR="002A68CF" w:rsidRPr="00630129" w:rsidRDefault="001C7564">
            <w:pPr>
              <w:rPr>
                <w:sz w:val="22"/>
                <w:szCs w:val="22"/>
              </w:rPr>
            </w:pPr>
            <w:proofErr w:type="spellStart"/>
            <w:r w:rsidRPr="00630129">
              <w:rPr>
                <w:sz w:val="22"/>
                <w:szCs w:val="22"/>
              </w:rPr>
              <w:t>i</w:t>
            </w:r>
            <w:proofErr w:type="spellEnd"/>
          </w:p>
        </w:tc>
        <w:tc>
          <w:tcPr>
            <w:tcW w:w="6585" w:type="dxa"/>
            <w:tcMar>
              <w:top w:w="85" w:type="dxa"/>
              <w:left w:w="85" w:type="dxa"/>
              <w:bottom w:w="85" w:type="dxa"/>
              <w:right w:w="85" w:type="dxa"/>
            </w:tcMar>
          </w:tcPr>
          <w:p w14:paraId="4D6A6DBF" w14:textId="77777777" w:rsidR="002A68CF" w:rsidRPr="00630129" w:rsidRDefault="001C7564">
            <w:pPr>
              <w:rPr>
                <w:sz w:val="22"/>
                <w:szCs w:val="22"/>
              </w:rPr>
            </w:pPr>
            <w:r w:rsidRPr="00630129">
              <w:rPr>
                <w:sz w:val="22"/>
                <w:szCs w:val="22"/>
              </w:rPr>
              <w:t>BM Unit</w:t>
            </w:r>
          </w:p>
        </w:tc>
      </w:tr>
      <w:tr w:rsidR="00630129" w:rsidRPr="00630129" w14:paraId="1A6F278C" w14:textId="77777777">
        <w:trPr>
          <w:cantSplit/>
        </w:trPr>
        <w:tc>
          <w:tcPr>
            <w:tcW w:w="1853" w:type="dxa"/>
            <w:tcMar>
              <w:top w:w="85" w:type="dxa"/>
              <w:left w:w="85" w:type="dxa"/>
              <w:bottom w:w="85" w:type="dxa"/>
              <w:right w:w="85" w:type="dxa"/>
            </w:tcMar>
          </w:tcPr>
          <w:p w14:paraId="4F308C39" w14:textId="77777777" w:rsidR="002A68CF" w:rsidRPr="00630129" w:rsidRDefault="001C7564">
            <w:pPr>
              <w:rPr>
                <w:sz w:val="22"/>
                <w:szCs w:val="22"/>
              </w:rPr>
            </w:pPr>
            <w:r w:rsidRPr="00630129">
              <w:rPr>
                <w:sz w:val="22"/>
                <w:szCs w:val="22"/>
              </w:rPr>
              <w:t>j</w:t>
            </w:r>
          </w:p>
        </w:tc>
        <w:tc>
          <w:tcPr>
            <w:tcW w:w="6585" w:type="dxa"/>
            <w:tcMar>
              <w:top w:w="85" w:type="dxa"/>
              <w:left w:w="85" w:type="dxa"/>
              <w:bottom w:w="85" w:type="dxa"/>
              <w:right w:w="85" w:type="dxa"/>
            </w:tcMar>
          </w:tcPr>
          <w:p w14:paraId="148055FB" w14:textId="77777777" w:rsidR="002A68CF" w:rsidRPr="00630129" w:rsidRDefault="001C7564">
            <w:pPr>
              <w:rPr>
                <w:sz w:val="22"/>
                <w:szCs w:val="22"/>
              </w:rPr>
            </w:pPr>
            <w:r w:rsidRPr="00630129">
              <w:rPr>
                <w:sz w:val="22"/>
                <w:szCs w:val="22"/>
              </w:rPr>
              <w:t>Settlement Period</w:t>
            </w:r>
          </w:p>
        </w:tc>
      </w:tr>
      <w:tr w:rsidR="00630129" w:rsidRPr="00630129" w14:paraId="5631F087" w14:textId="77777777">
        <w:trPr>
          <w:cantSplit/>
        </w:trPr>
        <w:tc>
          <w:tcPr>
            <w:tcW w:w="1853" w:type="dxa"/>
            <w:tcMar>
              <w:top w:w="85" w:type="dxa"/>
              <w:left w:w="85" w:type="dxa"/>
              <w:bottom w:w="85" w:type="dxa"/>
              <w:right w:w="85" w:type="dxa"/>
            </w:tcMar>
          </w:tcPr>
          <w:p w14:paraId="354CE387" w14:textId="77777777" w:rsidR="002A68CF" w:rsidRPr="00630129" w:rsidRDefault="001C7564">
            <w:pPr>
              <w:rPr>
                <w:sz w:val="22"/>
                <w:szCs w:val="22"/>
              </w:rPr>
            </w:pPr>
            <w:r w:rsidRPr="00630129">
              <w:rPr>
                <w:sz w:val="22"/>
                <w:szCs w:val="22"/>
              </w:rPr>
              <w:t>J</w:t>
            </w:r>
          </w:p>
        </w:tc>
        <w:tc>
          <w:tcPr>
            <w:tcW w:w="6585" w:type="dxa"/>
            <w:tcMar>
              <w:top w:w="85" w:type="dxa"/>
              <w:left w:w="85" w:type="dxa"/>
              <w:bottom w:w="85" w:type="dxa"/>
              <w:right w:w="85" w:type="dxa"/>
            </w:tcMar>
          </w:tcPr>
          <w:p w14:paraId="61C17853" w14:textId="77777777" w:rsidR="002A68CF" w:rsidRPr="00630129" w:rsidRDefault="001C7564">
            <w:pPr>
              <w:rPr>
                <w:sz w:val="22"/>
                <w:szCs w:val="22"/>
              </w:rPr>
            </w:pPr>
            <w:r w:rsidRPr="00630129">
              <w:rPr>
                <w:sz w:val="22"/>
                <w:szCs w:val="22"/>
              </w:rPr>
              <w:t>Quarter Hour</w:t>
            </w:r>
          </w:p>
        </w:tc>
      </w:tr>
      <w:tr w:rsidR="00630129" w:rsidRPr="00630129" w14:paraId="29E3DCE6" w14:textId="77777777">
        <w:trPr>
          <w:cantSplit/>
        </w:trPr>
        <w:tc>
          <w:tcPr>
            <w:tcW w:w="1853" w:type="dxa"/>
            <w:tcMar>
              <w:top w:w="85" w:type="dxa"/>
              <w:left w:w="85" w:type="dxa"/>
              <w:bottom w:w="85" w:type="dxa"/>
              <w:right w:w="85" w:type="dxa"/>
            </w:tcMar>
          </w:tcPr>
          <w:p w14:paraId="54E545DB" w14:textId="77777777" w:rsidR="002A68CF" w:rsidRPr="00630129" w:rsidRDefault="001C7564">
            <w:pPr>
              <w:rPr>
                <w:sz w:val="22"/>
                <w:szCs w:val="22"/>
              </w:rPr>
            </w:pPr>
            <w:r w:rsidRPr="00630129">
              <w:rPr>
                <w:sz w:val="22"/>
                <w:szCs w:val="22"/>
              </w:rPr>
              <w:t>k</w:t>
            </w:r>
          </w:p>
        </w:tc>
        <w:tc>
          <w:tcPr>
            <w:tcW w:w="6585" w:type="dxa"/>
            <w:tcMar>
              <w:top w:w="85" w:type="dxa"/>
              <w:left w:w="85" w:type="dxa"/>
              <w:bottom w:w="85" w:type="dxa"/>
              <w:right w:w="85" w:type="dxa"/>
            </w:tcMar>
          </w:tcPr>
          <w:p w14:paraId="7AB5C217" w14:textId="77777777" w:rsidR="002A68CF" w:rsidRPr="00630129" w:rsidRDefault="001C7564">
            <w:pPr>
              <w:rPr>
                <w:sz w:val="22"/>
                <w:szCs w:val="22"/>
              </w:rPr>
            </w:pPr>
            <w:r w:rsidRPr="00630129">
              <w:rPr>
                <w:sz w:val="22"/>
                <w:szCs w:val="22"/>
              </w:rPr>
              <w:t>Bid-Offer Acceptance Number</w:t>
            </w:r>
          </w:p>
        </w:tc>
      </w:tr>
      <w:tr w:rsidR="00630129" w:rsidRPr="00630129" w14:paraId="118CEBCD" w14:textId="77777777">
        <w:trPr>
          <w:cantSplit/>
        </w:trPr>
        <w:tc>
          <w:tcPr>
            <w:tcW w:w="1853" w:type="dxa"/>
            <w:tcMar>
              <w:top w:w="85" w:type="dxa"/>
              <w:left w:w="85" w:type="dxa"/>
              <w:bottom w:w="85" w:type="dxa"/>
              <w:right w:w="85" w:type="dxa"/>
            </w:tcMar>
          </w:tcPr>
          <w:p w14:paraId="259E36CD" w14:textId="77777777" w:rsidR="002A68CF" w:rsidRPr="00630129" w:rsidRDefault="001C7564">
            <w:pPr>
              <w:rPr>
                <w:sz w:val="22"/>
                <w:szCs w:val="22"/>
              </w:rPr>
            </w:pPr>
            <w:r w:rsidRPr="00630129">
              <w:rPr>
                <w:sz w:val="22"/>
                <w:szCs w:val="22"/>
              </w:rPr>
              <w:t>L</w:t>
            </w:r>
          </w:p>
        </w:tc>
        <w:tc>
          <w:tcPr>
            <w:tcW w:w="6585" w:type="dxa"/>
            <w:tcMar>
              <w:top w:w="85" w:type="dxa"/>
              <w:left w:w="85" w:type="dxa"/>
              <w:bottom w:w="85" w:type="dxa"/>
              <w:right w:w="85" w:type="dxa"/>
            </w:tcMar>
          </w:tcPr>
          <w:p w14:paraId="41A928BF" w14:textId="77777777" w:rsidR="002A68CF" w:rsidRPr="00630129" w:rsidRDefault="001C7564">
            <w:pPr>
              <w:rPr>
                <w:sz w:val="22"/>
                <w:szCs w:val="22"/>
              </w:rPr>
            </w:pPr>
            <w:r w:rsidRPr="00630129">
              <w:rPr>
                <w:sz w:val="22"/>
                <w:szCs w:val="22"/>
              </w:rPr>
              <w:t xml:space="preserve">The lower of two Point Value Identification Numbers f, specified at time t for function </w:t>
            </w:r>
            <w:proofErr w:type="spellStart"/>
            <w:r w:rsidRPr="00630129">
              <w:rPr>
                <w:sz w:val="22"/>
                <w:szCs w:val="22"/>
                <w:vertAlign w:val="superscript"/>
              </w:rPr>
              <w:t>f</w:t>
            </w:r>
            <w:r w:rsidRPr="00630129">
              <w:rPr>
                <w:sz w:val="22"/>
                <w:szCs w:val="22"/>
              </w:rPr>
              <w:t>F</w:t>
            </w:r>
            <w:proofErr w:type="spellEnd"/>
            <w:r w:rsidRPr="00630129">
              <w:rPr>
                <w:sz w:val="22"/>
                <w:szCs w:val="22"/>
              </w:rPr>
              <w:t>(t)</w:t>
            </w:r>
          </w:p>
        </w:tc>
      </w:tr>
      <w:tr w:rsidR="00630129" w:rsidRPr="00630129" w14:paraId="7C800983" w14:textId="77777777">
        <w:trPr>
          <w:cantSplit/>
        </w:trPr>
        <w:tc>
          <w:tcPr>
            <w:tcW w:w="1853" w:type="dxa"/>
            <w:tcMar>
              <w:top w:w="85" w:type="dxa"/>
              <w:left w:w="85" w:type="dxa"/>
              <w:bottom w:w="85" w:type="dxa"/>
              <w:right w:w="85" w:type="dxa"/>
            </w:tcMar>
          </w:tcPr>
          <w:p w14:paraId="663EC4BA" w14:textId="77777777" w:rsidR="002A68CF" w:rsidRPr="00630129" w:rsidRDefault="001C7564">
            <w:pPr>
              <w:rPr>
                <w:sz w:val="22"/>
                <w:szCs w:val="22"/>
              </w:rPr>
            </w:pPr>
            <w:r w:rsidRPr="00630129">
              <w:rPr>
                <w:sz w:val="22"/>
                <w:szCs w:val="22"/>
              </w:rPr>
              <w:t>m</w:t>
            </w:r>
          </w:p>
        </w:tc>
        <w:tc>
          <w:tcPr>
            <w:tcW w:w="6585" w:type="dxa"/>
            <w:tcMar>
              <w:top w:w="85" w:type="dxa"/>
              <w:left w:w="85" w:type="dxa"/>
              <w:bottom w:w="85" w:type="dxa"/>
              <w:right w:w="85" w:type="dxa"/>
            </w:tcMar>
          </w:tcPr>
          <w:p w14:paraId="110E08B0" w14:textId="77777777" w:rsidR="002A68CF" w:rsidRPr="00630129" w:rsidRDefault="001C7564">
            <w:pPr>
              <w:rPr>
                <w:sz w:val="22"/>
                <w:szCs w:val="22"/>
              </w:rPr>
            </w:pPr>
            <w:r w:rsidRPr="00630129">
              <w:rPr>
                <w:sz w:val="22"/>
                <w:szCs w:val="22"/>
              </w:rPr>
              <w:t>Calendar month (except in Section T)</w:t>
            </w:r>
          </w:p>
          <w:p w14:paraId="626FF7BD" w14:textId="77777777" w:rsidR="002A68CF" w:rsidRPr="00630129" w:rsidRDefault="001C7564">
            <w:pPr>
              <w:rPr>
                <w:sz w:val="22"/>
                <w:szCs w:val="22"/>
              </w:rPr>
            </w:pPr>
            <w:r w:rsidRPr="00630129">
              <w:rPr>
                <w:sz w:val="22"/>
                <w:szCs w:val="22"/>
              </w:rPr>
              <w:t>Balancing Services Adjustment Action (in Section T)</w:t>
            </w:r>
          </w:p>
        </w:tc>
      </w:tr>
      <w:tr w:rsidR="00630129" w:rsidRPr="00630129" w14:paraId="595EFD28" w14:textId="77777777">
        <w:trPr>
          <w:cantSplit/>
        </w:trPr>
        <w:tc>
          <w:tcPr>
            <w:tcW w:w="1853" w:type="dxa"/>
            <w:tcMar>
              <w:top w:w="85" w:type="dxa"/>
              <w:left w:w="85" w:type="dxa"/>
              <w:bottom w:w="85" w:type="dxa"/>
              <w:right w:w="85" w:type="dxa"/>
            </w:tcMar>
          </w:tcPr>
          <w:p w14:paraId="56F9F075" w14:textId="77777777" w:rsidR="002A68CF" w:rsidRPr="00630129" w:rsidRDefault="001C7564">
            <w:pPr>
              <w:rPr>
                <w:sz w:val="22"/>
                <w:szCs w:val="22"/>
              </w:rPr>
            </w:pPr>
            <w:r w:rsidRPr="00630129">
              <w:rPr>
                <w:sz w:val="22"/>
                <w:szCs w:val="22"/>
              </w:rPr>
              <w:t>n</w:t>
            </w:r>
          </w:p>
        </w:tc>
        <w:tc>
          <w:tcPr>
            <w:tcW w:w="6585" w:type="dxa"/>
            <w:tcMar>
              <w:top w:w="85" w:type="dxa"/>
              <w:left w:w="85" w:type="dxa"/>
              <w:bottom w:w="85" w:type="dxa"/>
              <w:right w:w="85" w:type="dxa"/>
            </w:tcMar>
          </w:tcPr>
          <w:p w14:paraId="4D8A9ABC" w14:textId="77777777" w:rsidR="002A68CF" w:rsidRPr="00630129" w:rsidRDefault="001C7564">
            <w:pPr>
              <w:rPr>
                <w:sz w:val="22"/>
                <w:szCs w:val="22"/>
              </w:rPr>
            </w:pPr>
            <w:r w:rsidRPr="00630129">
              <w:rPr>
                <w:sz w:val="22"/>
                <w:szCs w:val="22"/>
              </w:rPr>
              <w:t>Bid-Offer Pair Number</w:t>
            </w:r>
          </w:p>
        </w:tc>
      </w:tr>
      <w:tr w:rsidR="00630129" w:rsidRPr="00630129" w14:paraId="4CB569DE" w14:textId="77777777">
        <w:trPr>
          <w:cantSplit/>
        </w:trPr>
        <w:tc>
          <w:tcPr>
            <w:tcW w:w="1853" w:type="dxa"/>
            <w:tcMar>
              <w:top w:w="85" w:type="dxa"/>
              <w:left w:w="85" w:type="dxa"/>
              <w:bottom w:w="85" w:type="dxa"/>
              <w:right w:w="85" w:type="dxa"/>
            </w:tcMar>
          </w:tcPr>
          <w:p w14:paraId="2C22BFB9" w14:textId="77777777" w:rsidR="002A68CF" w:rsidRPr="00630129" w:rsidRDefault="001C7564">
            <w:pPr>
              <w:pStyle w:val="EndnoteText"/>
              <w:rPr>
                <w:sz w:val="22"/>
                <w:szCs w:val="22"/>
              </w:rPr>
            </w:pPr>
            <w:r w:rsidRPr="00630129">
              <w:rPr>
                <w:sz w:val="22"/>
                <w:szCs w:val="22"/>
              </w:rPr>
              <w:t>N</w:t>
            </w:r>
          </w:p>
        </w:tc>
        <w:tc>
          <w:tcPr>
            <w:tcW w:w="6585" w:type="dxa"/>
            <w:tcMar>
              <w:top w:w="85" w:type="dxa"/>
              <w:left w:w="85" w:type="dxa"/>
              <w:bottom w:w="85" w:type="dxa"/>
              <w:right w:w="85" w:type="dxa"/>
            </w:tcMar>
          </w:tcPr>
          <w:p w14:paraId="4C21EE07" w14:textId="77777777" w:rsidR="002A68CF" w:rsidRPr="00630129" w:rsidRDefault="001C7564">
            <w:pPr>
              <w:pStyle w:val="EndnoteText"/>
              <w:rPr>
                <w:sz w:val="22"/>
                <w:szCs w:val="22"/>
              </w:rPr>
            </w:pPr>
            <w:r w:rsidRPr="00630129">
              <w:rPr>
                <w:sz w:val="22"/>
                <w:szCs w:val="22"/>
              </w:rPr>
              <w:t>Node</w:t>
            </w:r>
          </w:p>
        </w:tc>
      </w:tr>
      <w:tr w:rsidR="00630129" w:rsidRPr="00630129" w14:paraId="1452FE04" w14:textId="77777777">
        <w:trPr>
          <w:cantSplit/>
        </w:trPr>
        <w:tc>
          <w:tcPr>
            <w:tcW w:w="1853" w:type="dxa"/>
            <w:tcMar>
              <w:top w:w="85" w:type="dxa"/>
              <w:left w:w="85" w:type="dxa"/>
              <w:bottom w:w="85" w:type="dxa"/>
              <w:right w:w="85" w:type="dxa"/>
            </w:tcMar>
          </w:tcPr>
          <w:p w14:paraId="66AB55FE" w14:textId="77777777" w:rsidR="002A68CF" w:rsidRPr="00630129" w:rsidRDefault="001C7564">
            <w:pPr>
              <w:pStyle w:val="EndnoteText"/>
              <w:rPr>
                <w:sz w:val="22"/>
                <w:szCs w:val="22"/>
              </w:rPr>
            </w:pPr>
            <w:r w:rsidRPr="00630129">
              <w:rPr>
                <w:sz w:val="22"/>
                <w:szCs w:val="22"/>
              </w:rPr>
              <w:t>p</w:t>
            </w:r>
          </w:p>
        </w:tc>
        <w:tc>
          <w:tcPr>
            <w:tcW w:w="6585" w:type="dxa"/>
            <w:tcMar>
              <w:top w:w="85" w:type="dxa"/>
              <w:left w:w="85" w:type="dxa"/>
              <w:bottom w:w="85" w:type="dxa"/>
              <w:right w:w="85" w:type="dxa"/>
            </w:tcMar>
          </w:tcPr>
          <w:p w14:paraId="560EE423" w14:textId="77777777" w:rsidR="002A68CF" w:rsidRPr="00630129" w:rsidRDefault="001C7564">
            <w:pPr>
              <w:pStyle w:val="EndnoteText"/>
              <w:rPr>
                <w:sz w:val="22"/>
                <w:szCs w:val="22"/>
              </w:rPr>
            </w:pPr>
            <w:r w:rsidRPr="00630129">
              <w:rPr>
                <w:sz w:val="22"/>
                <w:szCs w:val="22"/>
              </w:rPr>
              <w:t>Trading Party, Contract Trading Party, Imbalance Party or Virtual Lead Party as the case may be</w:t>
            </w:r>
          </w:p>
        </w:tc>
      </w:tr>
      <w:tr w:rsidR="00630129" w:rsidRPr="00630129" w14:paraId="2619C99F" w14:textId="77777777">
        <w:trPr>
          <w:cantSplit/>
        </w:trPr>
        <w:tc>
          <w:tcPr>
            <w:tcW w:w="1853" w:type="dxa"/>
            <w:tcMar>
              <w:top w:w="85" w:type="dxa"/>
              <w:left w:w="85" w:type="dxa"/>
              <w:bottom w:w="85" w:type="dxa"/>
              <w:right w:w="85" w:type="dxa"/>
            </w:tcMar>
          </w:tcPr>
          <w:p w14:paraId="4EE79720" w14:textId="77777777" w:rsidR="002A68CF" w:rsidRPr="00630129" w:rsidRDefault="001C7564">
            <w:pPr>
              <w:pStyle w:val="EndnoteText"/>
              <w:rPr>
                <w:sz w:val="22"/>
                <w:szCs w:val="22"/>
              </w:rPr>
            </w:pPr>
            <w:r w:rsidRPr="00630129">
              <w:rPr>
                <w:sz w:val="22"/>
                <w:szCs w:val="22"/>
              </w:rPr>
              <w:t>q</w:t>
            </w:r>
          </w:p>
        </w:tc>
        <w:tc>
          <w:tcPr>
            <w:tcW w:w="6585" w:type="dxa"/>
            <w:tcMar>
              <w:top w:w="85" w:type="dxa"/>
              <w:left w:w="85" w:type="dxa"/>
              <w:bottom w:w="85" w:type="dxa"/>
              <w:right w:w="85" w:type="dxa"/>
            </w:tcMar>
          </w:tcPr>
          <w:p w14:paraId="259D7EE4" w14:textId="77777777" w:rsidR="002A68CF" w:rsidRPr="00630129" w:rsidRDefault="001C7564">
            <w:pPr>
              <w:pStyle w:val="EndnoteText"/>
              <w:rPr>
                <w:sz w:val="22"/>
                <w:szCs w:val="22"/>
              </w:rPr>
            </w:pPr>
            <w:r w:rsidRPr="00630129">
              <w:rPr>
                <w:sz w:val="22"/>
                <w:szCs w:val="22"/>
              </w:rPr>
              <w:t xml:space="preserve">The order number of a Ranked Bid Volume or Ranked Offer Volume </w:t>
            </w:r>
          </w:p>
        </w:tc>
      </w:tr>
      <w:tr w:rsidR="00630129" w:rsidRPr="00630129" w14:paraId="1BC8661B" w14:textId="77777777">
        <w:trPr>
          <w:cantSplit/>
        </w:trPr>
        <w:tc>
          <w:tcPr>
            <w:tcW w:w="1853" w:type="dxa"/>
            <w:tcMar>
              <w:top w:w="85" w:type="dxa"/>
              <w:left w:w="85" w:type="dxa"/>
              <w:bottom w:w="85" w:type="dxa"/>
              <w:right w:w="85" w:type="dxa"/>
            </w:tcMar>
          </w:tcPr>
          <w:p w14:paraId="4658959A" w14:textId="77777777" w:rsidR="002A68CF" w:rsidRPr="00630129" w:rsidRDefault="001C7564">
            <w:pPr>
              <w:pStyle w:val="EndnoteText"/>
              <w:rPr>
                <w:sz w:val="22"/>
                <w:szCs w:val="22"/>
              </w:rPr>
            </w:pPr>
            <w:r w:rsidRPr="00630129">
              <w:rPr>
                <w:sz w:val="22"/>
                <w:szCs w:val="22"/>
              </w:rPr>
              <w:t>r</w:t>
            </w:r>
          </w:p>
        </w:tc>
        <w:tc>
          <w:tcPr>
            <w:tcW w:w="6585" w:type="dxa"/>
            <w:tcMar>
              <w:top w:w="85" w:type="dxa"/>
              <w:left w:w="85" w:type="dxa"/>
              <w:bottom w:w="85" w:type="dxa"/>
              <w:right w:w="85" w:type="dxa"/>
            </w:tcMar>
          </w:tcPr>
          <w:p w14:paraId="4F7021AA" w14:textId="77777777" w:rsidR="002A68CF" w:rsidRPr="00630129" w:rsidRDefault="001C7564">
            <w:pPr>
              <w:pStyle w:val="EndnoteText"/>
              <w:rPr>
                <w:sz w:val="22"/>
                <w:szCs w:val="22"/>
              </w:rPr>
            </w:pPr>
            <w:r w:rsidRPr="00630129">
              <w:rPr>
                <w:sz w:val="22"/>
                <w:szCs w:val="22"/>
              </w:rPr>
              <w:t>Trading Unit</w:t>
            </w:r>
          </w:p>
        </w:tc>
      </w:tr>
      <w:tr w:rsidR="00630129" w:rsidRPr="00630129" w14:paraId="2CB740C9" w14:textId="77777777">
        <w:trPr>
          <w:cantSplit/>
        </w:trPr>
        <w:tc>
          <w:tcPr>
            <w:tcW w:w="1853" w:type="dxa"/>
            <w:tcMar>
              <w:top w:w="85" w:type="dxa"/>
              <w:left w:w="85" w:type="dxa"/>
              <w:bottom w:w="85" w:type="dxa"/>
              <w:right w:w="85" w:type="dxa"/>
            </w:tcMar>
          </w:tcPr>
          <w:p w14:paraId="7201CA22" w14:textId="77777777" w:rsidR="002A68CF" w:rsidRPr="00630129" w:rsidRDefault="001C7564">
            <w:pPr>
              <w:rPr>
                <w:sz w:val="22"/>
                <w:szCs w:val="22"/>
              </w:rPr>
            </w:pPr>
            <w:r w:rsidRPr="00630129">
              <w:rPr>
                <w:sz w:val="22"/>
                <w:szCs w:val="22"/>
              </w:rPr>
              <w:t>s</w:t>
            </w:r>
          </w:p>
        </w:tc>
        <w:tc>
          <w:tcPr>
            <w:tcW w:w="6585" w:type="dxa"/>
            <w:tcMar>
              <w:top w:w="85" w:type="dxa"/>
              <w:left w:w="85" w:type="dxa"/>
              <w:bottom w:w="85" w:type="dxa"/>
              <w:right w:w="85" w:type="dxa"/>
            </w:tcMar>
          </w:tcPr>
          <w:p w14:paraId="49B4809F" w14:textId="77777777" w:rsidR="002A68CF" w:rsidRPr="00630129" w:rsidRDefault="001C7564">
            <w:pPr>
              <w:rPr>
                <w:sz w:val="22"/>
                <w:szCs w:val="22"/>
              </w:rPr>
            </w:pPr>
            <w:r w:rsidRPr="00630129">
              <w:rPr>
                <w:sz w:val="22"/>
                <w:szCs w:val="22"/>
              </w:rPr>
              <w:t>Market Index Data Provider</w:t>
            </w:r>
          </w:p>
        </w:tc>
      </w:tr>
      <w:tr w:rsidR="00630129" w:rsidRPr="00630129" w14:paraId="6B9FA384" w14:textId="77777777">
        <w:trPr>
          <w:cantSplit/>
        </w:trPr>
        <w:tc>
          <w:tcPr>
            <w:tcW w:w="1853" w:type="dxa"/>
            <w:tcMar>
              <w:top w:w="85" w:type="dxa"/>
              <w:left w:w="85" w:type="dxa"/>
              <w:bottom w:w="85" w:type="dxa"/>
              <w:right w:w="85" w:type="dxa"/>
            </w:tcMar>
          </w:tcPr>
          <w:p w14:paraId="0D3D1D83" w14:textId="77777777" w:rsidR="002A68CF" w:rsidRPr="00630129" w:rsidRDefault="001C7564">
            <w:pPr>
              <w:pStyle w:val="EndnoteText"/>
              <w:rPr>
                <w:sz w:val="22"/>
                <w:szCs w:val="22"/>
              </w:rPr>
            </w:pPr>
            <w:r w:rsidRPr="00630129">
              <w:rPr>
                <w:sz w:val="22"/>
                <w:szCs w:val="22"/>
              </w:rPr>
              <w:t>S</w:t>
            </w:r>
          </w:p>
        </w:tc>
        <w:tc>
          <w:tcPr>
            <w:tcW w:w="6585" w:type="dxa"/>
            <w:tcMar>
              <w:top w:w="85" w:type="dxa"/>
              <w:left w:w="85" w:type="dxa"/>
              <w:bottom w:w="85" w:type="dxa"/>
              <w:right w:w="85" w:type="dxa"/>
            </w:tcMar>
          </w:tcPr>
          <w:p w14:paraId="7CA1F0CB" w14:textId="77777777" w:rsidR="002A68CF" w:rsidRPr="00630129" w:rsidRDefault="001C7564">
            <w:pPr>
              <w:pStyle w:val="EndnoteText"/>
              <w:rPr>
                <w:sz w:val="22"/>
                <w:szCs w:val="22"/>
              </w:rPr>
            </w:pPr>
            <w:r w:rsidRPr="00630129">
              <w:rPr>
                <w:sz w:val="22"/>
                <w:szCs w:val="22"/>
              </w:rPr>
              <w:t>BSC Season</w:t>
            </w:r>
          </w:p>
        </w:tc>
      </w:tr>
      <w:tr w:rsidR="00630129" w:rsidRPr="00630129" w14:paraId="5C88A3B2" w14:textId="77777777">
        <w:trPr>
          <w:cantSplit/>
        </w:trPr>
        <w:tc>
          <w:tcPr>
            <w:tcW w:w="1853" w:type="dxa"/>
            <w:tcMar>
              <w:top w:w="85" w:type="dxa"/>
              <w:left w:w="85" w:type="dxa"/>
              <w:bottom w:w="85" w:type="dxa"/>
              <w:right w:w="85" w:type="dxa"/>
            </w:tcMar>
          </w:tcPr>
          <w:p w14:paraId="6650DDE3" w14:textId="77777777" w:rsidR="002A68CF" w:rsidRPr="00630129" w:rsidRDefault="001C7564">
            <w:pPr>
              <w:rPr>
                <w:sz w:val="22"/>
                <w:szCs w:val="22"/>
              </w:rPr>
            </w:pPr>
            <w:r w:rsidRPr="00630129">
              <w:rPr>
                <w:sz w:val="22"/>
                <w:szCs w:val="22"/>
              </w:rPr>
              <w:t>t</w:t>
            </w:r>
          </w:p>
        </w:tc>
        <w:tc>
          <w:tcPr>
            <w:tcW w:w="6585" w:type="dxa"/>
            <w:tcMar>
              <w:top w:w="85" w:type="dxa"/>
              <w:left w:w="85" w:type="dxa"/>
              <w:bottom w:w="85" w:type="dxa"/>
              <w:right w:w="85" w:type="dxa"/>
            </w:tcMar>
          </w:tcPr>
          <w:p w14:paraId="475D2CB3" w14:textId="77777777" w:rsidR="002A68CF" w:rsidRPr="00630129" w:rsidRDefault="001C7564">
            <w:pPr>
              <w:rPr>
                <w:sz w:val="22"/>
                <w:szCs w:val="22"/>
              </w:rPr>
            </w:pPr>
            <w:r w:rsidRPr="00630129">
              <w:rPr>
                <w:sz w:val="22"/>
                <w:szCs w:val="22"/>
              </w:rPr>
              <w:t>STOR Action Number</w:t>
            </w:r>
          </w:p>
        </w:tc>
      </w:tr>
      <w:tr w:rsidR="00630129" w:rsidRPr="00630129" w14:paraId="1C2E59F3" w14:textId="77777777">
        <w:trPr>
          <w:cantSplit/>
        </w:trPr>
        <w:tc>
          <w:tcPr>
            <w:tcW w:w="1853" w:type="dxa"/>
            <w:tcMar>
              <w:top w:w="85" w:type="dxa"/>
              <w:left w:w="85" w:type="dxa"/>
              <w:bottom w:w="85" w:type="dxa"/>
              <w:right w:w="85" w:type="dxa"/>
            </w:tcMar>
          </w:tcPr>
          <w:p w14:paraId="00FCC73F" w14:textId="77777777" w:rsidR="002A68CF" w:rsidRPr="00630129" w:rsidRDefault="001C7564">
            <w:pPr>
              <w:rPr>
                <w:sz w:val="22"/>
                <w:szCs w:val="22"/>
              </w:rPr>
            </w:pPr>
            <w:r w:rsidRPr="00630129">
              <w:rPr>
                <w:sz w:val="22"/>
                <w:szCs w:val="22"/>
              </w:rPr>
              <w:t>u</w:t>
            </w:r>
          </w:p>
        </w:tc>
        <w:tc>
          <w:tcPr>
            <w:tcW w:w="6585" w:type="dxa"/>
            <w:tcMar>
              <w:top w:w="85" w:type="dxa"/>
              <w:left w:w="85" w:type="dxa"/>
              <w:bottom w:w="85" w:type="dxa"/>
              <w:right w:w="85" w:type="dxa"/>
            </w:tcMar>
          </w:tcPr>
          <w:p w14:paraId="7C747EB8" w14:textId="77777777" w:rsidR="002A68CF" w:rsidRPr="00630129" w:rsidRDefault="001C7564">
            <w:pPr>
              <w:rPr>
                <w:sz w:val="22"/>
                <w:szCs w:val="22"/>
              </w:rPr>
            </w:pPr>
            <w:r w:rsidRPr="00630129">
              <w:rPr>
                <w:sz w:val="22"/>
                <w:szCs w:val="22"/>
              </w:rPr>
              <w:t xml:space="preserve">The Non-Delivery Order Number </w:t>
            </w:r>
          </w:p>
        </w:tc>
      </w:tr>
      <w:tr w:rsidR="00630129" w:rsidRPr="00630129" w14:paraId="79C03851" w14:textId="77777777">
        <w:trPr>
          <w:cantSplit/>
        </w:trPr>
        <w:tc>
          <w:tcPr>
            <w:tcW w:w="1853" w:type="dxa"/>
            <w:tcMar>
              <w:top w:w="85" w:type="dxa"/>
              <w:left w:w="85" w:type="dxa"/>
              <w:bottom w:w="85" w:type="dxa"/>
              <w:right w:w="85" w:type="dxa"/>
            </w:tcMar>
          </w:tcPr>
          <w:p w14:paraId="393D7D18" w14:textId="77777777" w:rsidR="002A68CF" w:rsidRPr="00630129" w:rsidRDefault="001C7564">
            <w:pPr>
              <w:rPr>
                <w:sz w:val="22"/>
                <w:szCs w:val="22"/>
              </w:rPr>
            </w:pPr>
            <w:r w:rsidRPr="00630129">
              <w:rPr>
                <w:sz w:val="22"/>
                <w:szCs w:val="22"/>
              </w:rPr>
              <w:t>v</w:t>
            </w:r>
          </w:p>
        </w:tc>
        <w:tc>
          <w:tcPr>
            <w:tcW w:w="6585" w:type="dxa"/>
            <w:tcMar>
              <w:top w:w="85" w:type="dxa"/>
              <w:left w:w="85" w:type="dxa"/>
              <w:bottom w:w="85" w:type="dxa"/>
              <w:right w:w="85" w:type="dxa"/>
            </w:tcMar>
          </w:tcPr>
          <w:p w14:paraId="06F4D5F1" w14:textId="77777777" w:rsidR="002A68CF" w:rsidRPr="00630129" w:rsidRDefault="001C7564">
            <w:pPr>
              <w:rPr>
                <w:sz w:val="22"/>
                <w:szCs w:val="22"/>
              </w:rPr>
            </w:pPr>
            <w:r w:rsidRPr="00630129">
              <w:rPr>
                <w:sz w:val="22"/>
                <w:szCs w:val="22"/>
              </w:rPr>
              <w:t>A particular order number of a ranked System Action</w:t>
            </w:r>
          </w:p>
        </w:tc>
      </w:tr>
      <w:tr w:rsidR="00630129" w:rsidRPr="00630129" w14:paraId="02D8BE84" w14:textId="77777777">
        <w:trPr>
          <w:cantSplit/>
        </w:trPr>
        <w:tc>
          <w:tcPr>
            <w:tcW w:w="1853" w:type="dxa"/>
            <w:tcMar>
              <w:top w:w="85" w:type="dxa"/>
              <w:left w:w="85" w:type="dxa"/>
              <w:bottom w:w="85" w:type="dxa"/>
              <w:right w:w="85" w:type="dxa"/>
            </w:tcMar>
          </w:tcPr>
          <w:p w14:paraId="5E3D7D5A" w14:textId="77777777" w:rsidR="002A68CF" w:rsidRPr="00630129" w:rsidRDefault="001C7564">
            <w:pPr>
              <w:rPr>
                <w:sz w:val="22"/>
                <w:szCs w:val="22"/>
              </w:rPr>
            </w:pPr>
            <w:r w:rsidRPr="00630129">
              <w:rPr>
                <w:sz w:val="22"/>
                <w:szCs w:val="22"/>
              </w:rPr>
              <w:t>w</w:t>
            </w:r>
          </w:p>
        </w:tc>
        <w:tc>
          <w:tcPr>
            <w:tcW w:w="6585" w:type="dxa"/>
            <w:tcMar>
              <w:top w:w="85" w:type="dxa"/>
              <w:left w:w="85" w:type="dxa"/>
              <w:bottom w:w="85" w:type="dxa"/>
              <w:right w:w="85" w:type="dxa"/>
            </w:tcMar>
          </w:tcPr>
          <w:p w14:paraId="77FEBE55" w14:textId="77777777" w:rsidR="002A68CF" w:rsidRPr="00630129" w:rsidRDefault="001C7564">
            <w:pPr>
              <w:rPr>
                <w:sz w:val="22"/>
                <w:szCs w:val="22"/>
              </w:rPr>
            </w:pPr>
            <w:r w:rsidRPr="00630129">
              <w:rPr>
                <w:sz w:val="22"/>
                <w:szCs w:val="22"/>
              </w:rPr>
              <w:t>System Action, or the order number of a ranked System Action</w:t>
            </w:r>
          </w:p>
        </w:tc>
      </w:tr>
      <w:tr w:rsidR="00630129" w:rsidRPr="00630129" w14:paraId="167E416E" w14:textId="77777777">
        <w:trPr>
          <w:cantSplit/>
        </w:trPr>
        <w:tc>
          <w:tcPr>
            <w:tcW w:w="1853" w:type="dxa"/>
            <w:tcMar>
              <w:top w:w="85" w:type="dxa"/>
              <w:left w:w="85" w:type="dxa"/>
              <w:bottom w:w="85" w:type="dxa"/>
              <w:right w:w="85" w:type="dxa"/>
            </w:tcMar>
          </w:tcPr>
          <w:p w14:paraId="50117657" w14:textId="77777777" w:rsidR="002A68CF" w:rsidRPr="00630129" w:rsidRDefault="001C7564">
            <w:pPr>
              <w:rPr>
                <w:sz w:val="22"/>
                <w:szCs w:val="22"/>
              </w:rPr>
            </w:pPr>
            <w:r w:rsidRPr="00630129">
              <w:rPr>
                <w:sz w:val="22"/>
                <w:szCs w:val="22"/>
              </w:rPr>
              <w:lastRenderedPageBreak/>
              <w:t>x</w:t>
            </w:r>
          </w:p>
        </w:tc>
        <w:tc>
          <w:tcPr>
            <w:tcW w:w="6585" w:type="dxa"/>
            <w:tcMar>
              <w:top w:w="85" w:type="dxa"/>
              <w:left w:w="85" w:type="dxa"/>
              <w:bottom w:w="85" w:type="dxa"/>
              <w:right w:w="85" w:type="dxa"/>
            </w:tcMar>
          </w:tcPr>
          <w:p w14:paraId="48F5BDC6" w14:textId="77777777" w:rsidR="002A68CF" w:rsidRPr="00630129" w:rsidRDefault="001C7564">
            <w:pPr>
              <w:rPr>
                <w:sz w:val="22"/>
                <w:szCs w:val="22"/>
              </w:rPr>
            </w:pPr>
            <w:r w:rsidRPr="00630129">
              <w:rPr>
                <w:sz w:val="22"/>
                <w:szCs w:val="22"/>
              </w:rPr>
              <w:t>The order number of a Ranked Priced Offer</w:t>
            </w:r>
          </w:p>
        </w:tc>
      </w:tr>
      <w:tr w:rsidR="00630129" w:rsidRPr="00630129" w14:paraId="58C70FEF" w14:textId="77777777">
        <w:trPr>
          <w:cantSplit/>
        </w:trPr>
        <w:tc>
          <w:tcPr>
            <w:tcW w:w="1853" w:type="dxa"/>
            <w:tcMar>
              <w:top w:w="85" w:type="dxa"/>
              <w:left w:w="85" w:type="dxa"/>
              <w:bottom w:w="85" w:type="dxa"/>
              <w:right w:w="85" w:type="dxa"/>
            </w:tcMar>
          </w:tcPr>
          <w:p w14:paraId="04A0CD0A" w14:textId="77777777" w:rsidR="002A68CF" w:rsidRPr="00630129" w:rsidRDefault="001C7564">
            <w:pPr>
              <w:rPr>
                <w:sz w:val="22"/>
                <w:szCs w:val="22"/>
              </w:rPr>
            </w:pPr>
            <w:r w:rsidRPr="00630129">
              <w:rPr>
                <w:sz w:val="22"/>
                <w:szCs w:val="22"/>
              </w:rPr>
              <w:t>y</w:t>
            </w:r>
          </w:p>
        </w:tc>
        <w:tc>
          <w:tcPr>
            <w:tcW w:w="6585" w:type="dxa"/>
            <w:tcMar>
              <w:top w:w="85" w:type="dxa"/>
              <w:left w:w="85" w:type="dxa"/>
              <w:bottom w:w="85" w:type="dxa"/>
              <w:right w:w="85" w:type="dxa"/>
            </w:tcMar>
          </w:tcPr>
          <w:p w14:paraId="27E6B554" w14:textId="77777777" w:rsidR="002A68CF" w:rsidRPr="00630129" w:rsidRDefault="001C7564">
            <w:pPr>
              <w:rPr>
                <w:sz w:val="22"/>
                <w:szCs w:val="22"/>
              </w:rPr>
            </w:pPr>
            <w:r w:rsidRPr="00630129">
              <w:rPr>
                <w:sz w:val="22"/>
                <w:szCs w:val="22"/>
              </w:rPr>
              <w:t>BSC Year</w:t>
            </w:r>
          </w:p>
        </w:tc>
      </w:tr>
      <w:tr w:rsidR="00630129" w:rsidRPr="00630129" w14:paraId="63AD8FF1" w14:textId="77777777">
        <w:trPr>
          <w:cantSplit/>
        </w:trPr>
        <w:tc>
          <w:tcPr>
            <w:tcW w:w="1853" w:type="dxa"/>
            <w:tcMar>
              <w:top w:w="85" w:type="dxa"/>
              <w:left w:w="85" w:type="dxa"/>
              <w:bottom w:w="85" w:type="dxa"/>
              <w:right w:w="85" w:type="dxa"/>
            </w:tcMar>
          </w:tcPr>
          <w:p w14:paraId="67BB3B68" w14:textId="77777777" w:rsidR="002A68CF" w:rsidRPr="00630129" w:rsidRDefault="001C7564">
            <w:pPr>
              <w:pStyle w:val="EndnoteText"/>
              <w:rPr>
                <w:sz w:val="22"/>
                <w:szCs w:val="22"/>
              </w:rPr>
            </w:pPr>
            <w:r w:rsidRPr="00630129">
              <w:rPr>
                <w:sz w:val="22"/>
                <w:szCs w:val="22"/>
              </w:rPr>
              <w:t>z</w:t>
            </w:r>
          </w:p>
        </w:tc>
        <w:tc>
          <w:tcPr>
            <w:tcW w:w="6585" w:type="dxa"/>
            <w:tcMar>
              <w:top w:w="85" w:type="dxa"/>
              <w:left w:w="85" w:type="dxa"/>
              <w:bottom w:w="85" w:type="dxa"/>
              <w:right w:w="85" w:type="dxa"/>
            </w:tcMar>
          </w:tcPr>
          <w:p w14:paraId="14E30117" w14:textId="77777777" w:rsidR="002A68CF" w:rsidRPr="00630129" w:rsidRDefault="001C7564">
            <w:pPr>
              <w:pStyle w:val="EndnoteText"/>
              <w:rPr>
                <w:sz w:val="22"/>
                <w:szCs w:val="22"/>
              </w:rPr>
            </w:pPr>
            <w:r w:rsidRPr="00630129">
              <w:rPr>
                <w:sz w:val="22"/>
                <w:szCs w:val="22"/>
              </w:rPr>
              <w:t>Energy Contract Volume Notification or Metered Volume Reallocation Notification as the case may be.</w:t>
            </w:r>
          </w:p>
        </w:tc>
      </w:tr>
      <w:tr w:rsidR="002A68CF" w:rsidRPr="00630129" w14:paraId="6981053E" w14:textId="77777777">
        <w:trPr>
          <w:cantSplit/>
        </w:trPr>
        <w:tc>
          <w:tcPr>
            <w:tcW w:w="1853" w:type="dxa"/>
            <w:tcMar>
              <w:top w:w="85" w:type="dxa"/>
              <w:left w:w="85" w:type="dxa"/>
              <w:bottom w:w="85" w:type="dxa"/>
              <w:right w:w="85" w:type="dxa"/>
            </w:tcMar>
          </w:tcPr>
          <w:p w14:paraId="1478006C" w14:textId="77777777" w:rsidR="002A68CF" w:rsidRPr="00630129" w:rsidRDefault="001C7564">
            <w:pPr>
              <w:pStyle w:val="EndnoteText"/>
              <w:rPr>
                <w:sz w:val="22"/>
                <w:szCs w:val="22"/>
              </w:rPr>
            </w:pPr>
            <w:r w:rsidRPr="00630129">
              <w:rPr>
                <w:sz w:val="22"/>
                <w:szCs w:val="22"/>
              </w:rPr>
              <w:t>Z</w:t>
            </w:r>
          </w:p>
        </w:tc>
        <w:tc>
          <w:tcPr>
            <w:tcW w:w="6585" w:type="dxa"/>
            <w:tcMar>
              <w:top w:w="85" w:type="dxa"/>
              <w:left w:w="85" w:type="dxa"/>
              <w:bottom w:w="85" w:type="dxa"/>
              <w:right w:w="85" w:type="dxa"/>
            </w:tcMar>
          </w:tcPr>
          <w:p w14:paraId="5AB4E9FA" w14:textId="77777777" w:rsidR="002A68CF" w:rsidRPr="00630129" w:rsidRDefault="001C7564">
            <w:pPr>
              <w:pStyle w:val="EndnoteText"/>
              <w:rPr>
                <w:sz w:val="22"/>
                <w:szCs w:val="22"/>
              </w:rPr>
            </w:pPr>
            <w:r w:rsidRPr="00630129">
              <w:rPr>
                <w:sz w:val="22"/>
                <w:szCs w:val="22"/>
              </w:rPr>
              <w:t>Zone</w:t>
            </w:r>
          </w:p>
        </w:tc>
      </w:tr>
    </w:tbl>
    <w:p w14:paraId="15B30B2B" w14:textId="77777777" w:rsidR="002A68CF" w:rsidRPr="00630129" w:rsidRDefault="002A68CF">
      <w:pPr>
        <w:pStyle w:val="EndnoteText"/>
        <w:spacing w:after="220"/>
        <w:jc w:val="both"/>
        <w:rPr>
          <w:sz w:val="22"/>
          <w:szCs w:val="22"/>
        </w:rPr>
      </w:pPr>
      <w:bookmarkStart w:id="5" w:name="_Toc458503618"/>
    </w:p>
    <w:p w14:paraId="10C03CD4" w14:textId="77777777" w:rsidR="002A68CF" w:rsidRPr="00630129" w:rsidRDefault="002A68CF">
      <w:pPr>
        <w:pStyle w:val="EndnoteText"/>
        <w:spacing w:after="220"/>
        <w:jc w:val="both"/>
        <w:rPr>
          <w:sz w:val="22"/>
          <w:szCs w:val="22"/>
        </w:rPr>
      </w:pPr>
    </w:p>
    <w:p w14:paraId="39EA3A14" w14:textId="77777777" w:rsidR="002A68CF" w:rsidRPr="00630129" w:rsidRDefault="001C7564">
      <w:pPr>
        <w:pageBreakBefore/>
        <w:spacing w:after="220"/>
        <w:jc w:val="center"/>
        <w:rPr>
          <w:b/>
          <w:sz w:val="22"/>
          <w:szCs w:val="22"/>
        </w:rPr>
      </w:pPr>
      <w:r w:rsidRPr="00630129">
        <w:rPr>
          <w:b/>
          <w:sz w:val="22"/>
          <w:szCs w:val="22"/>
        </w:rPr>
        <w:lastRenderedPageBreak/>
        <w:t>Table X–2</w:t>
      </w:r>
    </w:p>
    <w:p w14:paraId="69C2D96B" w14:textId="77777777" w:rsidR="002A68CF" w:rsidRPr="00630129" w:rsidRDefault="001C7564">
      <w:pPr>
        <w:pStyle w:val="Title"/>
        <w:spacing w:after="220"/>
        <w:rPr>
          <w:sz w:val="22"/>
          <w:szCs w:val="22"/>
        </w:rPr>
      </w:pPr>
      <w:r w:rsidRPr="00630129">
        <w:rPr>
          <w:sz w:val="22"/>
          <w:szCs w:val="22"/>
        </w:rPr>
        <w:t>Terms and Expressions Applying Except in Relation to Section S</w:t>
      </w:r>
    </w:p>
    <w:p w14:paraId="731BDB00" w14:textId="77777777" w:rsidR="002A68CF" w:rsidRPr="00630129" w:rsidRDefault="001C7564">
      <w:pPr>
        <w:pStyle w:val="ExecutiveSummary"/>
        <w:numPr>
          <w:ilvl w:val="0"/>
          <w:numId w:val="0"/>
        </w:numPr>
        <w:spacing w:after="220" w:line="240" w:lineRule="auto"/>
        <w:ind w:left="992" w:hanging="992"/>
        <w:rPr>
          <w:rFonts w:ascii="Times New Roman" w:hAnsi="Times New Roman"/>
          <w:kern w:val="0"/>
          <w:szCs w:val="22"/>
        </w:rPr>
      </w:pPr>
      <w:r w:rsidRPr="00630129">
        <w:rPr>
          <w:rFonts w:ascii="Times New Roman" w:hAnsi="Times New Roman"/>
          <w:kern w:val="0"/>
          <w:szCs w:val="22"/>
        </w:rPr>
        <w:t>1.</w:t>
      </w:r>
      <w:r w:rsidRPr="00630129">
        <w:rPr>
          <w:rFonts w:ascii="Times New Roman" w:hAnsi="Times New Roman"/>
          <w:kern w:val="0"/>
          <w:szCs w:val="22"/>
        </w:rPr>
        <w:tab/>
        <w:t>Subject to paragraph 2, unless the context otherwise requires, in the Code the words, expressions and acronyms set out in this Table shall bear the respective meanings set out therein.</w:t>
      </w:r>
    </w:p>
    <w:p w14:paraId="0EAD75E1" w14:textId="77777777" w:rsidR="002A68CF" w:rsidRPr="00630129" w:rsidRDefault="001C7564">
      <w:pPr>
        <w:pStyle w:val="ExecutiveSummary"/>
        <w:numPr>
          <w:ilvl w:val="0"/>
          <w:numId w:val="0"/>
        </w:numPr>
        <w:spacing w:after="220" w:line="240" w:lineRule="auto"/>
        <w:ind w:left="992" w:hanging="992"/>
        <w:rPr>
          <w:rFonts w:ascii="Times New Roman" w:hAnsi="Times New Roman"/>
          <w:kern w:val="0"/>
          <w:szCs w:val="22"/>
        </w:rPr>
      </w:pPr>
      <w:r w:rsidRPr="00630129">
        <w:rPr>
          <w:rFonts w:ascii="Times New Roman" w:hAnsi="Times New Roman"/>
          <w:kern w:val="0"/>
          <w:szCs w:val="22"/>
        </w:rPr>
        <w:t>2.</w:t>
      </w:r>
      <w:r w:rsidRPr="00630129">
        <w:rPr>
          <w:rFonts w:ascii="Times New Roman" w:hAnsi="Times New Roman"/>
          <w:kern w:val="0"/>
          <w:szCs w:val="22"/>
        </w:rPr>
        <w:tab/>
        <w:t>In the fourth column of this Table, words in italics are explanatory only and shall not affect the interpretation of any term in the Table or otherwise of the Code.</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020" w:firstRow="1" w:lastRow="0" w:firstColumn="0" w:lastColumn="0" w:noHBand="0" w:noVBand="0"/>
      </w:tblPr>
      <w:tblGrid>
        <w:gridCol w:w="1800"/>
        <w:gridCol w:w="1764"/>
        <w:gridCol w:w="892"/>
        <w:gridCol w:w="4601"/>
      </w:tblGrid>
      <w:tr w:rsidR="006A10DE" w:rsidRPr="00630129" w14:paraId="62283923" w14:textId="77777777" w:rsidTr="00A63BA8">
        <w:trPr>
          <w:cantSplit/>
          <w:tblHeader/>
        </w:trPr>
        <w:tc>
          <w:tcPr>
            <w:tcW w:w="994" w:type="pct"/>
            <w:tcMar>
              <w:top w:w="85" w:type="dxa"/>
              <w:left w:w="85" w:type="dxa"/>
              <w:bottom w:w="85" w:type="dxa"/>
              <w:right w:w="85" w:type="dxa"/>
            </w:tcMar>
          </w:tcPr>
          <w:p w14:paraId="2F8FFB5A" w14:textId="77777777" w:rsidR="006A10DE" w:rsidRPr="00630129" w:rsidRDefault="006A10DE" w:rsidP="00F60AD8">
            <w:pPr>
              <w:rPr>
                <w:b/>
                <w:sz w:val="22"/>
                <w:szCs w:val="22"/>
              </w:rPr>
            </w:pPr>
            <w:r w:rsidRPr="00630129">
              <w:rPr>
                <w:b/>
                <w:sz w:val="22"/>
                <w:szCs w:val="22"/>
              </w:rPr>
              <w:t>Defined Term</w:t>
            </w:r>
          </w:p>
        </w:tc>
        <w:tc>
          <w:tcPr>
            <w:tcW w:w="974" w:type="pct"/>
            <w:tcMar>
              <w:top w:w="85" w:type="dxa"/>
              <w:left w:w="85" w:type="dxa"/>
              <w:bottom w:w="85" w:type="dxa"/>
              <w:right w:w="85" w:type="dxa"/>
            </w:tcMar>
          </w:tcPr>
          <w:p w14:paraId="41AA7187" w14:textId="77777777" w:rsidR="006A10DE" w:rsidRPr="00630129" w:rsidRDefault="006A10DE" w:rsidP="00F60AD8">
            <w:pPr>
              <w:pStyle w:val="Footer"/>
              <w:tabs>
                <w:tab w:val="clear" w:pos="4320"/>
                <w:tab w:val="clear" w:pos="8640"/>
                <w:tab w:val="clear" w:pos="8784"/>
              </w:tabs>
              <w:suppressAutoHyphens w:val="0"/>
              <w:jc w:val="left"/>
              <w:rPr>
                <w:b/>
                <w:spacing w:val="0"/>
                <w:sz w:val="22"/>
                <w:szCs w:val="22"/>
              </w:rPr>
            </w:pPr>
            <w:r w:rsidRPr="00630129">
              <w:rPr>
                <w:b/>
                <w:spacing w:val="0"/>
                <w:sz w:val="22"/>
                <w:szCs w:val="22"/>
              </w:rPr>
              <w:t>Acronym</w:t>
            </w:r>
          </w:p>
        </w:tc>
        <w:tc>
          <w:tcPr>
            <w:tcW w:w="492" w:type="pct"/>
            <w:tcMar>
              <w:top w:w="85" w:type="dxa"/>
              <w:left w:w="85" w:type="dxa"/>
              <w:bottom w:w="85" w:type="dxa"/>
              <w:right w:w="85" w:type="dxa"/>
            </w:tcMar>
          </w:tcPr>
          <w:p w14:paraId="42D22CF9" w14:textId="77777777" w:rsidR="006A10DE" w:rsidRPr="00630129" w:rsidRDefault="006A10DE" w:rsidP="00F60AD8">
            <w:pPr>
              <w:pStyle w:val="Footer"/>
              <w:tabs>
                <w:tab w:val="clear" w:pos="4320"/>
                <w:tab w:val="clear" w:pos="8640"/>
                <w:tab w:val="clear" w:pos="8784"/>
              </w:tabs>
              <w:suppressAutoHyphens w:val="0"/>
              <w:jc w:val="left"/>
              <w:rPr>
                <w:b/>
                <w:spacing w:val="0"/>
                <w:sz w:val="22"/>
                <w:szCs w:val="22"/>
              </w:rPr>
            </w:pPr>
            <w:r w:rsidRPr="00630129">
              <w:rPr>
                <w:b/>
                <w:spacing w:val="0"/>
                <w:sz w:val="22"/>
                <w:szCs w:val="22"/>
              </w:rPr>
              <w:t>Units</w:t>
            </w:r>
          </w:p>
        </w:tc>
        <w:tc>
          <w:tcPr>
            <w:tcW w:w="2540" w:type="pct"/>
            <w:tcMar>
              <w:top w:w="85" w:type="dxa"/>
              <w:left w:w="85" w:type="dxa"/>
              <w:bottom w:w="85" w:type="dxa"/>
              <w:right w:w="85" w:type="dxa"/>
            </w:tcMar>
          </w:tcPr>
          <w:p w14:paraId="141419A3" w14:textId="77777777" w:rsidR="006A10DE" w:rsidRPr="00630129" w:rsidRDefault="006A10DE" w:rsidP="00F60AD8">
            <w:pPr>
              <w:pStyle w:val="Footer"/>
              <w:tabs>
                <w:tab w:val="clear" w:pos="4320"/>
                <w:tab w:val="clear" w:pos="8640"/>
                <w:tab w:val="clear" w:pos="8784"/>
              </w:tabs>
              <w:suppressAutoHyphens w:val="0"/>
              <w:jc w:val="left"/>
              <w:rPr>
                <w:b/>
                <w:spacing w:val="0"/>
                <w:sz w:val="22"/>
                <w:szCs w:val="22"/>
              </w:rPr>
            </w:pPr>
            <w:r w:rsidRPr="00630129">
              <w:rPr>
                <w:b/>
                <w:spacing w:val="0"/>
                <w:sz w:val="22"/>
                <w:szCs w:val="22"/>
              </w:rPr>
              <w:t>Definition/Explanatory Text</w:t>
            </w:r>
          </w:p>
        </w:tc>
      </w:tr>
      <w:tr w:rsidR="006A10DE" w:rsidRPr="00630129" w14:paraId="04B7E6CC" w14:textId="77777777" w:rsidTr="00A63BA8">
        <w:trPr>
          <w:cantSplit/>
        </w:trPr>
        <w:tc>
          <w:tcPr>
            <w:tcW w:w="994" w:type="pct"/>
            <w:tcMar>
              <w:top w:w="85" w:type="dxa"/>
              <w:left w:w="85" w:type="dxa"/>
              <w:bottom w:w="85" w:type="dxa"/>
              <w:right w:w="85" w:type="dxa"/>
            </w:tcMar>
          </w:tcPr>
          <w:p w14:paraId="3C24D306" w14:textId="77777777" w:rsidR="006A10DE" w:rsidRPr="00630129" w:rsidRDefault="006A10DE" w:rsidP="00F60AD8">
            <w:pPr>
              <w:rPr>
                <w:sz w:val="22"/>
                <w:szCs w:val="22"/>
              </w:rPr>
            </w:pPr>
          </w:p>
        </w:tc>
        <w:tc>
          <w:tcPr>
            <w:tcW w:w="974" w:type="pct"/>
            <w:tcMar>
              <w:top w:w="85" w:type="dxa"/>
              <w:left w:w="85" w:type="dxa"/>
              <w:bottom w:w="85" w:type="dxa"/>
              <w:right w:w="85" w:type="dxa"/>
            </w:tcMar>
          </w:tcPr>
          <w:p w14:paraId="6BC068D1" w14:textId="77777777" w:rsidR="006A10DE" w:rsidRPr="00630129" w:rsidRDefault="006A10DE" w:rsidP="00F60AD8">
            <w:pPr>
              <w:rPr>
                <w:sz w:val="22"/>
                <w:szCs w:val="22"/>
              </w:rPr>
            </w:pPr>
            <w:r w:rsidRPr="00630129">
              <w:rPr>
                <w:sz w:val="22"/>
                <w:szCs w:val="22"/>
              </w:rPr>
              <w:sym w:font="Symbol" w:char="F061"/>
            </w:r>
            <w:r w:rsidRPr="00630129">
              <w:rPr>
                <w:sz w:val="22"/>
                <w:szCs w:val="22"/>
              </w:rPr>
              <w:t xml:space="preserve"> </w:t>
            </w:r>
          </w:p>
        </w:tc>
        <w:tc>
          <w:tcPr>
            <w:tcW w:w="492" w:type="pct"/>
            <w:tcMar>
              <w:top w:w="85" w:type="dxa"/>
              <w:left w:w="85" w:type="dxa"/>
              <w:bottom w:w="85" w:type="dxa"/>
              <w:right w:w="85" w:type="dxa"/>
            </w:tcMar>
          </w:tcPr>
          <w:p w14:paraId="4F81F962"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48490E53" w14:textId="77777777" w:rsidR="006A10DE" w:rsidRPr="00630129" w:rsidRDefault="006A10DE" w:rsidP="00F60AD8">
            <w:pPr>
              <w:spacing w:after="120"/>
              <w:rPr>
                <w:i/>
                <w:sz w:val="22"/>
                <w:szCs w:val="22"/>
              </w:rPr>
            </w:pPr>
            <w:r w:rsidRPr="00630129">
              <w:rPr>
                <w:sz w:val="22"/>
                <w:szCs w:val="22"/>
              </w:rPr>
              <w:t>The number 0.45 as specified in Section T2.2.1(b)</w:t>
            </w:r>
            <w:r w:rsidRPr="00630129">
              <w:rPr>
                <w:i/>
                <w:sz w:val="22"/>
                <w:szCs w:val="22"/>
              </w:rPr>
              <w:t>.</w:t>
            </w:r>
          </w:p>
          <w:p w14:paraId="35B76B4E" w14:textId="77777777" w:rsidR="006A10DE" w:rsidRPr="00630129" w:rsidRDefault="006A10DE" w:rsidP="00F60AD8">
            <w:pPr>
              <w:spacing w:after="120"/>
              <w:rPr>
                <w:i/>
                <w:sz w:val="22"/>
                <w:szCs w:val="22"/>
              </w:rPr>
            </w:pPr>
            <w:r w:rsidRPr="00630129">
              <w:rPr>
                <w:i/>
                <w:sz w:val="22"/>
                <w:szCs w:val="22"/>
              </w:rPr>
              <w:t xml:space="preserve">The factor </w:t>
            </w:r>
            <w:r w:rsidRPr="00630129">
              <w:rPr>
                <w:sz w:val="22"/>
                <w:szCs w:val="22"/>
              </w:rPr>
              <w:sym w:font="Symbol" w:char="F061"/>
            </w:r>
            <w:r w:rsidRPr="00630129">
              <w:rPr>
                <w:sz w:val="22"/>
                <w:szCs w:val="22"/>
              </w:rPr>
              <w:t xml:space="preserve"> </w:t>
            </w:r>
            <w:r w:rsidRPr="00630129">
              <w:rPr>
                <w:i/>
                <w:sz w:val="22"/>
                <w:szCs w:val="22"/>
              </w:rPr>
              <w:t>is that proportion of transmission losses to be deducted in total from the BM Unit Metered Volume of BM Units in delivering Trading Units, for the purposes of allocating transmission losses.</w:t>
            </w:r>
          </w:p>
          <w:p w14:paraId="589C716A" w14:textId="77777777" w:rsidR="006A10DE" w:rsidRPr="00630129" w:rsidRDefault="006A10DE" w:rsidP="00F60AD8">
            <w:pPr>
              <w:rPr>
                <w:i/>
                <w:sz w:val="22"/>
                <w:szCs w:val="22"/>
              </w:rPr>
            </w:pPr>
            <w:r w:rsidRPr="00630129">
              <w:rPr>
                <w:i/>
                <w:sz w:val="22"/>
                <w:szCs w:val="22"/>
              </w:rPr>
              <w:t>For the purposes of the above, transmission losses are defined as the sum of BM Unit Metered Volume over all BM Units (with BM Units that import having a negative value of BM Unit Metered Volume)</w:t>
            </w:r>
          </w:p>
        </w:tc>
      </w:tr>
      <w:tr w:rsidR="006A10DE" w:rsidRPr="00630129" w14:paraId="5DBC6887" w14:textId="77777777" w:rsidTr="00A63BA8">
        <w:trPr>
          <w:cantSplit/>
        </w:trPr>
        <w:tc>
          <w:tcPr>
            <w:tcW w:w="994" w:type="pct"/>
            <w:tcMar>
              <w:top w:w="85" w:type="dxa"/>
              <w:left w:w="85" w:type="dxa"/>
              <w:bottom w:w="85" w:type="dxa"/>
              <w:right w:w="85" w:type="dxa"/>
            </w:tcMar>
          </w:tcPr>
          <w:p w14:paraId="1E1DDA2E" w14:textId="77777777" w:rsidR="006A10DE" w:rsidRPr="00630129" w:rsidRDefault="006A10DE" w:rsidP="00F60AD8">
            <w:pPr>
              <w:rPr>
                <w:sz w:val="22"/>
                <w:szCs w:val="22"/>
              </w:rPr>
            </w:pPr>
          </w:p>
        </w:tc>
        <w:tc>
          <w:tcPr>
            <w:tcW w:w="974" w:type="pct"/>
            <w:tcMar>
              <w:top w:w="85" w:type="dxa"/>
              <w:left w:w="85" w:type="dxa"/>
              <w:bottom w:w="85" w:type="dxa"/>
              <w:right w:w="85" w:type="dxa"/>
            </w:tcMar>
          </w:tcPr>
          <w:p w14:paraId="7A47E7C8" w14:textId="77777777" w:rsidR="006A10DE" w:rsidRPr="00630129" w:rsidRDefault="006A10DE" w:rsidP="00F60AD8">
            <w:pPr>
              <w:rPr>
                <w:sz w:val="22"/>
                <w:szCs w:val="22"/>
                <w:vertAlign w:val="subscript"/>
              </w:rPr>
            </w:pPr>
            <w:proofErr w:type="spellStart"/>
            <w:r w:rsidRPr="00630129">
              <w:rPr>
                <w:sz w:val="22"/>
                <w:szCs w:val="22"/>
              </w:rPr>
              <w:t>QMFR</w:t>
            </w:r>
            <w:r w:rsidRPr="00630129">
              <w:rPr>
                <w:sz w:val="22"/>
                <w:szCs w:val="22"/>
                <w:vertAlign w:val="subscript"/>
              </w:rPr>
              <w:t>ziaj</w:t>
            </w:r>
            <w:proofErr w:type="spellEnd"/>
          </w:p>
        </w:tc>
        <w:tc>
          <w:tcPr>
            <w:tcW w:w="492" w:type="pct"/>
            <w:tcMar>
              <w:top w:w="85" w:type="dxa"/>
              <w:left w:w="85" w:type="dxa"/>
              <w:bottom w:w="85" w:type="dxa"/>
              <w:right w:w="85" w:type="dxa"/>
            </w:tcMar>
          </w:tcPr>
          <w:p w14:paraId="3393D207"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48ED1F73" w14:textId="77777777" w:rsidR="006A10DE" w:rsidRPr="00630129" w:rsidRDefault="006A10DE" w:rsidP="00F60AD8">
            <w:pPr>
              <w:spacing w:after="120"/>
              <w:rPr>
                <w:sz w:val="22"/>
                <w:szCs w:val="22"/>
              </w:rPr>
            </w:pPr>
            <w:r w:rsidRPr="00630129">
              <w:rPr>
                <w:sz w:val="22"/>
                <w:szCs w:val="22"/>
              </w:rPr>
              <w:t>An Active Energy value in accordance with Section P3.6.2(a).</w:t>
            </w:r>
          </w:p>
          <w:p w14:paraId="4BDC4E80" w14:textId="77777777" w:rsidR="006A10DE" w:rsidRPr="00630129" w:rsidRDefault="006A10DE" w:rsidP="00F60AD8">
            <w:pPr>
              <w:rPr>
                <w:sz w:val="22"/>
                <w:szCs w:val="22"/>
              </w:rPr>
            </w:pPr>
            <w:r w:rsidRPr="00630129">
              <w:rPr>
                <w:rStyle w:val="Emphasis"/>
                <w:sz w:val="22"/>
                <w:szCs w:val="22"/>
              </w:rPr>
              <w:t>I</w:t>
            </w:r>
            <w:r w:rsidRPr="00630129">
              <w:rPr>
                <w:i/>
                <w:sz w:val="22"/>
                <w:szCs w:val="22"/>
              </w:rPr>
              <w:t xml:space="preserve">n relation to any BM Unit </w:t>
            </w:r>
            <w:proofErr w:type="spellStart"/>
            <w:r w:rsidRPr="00630129">
              <w:rPr>
                <w:i/>
                <w:sz w:val="22"/>
                <w:szCs w:val="22"/>
              </w:rPr>
              <w:t>i</w:t>
            </w:r>
            <w:proofErr w:type="spellEnd"/>
            <w:r w:rsidRPr="00630129">
              <w:rPr>
                <w:i/>
                <w:sz w:val="22"/>
                <w:szCs w:val="22"/>
              </w:rPr>
              <w:t>, for any Settlement Period j,</w:t>
            </w:r>
            <w:r w:rsidRPr="00630129">
              <w:rPr>
                <w:rStyle w:val="Emphasis"/>
                <w:i w:val="0"/>
                <w:sz w:val="22"/>
                <w:szCs w:val="22"/>
              </w:rPr>
              <w:t xml:space="preserve"> </w:t>
            </w:r>
            <w:proofErr w:type="spellStart"/>
            <w:r w:rsidRPr="00630129">
              <w:rPr>
                <w:i/>
                <w:sz w:val="22"/>
                <w:szCs w:val="22"/>
              </w:rPr>
              <w:t>QMFR</w:t>
            </w:r>
            <w:r w:rsidRPr="00630129">
              <w:rPr>
                <w:i/>
                <w:sz w:val="22"/>
                <w:szCs w:val="22"/>
                <w:vertAlign w:val="subscript"/>
              </w:rPr>
              <w:t>ziaj</w:t>
            </w:r>
            <w:proofErr w:type="spellEnd"/>
            <w:r w:rsidRPr="00630129">
              <w:rPr>
                <w:rStyle w:val="Emphasis"/>
                <w:i w:val="0"/>
                <w:sz w:val="22"/>
                <w:szCs w:val="22"/>
              </w:rPr>
              <w:t xml:space="preserve"> </w:t>
            </w:r>
            <w:r w:rsidRPr="00630129">
              <w:rPr>
                <w:i/>
                <w:sz w:val="22"/>
                <w:szCs w:val="22"/>
              </w:rPr>
              <w:t xml:space="preserve">is a fixed volume of Active Energy to be allocated to the corresponding Energy Account a, of a Contract Trading Party other than the Lead Party from the Energy Account of the Lead Party to which the associated </w:t>
            </w:r>
            <w:r w:rsidRPr="00630129">
              <w:rPr>
                <w:rStyle w:val="Emphasis"/>
                <w:sz w:val="22"/>
                <w:szCs w:val="22"/>
              </w:rPr>
              <w:t>Metered Volume Reallocation Notification</w:t>
            </w:r>
            <w:r w:rsidRPr="00630129">
              <w:rPr>
                <w:sz w:val="22"/>
                <w:szCs w:val="22"/>
              </w:rPr>
              <w:t xml:space="preserve"> z, </w:t>
            </w:r>
            <w:r w:rsidRPr="00630129">
              <w:rPr>
                <w:i/>
                <w:sz w:val="22"/>
                <w:szCs w:val="22"/>
              </w:rPr>
              <w:t>refers.</w:t>
            </w:r>
          </w:p>
        </w:tc>
      </w:tr>
      <w:tr w:rsidR="006A10DE" w:rsidRPr="00630129" w14:paraId="1A1AE39F" w14:textId="77777777" w:rsidTr="00A63BA8">
        <w:trPr>
          <w:cantSplit/>
        </w:trPr>
        <w:tc>
          <w:tcPr>
            <w:tcW w:w="994" w:type="pct"/>
            <w:tcMar>
              <w:top w:w="85" w:type="dxa"/>
              <w:left w:w="85" w:type="dxa"/>
              <w:bottom w:w="85" w:type="dxa"/>
              <w:right w:w="85" w:type="dxa"/>
            </w:tcMar>
          </w:tcPr>
          <w:p w14:paraId="2002EFB1" w14:textId="77777777" w:rsidR="006A10DE" w:rsidRPr="00630129" w:rsidRDefault="006A10DE" w:rsidP="00F60AD8">
            <w:pPr>
              <w:rPr>
                <w:sz w:val="22"/>
                <w:szCs w:val="22"/>
              </w:rPr>
            </w:pPr>
          </w:p>
        </w:tc>
        <w:tc>
          <w:tcPr>
            <w:tcW w:w="974" w:type="pct"/>
            <w:tcMar>
              <w:top w:w="85" w:type="dxa"/>
              <w:left w:w="85" w:type="dxa"/>
              <w:bottom w:w="85" w:type="dxa"/>
              <w:right w:w="85" w:type="dxa"/>
            </w:tcMar>
          </w:tcPr>
          <w:p w14:paraId="2BB21B50" w14:textId="77777777" w:rsidR="006A10DE" w:rsidRPr="00630129" w:rsidRDefault="006A10DE" w:rsidP="00F60AD8">
            <w:pPr>
              <w:rPr>
                <w:sz w:val="22"/>
                <w:szCs w:val="22"/>
                <w:vertAlign w:val="subscript"/>
              </w:rPr>
            </w:pPr>
            <w:proofErr w:type="spellStart"/>
            <w:r w:rsidRPr="00630129">
              <w:rPr>
                <w:sz w:val="22"/>
                <w:szCs w:val="22"/>
              </w:rPr>
              <w:t>QMPR</w:t>
            </w:r>
            <w:r w:rsidRPr="00630129">
              <w:rPr>
                <w:sz w:val="22"/>
                <w:szCs w:val="22"/>
                <w:vertAlign w:val="subscript"/>
              </w:rPr>
              <w:t>ziaj</w:t>
            </w:r>
            <w:proofErr w:type="spellEnd"/>
          </w:p>
        </w:tc>
        <w:tc>
          <w:tcPr>
            <w:tcW w:w="492" w:type="pct"/>
            <w:tcMar>
              <w:top w:w="85" w:type="dxa"/>
              <w:left w:w="85" w:type="dxa"/>
              <w:bottom w:w="85" w:type="dxa"/>
              <w:right w:w="85" w:type="dxa"/>
            </w:tcMar>
          </w:tcPr>
          <w:p w14:paraId="6ACEA6E0" w14:textId="77777777" w:rsidR="006A10DE" w:rsidRPr="00630129" w:rsidRDefault="006A10DE" w:rsidP="00F60AD8">
            <w:pPr>
              <w:rPr>
                <w:sz w:val="22"/>
                <w:szCs w:val="22"/>
              </w:rPr>
            </w:pPr>
            <w:r w:rsidRPr="00630129">
              <w:rPr>
                <w:sz w:val="22"/>
                <w:szCs w:val="22"/>
              </w:rPr>
              <w:t>%</w:t>
            </w:r>
          </w:p>
        </w:tc>
        <w:tc>
          <w:tcPr>
            <w:tcW w:w="2540" w:type="pct"/>
            <w:tcMar>
              <w:top w:w="85" w:type="dxa"/>
              <w:left w:w="85" w:type="dxa"/>
              <w:bottom w:w="85" w:type="dxa"/>
              <w:right w:w="85" w:type="dxa"/>
            </w:tcMar>
          </w:tcPr>
          <w:p w14:paraId="14E4BEE9" w14:textId="77777777" w:rsidR="006A10DE" w:rsidRPr="00630129" w:rsidRDefault="006A10DE" w:rsidP="00F60AD8">
            <w:pPr>
              <w:spacing w:after="120"/>
              <w:rPr>
                <w:sz w:val="22"/>
                <w:szCs w:val="22"/>
              </w:rPr>
            </w:pPr>
            <w:r w:rsidRPr="00630129">
              <w:rPr>
                <w:sz w:val="22"/>
                <w:szCs w:val="22"/>
              </w:rPr>
              <w:t>A percentage value in accordance with Section P3.6.2(b).</w:t>
            </w:r>
          </w:p>
          <w:p w14:paraId="267CBAE6" w14:textId="77777777" w:rsidR="006A10DE" w:rsidRPr="00630129" w:rsidRDefault="006A10DE" w:rsidP="00F60AD8">
            <w:pPr>
              <w:rPr>
                <w:sz w:val="22"/>
                <w:szCs w:val="22"/>
              </w:rPr>
            </w:pPr>
            <w:r w:rsidRPr="00630129">
              <w:rPr>
                <w:i/>
                <w:sz w:val="22"/>
                <w:szCs w:val="22"/>
              </w:rPr>
              <w:t xml:space="preserve">In relation to any BM Unit </w:t>
            </w:r>
            <w:proofErr w:type="spellStart"/>
            <w:r w:rsidRPr="00630129">
              <w:rPr>
                <w:i/>
                <w:sz w:val="22"/>
                <w:szCs w:val="22"/>
              </w:rPr>
              <w:t>i</w:t>
            </w:r>
            <w:proofErr w:type="spellEnd"/>
            <w:r w:rsidRPr="00630129">
              <w:rPr>
                <w:i/>
                <w:sz w:val="22"/>
                <w:szCs w:val="22"/>
              </w:rPr>
              <w:t xml:space="preserve">, for any Settlement Period j, </w:t>
            </w:r>
            <w:proofErr w:type="spellStart"/>
            <w:r w:rsidRPr="00630129">
              <w:rPr>
                <w:i/>
                <w:sz w:val="22"/>
                <w:szCs w:val="22"/>
              </w:rPr>
              <w:t>QMPR</w:t>
            </w:r>
            <w:r w:rsidRPr="00630129">
              <w:rPr>
                <w:i/>
                <w:sz w:val="22"/>
                <w:szCs w:val="22"/>
                <w:vertAlign w:val="subscript"/>
              </w:rPr>
              <w:t>ziaj</w:t>
            </w:r>
            <w:proofErr w:type="spellEnd"/>
            <w:r w:rsidRPr="00630129">
              <w:rPr>
                <w:i/>
                <w:sz w:val="22"/>
                <w:szCs w:val="22"/>
              </w:rPr>
              <w:t xml:space="preserve"> is a percentage of the BM Unit Metered Volume to be allocated to the corresponding Energy Account a of a Contract Trading Party other than the Lead Party from the Energy Account of the Lead Party to which the associated </w:t>
            </w:r>
            <w:r w:rsidRPr="00630129">
              <w:rPr>
                <w:rStyle w:val="Emphasis"/>
                <w:sz w:val="22"/>
                <w:szCs w:val="22"/>
              </w:rPr>
              <w:t>Metered Volume Reallocation Notification</w:t>
            </w:r>
            <w:r w:rsidRPr="00630129">
              <w:rPr>
                <w:sz w:val="22"/>
                <w:szCs w:val="22"/>
              </w:rPr>
              <w:t xml:space="preserve"> z, </w:t>
            </w:r>
            <w:r w:rsidRPr="00630129">
              <w:rPr>
                <w:i/>
                <w:sz w:val="22"/>
                <w:szCs w:val="22"/>
              </w:rPr>
              <w:t xml:space="preserve">refers. </w:t>
            </w:r>
          </w:p>
        </w:tc>
      </w:tr>
      <w:tr w:rsidR="00833530" w:rsidRPr="00440E88" w14:paraId="54176E3A"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49B0AFA" w14:textId="77777777" w:rsidR="00833530" w:rsidRPr="00833530" w:rsidRDefault="00833530" w:rsidP="00833530">
            <w:pPr>
              <w:rPr>
                <w:sz w:val="22"/>
                <w:szCs w:val="22"/>
              </w:rPr>
            </w:pPr>
            <w:r w:rsidRPr="00833530">
              <w:rPr>
                <w:sz w:val="22"/>
                <w:szCs w:val="22"/>
              </w:rPr>
              <w:t>ABSVD BM Unit Delivered Volume</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B00E5D9" w14:textId="77777777" w:rsidR="00833530" w:rsidRPr="00833530" w:rsidRDefault="00833530" w:rsidP="00FC0D03">
            <w:pPr>
              <w:rPr>
                <w:sz w:val="22"/>
                <w:szCs w:val="22"/>
              </w:rPr>
            </w:pPr>
            <w:proofErr w:type="spellStart"/>
            <w:r w:rsidRPr="00833530">
              <w:rPr>
                <w:sz w:val="22"/>
                <w:szCs w:val="22"/>
              </w:rPr>
              <w:t>AQVMD</w:t>
            </w:r>
            <w:r w:rsidRPr="00FC0D03">
              <w:rPr>
                <w:sz w:val="22"/>
                <w:szCs w:val="22"/>
                <w:vertAlign w:val="subscript"/>
              </w:rPr>
              <w:t>NLKji</w:t>
            </w:r>
            <w:proofErr w:type="spellEnd"/>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C7E852F" w14:textId="77777777" w:rsidR="00833530" w:rsidRPr="00833530" w:rsidRDefault="00833530" w:rsidP="00FC0D03">
            <w:pPr>
              <w:rPr>
                <w:sz w:val="22"/>
                <w:szCs w:val="22"/>
              </w:rPr>
            </w:pPr>
            <w:r w:rsidRPr="00833530">
              <w:rPr>
                <w:sz w:val="22"/>
                <w:szCs w:val="22"/>
              </w:rPr>
              <w:t>MWh</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CC81D42" w14:textId="77777777" w:rsidR="00833530" w:rsidRPr="00833530" w:rsidRDefault="00833530" w:rsidP="00FC0D03">
            <w:pPr>
              <w:rPr>
                <w:sz w:val="22"/>
                <w:szCs w:val="22"/>
              </w:rPr>
            </w:pPr>
            <w:r w:rsidRPr="00833530">
              <w:rPr>
                <w:sz w:val="22"/>
                <w:szCs w:val="22"/>
              </w:rPr>
              <w:t>Has the meaning given to it in Annex S-2 paragraph 7.1.1E.</w:t>
            </w:r>
          </w:p>
        </w:tc>
      </w:tr>
      <w:tr w:rsidR="006A10DE" w:rsidRPr="00630129" w14:paraId="4AB650A6" w14:textId="77777777" w:rsidTr="00A63BA8">
        <w:trPr>
          <w:cantSplit/>
        </w:trPr>
        <w:tc>
          <w:tcPr>
            <w:tcW w:w="994" w:type="pct"/>
            <w:tcMar>
              <w:top w:w="85" w:type="dxa"/>
              <w:left w:w="85" w:type="dxa"/>
              <w:bottom w:w="85" w:type="dxa"/>
              <w:right w:w="85" w:type="dxa"/>
            </w:tcMar>
          </w:tcPr>
          <w:p w14:paraId="21EC8DA6" w14:textId="77777777" w:rsidR="006A10DE" w:rsidRPr="00630129" w:rsidRDefault="006A10DE" w:rsidP="00F60AD8">
            <w:pPr>
              <w:rPr>
                <w:sz w:val="22"/>
                <w:szCs w:val="22"/>
              </w:rPr>
            </w:pPr>
            <w:r w:rsidRPr="00630129">
              <w:rPr>
                <w:sz w:val="22"/>
                <w:szCs w:val="22"/>
              </w:rPr>
              <w:lastRenderedPageBreak/>
              <w:t>Acceptance Data</w:t>
            </w:r>
          </w:p>
        </w:tc>
        <w:tc>
          <w:tcPr>
            <w:tcW w:w="974" w:type="pct"/>
            <w:tcMar>
              <w:top w:w="85" w:type="dxa"/>
              <w:left w:w="85" w:type="dxa"/>
              <w:bottom w:w="85" w:type="dxa"/>
              <w:right w:w="85" w:type="dxa"/>
            </w:tcMar>
          </w:tcPr>
          <w:p w14:paraId="0B02E656" w14:textId="77777777" w:rsidR="006A10DE" w:rsidRPr="00630129" w:rsidRDefault="006A10DE" w:rsidP="00F60AD8">
            <w:pPr>
              <w:rPr>
                <w:sz w:val="22"/>
                <w:szCs w:val="22"/>
              </w:rPr>
            </w:pPr>
          </w:p>
        </w:tc>
        <w:tc>
          <w:tcPr>
            <w:tcW w:w="492" w:type="pct"/>
            <w:tcMar>
              <w:top w:w="85" w:type="dxa"/>
              <w:left w:w="85" w:type="dxa"/>
              <w:bottom w:w="85" w:type="dxa"/>
              <w:right w:w="85" w:type="dxa"/>
            </w:tcMar>
          </w:tcPr>
          <w:p w14:paraId="094B1A3B"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213A0AA0" w14:textId="77777777" w:rsidR="006A10DE" w:rsidRPr="00630129" w:rsidRDefault="006A10DE" w:rsidP="00F60AD8">
            <w:pPr>
              <w:rPr>
                <w:b/>
                <w:sz w:val="22"/>
                <w:szCs w:val="22"/>
              </w:rPr>
            </w:pPr>
            <w:r w:rsidRPr="00630129">
              <w:rPr>
                <w:sz w:val="22"/>
                <w:szCs w:val="22"/>
              </w:rPr>
              <w:t>Data (in accordance with Section Q5.3.1) to be submitted by the NETSO pursuant to Section Q6.2.1(e).</w:t>
            </w:r>
          </w:p>
        </w:tc>
      </w:tr>
      <w:tr w:rsidR="006A10DE" w:rsidRPr="00630129" w14:paraId="66727072" w14:textId="77777777" w:rsidTr="00A63BA8">
        <w:trPr>
          <w:cantSplit/>
        </w:trPr>
        <w:tc>
          <w:tcPr>
            <w:tcW w:w="994" w:type="pct"/>
            <w:tcMar>
              <w:top w:w="85" w:type="dxa"/>
              <w:left w:w="85" w:type="dxa"/>
              <w:bottom w:w="85" w:type="dxa"/>
              <w:right w:w="85" w:type="dxa"/>
            </w:tcMar>
          </w:tcPr>
          <w:p w14:paraId="4F40D6CE" w14:textId="77777777" w:rsidR="006A10DE" w:rsidRPr="00630129" w:rsidRDefault="006A10DE" w:rsidP="00F60AD8">
            <w:pPr>
              <w:rPr>
                <w:sz w:val="22"/>
                <w:szCs w:val="22"/>
              </w:rPr>
            </w:pPr>
            <w:r w:rsidRPr="00630129">
              <w:rPr>
                <w:sz w:val="22"/>
                <w:szCs w:val="22"/>
              </w:rPr>
              <w:t xml:space="preserve">Acceptance Volume </w:t>
            </w:r>
          </w:p>
        </w:tc>
        <w:tc>
          <w:tcPr>
            <w:tcW w:w="974" w:type="pct"/>
            <w:tcMar>
              <w:top w:w="85" w:type="dxa"/>
              <w:left w:w="85" w:type="dxa"/>
              <w:bottom w:w="85" w:type="dxa"/>
              <w:right w:w="85" w:type="dxa"/>
            </w:tcMar>
          </w:tcPr>
          <w:p w14:paraId="057D8943" w14:textId="77777777" w:rsidR="006A10DE" w:rsidRPr="00630129" w:rsidRDefault="006A10DE" w:rsidP="00F60AD8">
            <w:pPr>
              <w:rPr>
                <w:sz w:val="22"/>
                <w:szCs w:val="22"/>
              </w:rPr>
            </w:pPr>
            <w:proofErr w:type="spellStart"/>
            <w:r w:rsidRPr="00630129">
              <w:rPr>
                <w:sz w:val="22"/>
                <w:szCs w:val="22"/>
              </w:rPr>
              <w:t>qA</w:t>
            </w:r>
            <w:r w:rsidRPr="00630129">
              <w:rPr>
                <w:sz w:val="22"/>
                <w:szCs w:val="22"/>
                <w:vertAlign w:val="superscript"/>
              </w:rPr>
              <w:t>k</w:t>
            </w:r>
            <w:r w:rsidRPr="00630129">
              <w:rPr>
                <w:sz w:val="22"/>
                <w:szCs w:val="22"/>
                <w:vertAlign w:val="subscript"/>
              </w:rPr>
              <w:t>ij</w:t>
            </w:r>
            <w:proofErr w:type="spellEnd"/>
            <w:r w:rsidRPr="00630129">
              <w:rPr>
                <w:sz w:val="22"/>
                <w:szCs w:val="22"/>
              </w:rPr>
              <w:t>(t)</w:t>
            </w:r>
          </w:p>
        </w:tc>
        <w:tc>
          <w:tcPr>
            <w:tcW w:w="492" w:type="pct"/>
            <w:tcMar>
              <w:top w:w="85" w:type="dxa"/>
              <w:left w:w="85" w:type="dxa"/>
              <w:bottom w:w="85" w:type="dxa"/>
              <w:right w:w="85" w:type="dxa"/>
            </w:tcMar>
          </w:tcPr>
          <w:p w14:paraId="3C077C72" w14:textId="77777777" w:rsidR="006A10DE" w:rsidRPr="00630129" w:rsidRDefault="006A10DE" w:rsidP="00F60AD8">
            <w:pPr>
              <w:rPr>
                <w:sz w:val="22"/>
                <w:szCs w:val="22"/>
              </w:rPr>
            </w:pPr>
            <w:r w:rsidRPr="00630129">
              <w:rPr>
                <w:sz w:val="22"/>
                <w:szCs w:val="22"/>
              </w:rPr>
              <w:t>MW</w:t>
            </w:r>
          </w:p>
        </w:tc>
        <w:tc>
          <w:tcPr>
            <w:tcW w:w="2540" w:type="pct"/>
            <w:tcMar>
              <w:top w:w="85" w:type="dxa"/>
              <w:left w:w="85" w:type="dxa"/>
              <w:bottom w:w="85" w:type="dxa"/>
              <w:right w:w="85" w:type="dxa"/>
            </w:tcMar>
          </w:tcPr>
          <w:p w14:paraId="063E0898" w14:textId="77777777" w:rsidR="006A10DE" w:rsidRPr="00630129" w:rsidRDefault="006A10DE" w:rsidP="00F60AD8">
            <w:pPr>
              <w:spacing w:after="120"/>
              <w:rPr>
                <w:sz w:val="22"/>
                <w:szCs w:val="22"/>
              </w:rPr>
            </w:pPr>
            <w:r w:rsidRPr="00630129">
              <w:rPr>
                <w:sz w:val="22"/>
                <w:szCs w:val="22"/>
              </w:rPr>
              <w:t>The quantity determined in accordance with Section T3.4.</w:t>
            </w:r>
          </w:p>
          <w:p w14:paraId="14DC6745" w14:textId="77777777" w:rsidR="006A10DE" w:rsidRPr="00630129" w:rsidRDefault="006A10DE" w:rsidP="00F60AD8">
            <w:pPr>
              <w:rPr>
                <w:i/>
                <w:sz w:val="22"/>
                <w:szCs w:val="22"/>
              </w:rPr>
            </w:pPr>
            <w:r w:rsidRPr="00630129">
              <w:rPr>
                <w:i/>
                <w:sz w:val="22"/>
                <w:szCs w:val="22"/>
              </w:rPr>
              <w:t xml:space="preserve">The Acceptance Volume is a quantity of absolute MW for any spot time t obtained by interpolating between Point Acceptance Volumes, </w:t>
            </w:r>
            <w:proofErr w:type="spellStart"/>
            <w:r w:rsidRPr="00630129">
              <w:rPr>
                <w:i/>
                <w:sz w:val="22"/>
                <w:szCs w:val="22"/>
              </w:rPr>
              <w:t>qA</w:t>
            </w:r>
            <w:r w:rsidRPr="00630129">
              <w:rPr>
                <w:i/>
                <w:sz w:val="22"/>
                <w:szCs w:val="22"/>
                <w:vertAlign w:val="superscript"/>
              </w:rPr>
              <w:t>k</w:t>
            </w:r>
            <w:r w:rsidRPr="00630129">
              <w:rPr>
                <w:i/>
                <w:sz w:val="22"/>
                <w:szCs w:val="22"/>
                <w:vertAlign w:val="subscript"/>
              </w:rPr>
              <w:t>it</w:t>
            </w:r>
            <w:proofErr w:type="spellEnd"/>
            <w:r w:rsidRPr="00630129">
              <w:rPr>
                <w:i/>
                <w:sz w:val="22"/>
                <w:szCs w:val="22"/>
              </w:rPr>
              <w:t xml:space="preserve">, derived from the Acceptance Volume Pairs submitted as part of Acceptance Data for BM Unit </w:t>
            </w:r>
            <w:proofErr w:type="spellStart"/>
            <w:r w:rsidRPr="00630129">
              <w:rPr>
                <w:i/>
                <w:sz w:val="22"/>
                <w:szCs w:val="22"/>
              </w:rPr>
              <w:t>i</w:t>
            </w:r>
            <w:proofErr w:type="spellEnd"/>
            <w:r w:rsidRPr="00630129">
              <w:rPr>
                <w:i/>
                <w:sz w:val="22"/>
                <w:szCs w:val="22"/>
              </w:rPr>
              <w:t>,. and derived from Quarter Hour RR Activations using the Replacement Reserve Schedule Methodology Document.</w:t>
            </w:r>
          </w:p>
        </w:tc>
      </w:tr>
      <w:tr w:rsidR="006A10DE" w:rsidRPr="00630129" w14:paraId="50356851" w14:textId="77777777" w:rsidTr="00A63BA8">
        <w:trPr>
          <w:cantSplit/>
        </w:trPr>
        <w:tc>
          <w:tcPr>
            <w:tcW w:w="994" w:type="pct"/>
            <w:tcMar>
              <w:top w:w="85" w:type="dxa"/>
              <w:left w:w="85" w:type="dxa"/>
              <w:bottom w:w="85" w:type="dxa"/>
              <w:right w:w="85" w:type="dxa"/>
            </w:tcMar>
          </w:tcPr>
          <w:p w14:paraId="4F50AFF6" w14:textId="77777777" w:rsidR="006A10DE" w:rsidRPr="00630129" w:rsidRDefault="006A10DE" w:rsidP="00F60AD8">
            <w:pPr>
              <w:rPr>
                <w:sz w:val="22"/>
                <w:szCs w:val="22"/>
              </w:rPr>
            </w:pPr>
            <w:r w:rsidRPr="00630129">
              <w:rPr>
                <w:sz w:val="22"/>
                <w:szCs w:val="22"/>
              </w:rPr>
              <w:t>Acceptance Volume Pair</w:t>
            </w:r>
          </w:p>
        </w:tc>
        <w:tc>
          <w:tcPr>
            <w:tcW w:w="974" w:type="pct"/>
            <w:tcMar>
              <w:top w:w="85" w:type="dxa"/>
              <w:left w:w="85" w:type="dxa"/>
              <w:bottom w:w="85" w:type="dxa"/>
              <w:right w:w="85" w:type="dxa"/>
            </w:tcMar>
          </w:tcPr>
          <w:p w14:paraId="657B5572" w14:textId="77777777" w:rsidR="006A10DE" w:rsidRPr="00630129" w:rsidRDefault="006A10DE" w:rsidP="00F60AD8">
            <w:pPr>
              <w:rPr>
                <w:sz w:val="22"/>
                <w:szCs w:val="22"/>
              </w:rPr>
            </w:pPr>
          </w:p>
        </w:tc>
        <w:tc>
          <w:tcPr>
            <w:tcW w:w="492" w:type="pct"/>
            <w:tcMar>
              <w:top w:w="85" w:type="dxa"/>
              <w:left w:w="85" w:type="dxa"/>
              <w:bottom w:w="85" w:type="dxa"/>
              <w:right w:w="85" w:type="dxa"/>
            </w:tcMar>
          </w:tcPr>
          <w:p w14:paraId="4789D187"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0D37FD17" w14:textId="77777777" w:rsidR="006A10DE" w:rsidRPr="00630129" w:rsidRDefault="006A10DE" w:rsidP="00F60AD8">
            <w:pPr>
              <w:spacing w:after="120"/>
              <w:rPr>
                <w:sz w:val="22"/>
                <w:szCs w:val="22"/>
              </w:rPr>
            </w:pPr>
            <w:r w:rsidRPr="00630129">
              <w:rPr>
                <w:sz w:val="22"/>
                <w:szCs w:val="22"/>
              </w:rPr>
              <w:t>A pair of data items expressed in accordance with Section Q5.3.1(a) and submitted as part of the Acceptance Data pursuant to Section Q6.2.1(e).</w:t>
            </w:r>
          </w:p>
          <w:p w14:paraId="37F5150D" w14:textId="77777777" w:rsidR="006A10DE" w:rsidRPr="00630129" w:rsidRDefault="006A10DE" w:rsidP="00F60AD8">
            <w:pPr>
              <w:rPr>
                <w:sz w:val="22"/>
                <w:szCs w:val="22"/>
              </w:rPr>
            </w:pPr>
            <w:r w:rsidRPr="00630129">
              <w:rPr>
                <w:i/>
                <w:sz w:val="22"/>
                <w:szCs w:val="22"/>
              </w:rPr>
              <w:t>The Acceptance Volume Pair is a pair of MW levels each with an associated spot time which describe the absolute MW level at which a BM Unit should operate at those spot times as a result of Acceptance k.</w:t>
            </w:r>
          </w:p>
        </w:tc>
      </w:tr>
      <w:tr w:rsidR="006A10DE" w:rsidRPr="00630129" w14:paraId="1731D7DE" w14:textId="77777777" w:rsidTr="00A63BA8">
        <w:trPr>
          <w:cantSplit/>
        </w:trPr>
        <w:tc>
          <w:tcPr>
            <w:tcW w:w="994" w:type="pct"/>
            <w:tcMar>
              <w:top w:w="85" w:type="dxa"/>
              <w:left w:w="85" w:type="dxa"/>
              <w:bottom w:w="85" w:type="dxa"/>
              <w:right w:w="85" w:type="dxa"/>
            </w:tcMar>
          </w:tcPr>
          <w:p w14:paraId="2BEFC80A" w14:textId="77777777" w:rsidR="006A10DE" w:rsidRPr="00630129" w:rsidRDefault="006A10DE" w:rsidP="00F60AD8">
            <w:pPr>
              <w:rPr>
                <w:sz w:val="22"/>
                <w:szCs w:val="22"/>
              </w:rPr>
            </w:pPr>
            <w:r w:rsidRPr="00630129">
              <w:rPr>
                <w:sz w:val="22"/>
                <w:szCs w:val="22"/>
              </w:rPr>
              <w:t>accepted Bid</w:t>
            </w:r>
          </w:p>
        </w:tc>
        <w:tc>
          <w:tcPr>
            <w:tcW w:w="974" w:type="pct"/>
            <w:tcMar>
              <w:top w:w="85" w:type="dxa"/>
              <w:left w:w="85" w:type="dxa"/>
              <w:bottom w:w="85" w:type="dxa"/>
              <w:right w:w="85" w:type="dxa"/>
            </w:tcMar>
          </w:tcPr>
          <w:p w14:paraId="28D9EE97" w14:textId="77777777" w:rsidR="006A10DE" w:rsidRPr="00630129" w:rsidRDefault="006A10DE" w:rsidP="00F60AD8">
            <w:pPr>
              <w:rPr>
                <w:sz w:val="22"/>
                <w:szCs w:val="22"/>
              </w:rPr>
            </w:pPr>
          </w:p>
        </w:tc>
        <w:tc>
          <w:tcPr>
            <w:tcW w:w="492" w:type="pct"/>
            <w:tcMar>
              <w:top w:w="85" w:type="dxa"/>
              <w:left w:w="85" w:type="dxa"/>
              <w:bottom w:w="85" w:type="dxa"/>
              <w:right w:w="85" w:type="dxa"/>
            </w:tcMar>
          </w:tcPr>
          <w:p w14:paraId="4BA2F138"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450CCD6E" w14:textId="77777777" w:rsidR="006A10DE" w:rsidRPr="00630129" w:rsidRDefault="006A10DE" w:rsidP="00F60AD8">
            <w:pPr>
              <w:rPr>
                <w:sz w:val="22"/>
                <w:szCs w:val="22"/>
              </w:rPr>
            </w:pPr>
            <w:r w:rsidRPr="00630129">
              <w:rPr>
                <w:sz w:val="22"/>
                <w:szCs w:val="22"/>
              </w:rPr>
              <w:t>Has the meaning given to that term in Annex T-1.</w:t>
            </w:r>
          </w:p>
        </w:tc>
      </w:tr>
      <w:tr w:rsidR="006A10DE" w:rsidRPr="00630129" w14:paraId="679F3D5C" w14:textId="77777777" w:rsidTr="00A63BA8">
        <w:trPr>
          <w:cantSplit/>
        </w:trPr>
        <w:tc>
          <w:tcPr>
            <w:tcW w:w="994" w:type="pct"/>
            <w:tcMar>
              <w:top w:w="85" w:type="dxa"/>
              <w:left w:w="85" w:type="dxa"/>
              <w:bottom w:w="85" w:type="dxa"/>
              <w:right w:w="85" w:type="dxa"/>
            </w:tcMar>
          </w:tcPr>
          <w:p w14:paraId="6E33307E" w14:textId="77777777" w:rsidR="006A10DE" w:rsidRPr="00630129" w:rsidRDefault="006A10DE" w:rsidP="00F60AD8">
            <w:pPr>
              <w:rPr>
                <w:sz w:val="22"/>
                <w:szCs w:val="22"/>
              </w:rPr>
            </w:pPr>
            <w:r w:rsidRPr="00630129">
              <w:rPr>
                <w:sz w:val="22"/>
                <w:szCs w:val="22"/>
              </w:rPr>
              <w:t xml:space="preserve">Accepted Bid Volume </w:t>
            </w:r>
          </w:p>
        </w:tc>
        <w:tc>
          <w:tcPr>
            <w:tcW w:w="974" w:type="pct"/>
            <w:tcMar>
              <w:top w:w="85" w:type="dxa"/>
              <w:left w:w="85" w:type="dxa"/>
              <w:bottom w:w="85" w:type="dxa"/>
              <w:right w:w="85" w:type="dxa"/>
            </w:tcMar>
          </w:tcPr>
          <w:p w14:paraId="3CD8519A" w14:textId="77777777" w:rsidR="006A10DE" w:rsidRPr="00630129" w:rsidRDefault="006A10DE" w:rsidP="00F60AD8">
            <w:pPr>
              <w:rPr>
                <w:sz w:val="22"/>
                <w:szCs w:val="22"/>
              </w:rPr>
            </w:pPr>
            <w:proofErr w:type="spellStart"/>
            <w:r w:rsidRPr="00630129">
              <w:rPr>
                <w:sz w:val="22"/>
                <w:szCs w:val="22"/>
              </w:rPr>
              <w:t>qAB</w:t>
            </w:r>
            <w:r w:rsidRPr="00630129">
              <w:rPr>
                <w:sz w:val="22"/>
                <w:szCs w:val="22"/>
                <w:vertAlign w:val="superscript"/>
              </w:rPr>
              <w:t>kn</w:t>
            </w:r>
            <w:r w:rsidRPr="00630129">
              <w:rPr>
                <w:sz w:val="22"/>
                <w:szCs w:val="22"/>
                <w:vertAlign w:val="subscript"/>
              </w:rPr>
              <w:t>ij</w:t>
            </w:r>
            <w:proofErr w:type="spellEnd"/>
            <w:r w:rsidRPr="00630129">
              <w:rPr>
                <w:sz w:val="22"/>
                <w:szCs w:val="22"/>
              </w:rPr>
              <w:t>(t)</w:t>
            </w:r>
          </w:p>
        </w:tc>
        <w:tc>
          <w:tcPr>
            <w:tcW w:w="492" w:type="pct"/>
            <w:tcMar>
              <w:top w:w="85" w:type="dxa"/>
              <w:left w:w="85" w:type="dxa"/>
              <w:bottom w:w="85" w:type="dxa"/>
              <w:right w:w="85" w:type="dxa"/>
            </w:tcMar>
          </w:tcPr>
          <w:p w14:paraId="51BF564A" w14:textId="77777777" w:rsidR="006A10DE" w:rsidRPr="00630129" w:rsidRDefault="006A10DE" w:rsidP="00F60AD8">
            <w:pPr>
              <w:rPr>
                <w:sz w:val="22"/>
                <w:szCs w:val="22"/>
              </w:rPr>
            </w:pPr>
            <w:r w:rsidRPr="00630129">
              <w:rPr>
                <w:sz w:val="22"/>
                <w:szCs w:val="22"/>
              </w:rPr>
              <w:t>MW</w:t>
            </w:r>
          </w:p>
        </w:tc>
        <w:tc>
          <w:tcPr>
            <w:tcW w:w="2540" w:type="pct"/>
            <w:tcMar>
              <w:top w:w="85" w:type="dxa"/>
              <w:left w:w="85" w:type="dxa"/>
              <w:bottom w:w="85" w:type="dxa"/>
              <w:right w:w="85" w:type="dxa"/>
            </w:tcMar>
          </w:tcPr>
          <w:p w14:paraId="345E2A74" w14:textId="77777777" w:rsidR="006A10DE" w:rsidRPr="00630129" w:rsidRDefault="006A10DE" w:rsidP="00F60AD8">
            <w:pPr>
              <w:spacing w:after="120"/>
              <w:rPr>
                <w:sz w:val="22"/>
                <w:szCs w:val="22"/>
              </w:rPr>
            </w:pPr>
            <w:r w:rsidRPr="00630129">
              <w:rPr>
                <w:sz w:val="22"/>
                <w:szCs w:val="22"/>
              </w:rPr>
              <w:t>The quantity established in accordance with Section T3.7.2.</w:t>
            </w:r>
          </w:p>
          <w:p w14:paraId="1B8F6841" w14:textId="77777777" w:rsidR="006A10DE" w:rsidRPr="00630129" w:rsidRDefault="006A10DE" w:rsidP="00F60AD8">
            <w:pPr>
              <w:rPr>
                <w:i/>
                <w:sz w:val="22"/>
                <w:szCs w:val="22"/>
              </w:rPr>
            </w:pPr>
            <w:r w:rsidRPr="00630129">
              <w:rPr>
                <w:i/>
                <w:sz w:val="22"/>
                <w:szCs w:val="22"/>
              </w:rPr>
              <w:t xml:space="preserve">The Accepted Bid Volume is the quantity of Bid n being the negative part of the Accepted Bid-Offer Volume accepted as a result of Bid-Offer Acceptance k from BM Unit </w:t>
            </w:r>
            <w:proofErr w:type="spellStart"/>
            <w:r w:rsidRPr="00630129">
              <w:rPr>
                <w:i/>
                <w:sz w:val="22"/>
                <w:szCs w:val="22"/>
              </w:rPr>
              <w:t>i</w:t>
            </w:r>
            <w:proofErr w:type="spellEnd"/>
            <w:r w:rsidRPr="00630129">
              <w:rPr>
                <w:i/>
                <w:sz w:val="22"/>
                <w:szCs w:val="22"/>
              </w:rPr>
              <w:t xml:space="preserve"> at spot times t within Settlement Period j.</w:t>
            </w:r>
          </w:p>
        </w:tc>
      </w:tr>
      <w:tr w:rsidR="006A10DE" w:rsidRPr="00630129" w14:paraId="0D54144D" w14:textId="77777777" w:rsidTr="00A63BA8">
        <w:trPr>
          <w:cantSplit/>
        </w:trPr>
        <w:tc>
          <w:tcPr>
            <w:tcW w:w="994" w:type="pct"/>
            <w:tcMar>
              <w:top w:w="85" w:type="dxa"/>
              <w:left w:w="85" w:type="dxa"/>
              <w:bottom w:w="85" w:type="dxa"/>
              <w:right w:w="85" w:type="dxa"/>
            </w:tcMar>
          </w:tcPr>
          <w:p w14:paraId="6301D1A7" w14:textId="77777777" w:rsidR="006A10DE" w:rsidRPr="00630129" w:rsidRDefault="006A10DE" w:rsidP="00F60AD8">
            <w:pPr>
              <w:rPr>
                <w:sz w:val="22"/>
                <w:szCs w:val="22"/>
              </w:rPr>
            </w:pPr>
            <w:r w:rsidRPr="00630129">
              <w:rPr>
                <w:sz w:val="22"/>
                <w:szCs w:val="22"/>
              </w:rPr>
              <w:t xml:space="preserve">Accepted Bid-Offer Volume </w:t>
            </w:r>
          </w:p>
        </w:tc>
        <w:tc>
          <w:tcPr>
            <w:tcW w:w="974" w:type="pct"/>
            <w:tcMar>
              <w:top w:w="85" w:type="dxa"/>
              <w:left w:w="85" w:type="dxa"/>
              <w:bottom w:w="85" w:type="dxa"/>
              <w:right w:w="85" w:type="dxa"/>
            </w:tcMar>
          </w:tcPr>
          <w:p w14:paraId="57D4EEB3" w14:textId="77777777" w:rsidR="006A10DE" w:rsidRPr="00630129" w:rsidRDefault="006A10DE" w:rsidP="00F60AD8">
            <w:pPr>
              <w:rPr>
                <w:sz w:val="22"/>
                <w:szCs w:val="22"/>
              </w:rPr>
            </w:pPr>
            <w:proofErr w:type="spellStart"/>
            <w:r w:rsidRPr="00630129">
              <w:rPr>
                <w:sz w:val="22"/>
                <w:szCs w:val="22"/>
              </w:rPr>
              <w:t>qABO</w:t>
            </w:r>
            <w:r w:rsidRPr="00630129">
              <w:rPr>
                <w:sz w:val="22"/>
                <w:szCs w:val="22"/>
                <w:vertAlign w:val="superscript"/>
              </w:rPr>
              <w:t>kn</w:t>
            </w:r>
            <w:r w:rsidRPr="00630129">
              <w:rPr>
                <w:sz w:val="22"/>
                <w:szCs w:val="22"/>
                <w:vertAlign w:val="subscript"/>
              </w:rPr>
              <w:t>ij</w:t>
            </w:r>
            <w:proofErr w:type="spellEnd"/>
            <w:r w:rsidRPr="00630129">
              <w:rPr>
                <w:sz w:val="22"/>
                <w:szCs w:val="22"/>
              </w:rPr>
              <w:t>(t)</w:t>
            </w:r>
          </w:p>
        </w:tc>
        <w:tc>
          <w:tcPr>
            <w:tcW w:w="492" w:type="pct"/>
            <w:tcMar>
              <w:top w:w="85" w:type="dxa"/>
              <w:left w:w="85" w:type="dxa"/>
              <w:bottom w:w="85" w:type="dxa"/>
              <w:right w:w="85" w:type="dxa"/>
            </w:tcMar>
          </w:tcPr>
          <w:p w14:paraId="1ED62C9C" w14:textId="77777777" w:rsidR="006A10DE" w:rsidRPr="00630129" w:rsidRDefault="006A10DE" w:rsidP="00F60AD8">
            <w:pPr>
              <w:rPr>
                <w:sz w:val="22"/>
                <w:szCs w:val="22"/>
              </w:rPr>
            </w:pPr>
            <w:r w:rsidRPr="00630129">
              <w:rPr>
                <w:sz w:val="22"/>
                <w:szCs w:val="22"/>
              </w:rPr>
              <w:t>MW</w:t>
            </w:r>
          </w:p>
        </w:tc>
        <w:tc>
          <w:tcPr>
            <w:tcW w:w="2540" w:type="pct"/>
            <w:tcMar>
              <w:top w:w="85" w:type="dxa"/>
              <w:left w:w="85" w:type="dxa"/>
              <w:bottom w:w="85" w:type="dxa"/>
              <w:right w:w="85" w:type="dxa"/>
            </w:tcMar>
          </w:tcPr>
          <w:p w14:paraId="197A1F83" w14:textId="77777777" w:rsidR="006A10DE" w:rsidRPr="00630129" w:rsidRDefault="006A10DE" w:rsidP="00F60AD8">
            <w:pPr>
              <w:spacing w:after="120"/>
              <w:rPr>
                <w:sz w:val="22"/>
                <w:szCs w:val="22"/>
              </w:rPr>
            </w:pPr>
            <w:r w:rsidRPr="00630129">
              <w:rPr>
                <w:sz w:val="22"/>
                <w:szCs w:val="22"/>
              </w:rPr>
              <w:t>The quantity established in accordance with Section T3.6.</w:t>
            </w:r>
          </w:p>
          <w:p w14:paraId="7D1798F6" w14:textId="77777777" w:rsidR="006A10DE" w:rsidRPr="00630129" w:rsidRDefault="006A10DE" w:rsidP="00F60AD8">
            <w:pPr>
              <w:rPr>
                <w:i/>
                <w:sz w:val="22"/>
                <w:szCs w:val="22"/>
              </w:rPr>
            </w:pPr>
            <w:r w:rsidRPr="00630129">
              <w:rPr>
                <w:i/>
                <w:sz w:val="22"/>
                <w:szCs w:val="22"/>
              </w:rPr>
              <w:t xml:space="preserve">The Accepted Bid-Offer Volume is the quantity of Bid or Offer from Bid-Offer Pair n accepted as a result of Bid-Offer Acceptance k, that is not flagged as relating to an RR Instruction, in Settlement Period j from BM Unit </w:t>
            </w:r>
            <w:proofErr w:type="spellStart"/>
            <w:r w:rsidRPr="00630129">
              <w:rPr>
                <w:i/>
                <w:sz w:val="22"/>
                <w:szCs w:val="22"/>
              </w:rPr>
              <w:t>i</w:t>
            </w:r>
            <w:proofErr w:type="spellEnd"/>
            <w:r w:rsidRPr="00630129">
              <w:rPr>
                <w:i/>
                <w:sz w:val="22"/>
                <w:szCs w:val="22"/>
              </w:rPr>
              <w:t>, for any spot time t within Settlement Period j</w:t>
            </w:r>
          </w:p>
        </w:tc>
      </w:tr>
      <w:tr w:rsidR="006A10DE" w:rsidRPr="00630129" w14:paraId="4A4B43EF" w14:textId="77777777" w:rsidTr="00A63BA8">
        <w:trPr>
          <w:cantSplit/>
        </w:trPr>
        <w:tc>
          <w:tcPr>
            <w:tcW w:w="994" w:type="pct"/>
            <w:tcMar>
              <w:top w:w="85" w:type="dxa"/>
              <w:left w:w="85" w:type="dxa"/>
              <w:bottom w:w="85" w:type="dxa"/>
              <w:right w:w="85" w:type="dxa"/>
            </w:tcMar>
          </w:tcPr>
          <w:p w14:paraId="6D9B760F" w14:textId="77777777" w:rsidR="006A10DE" w:rsidRPr="00630129" w:rsidRDefault="006A10DE" w:rsidP="00F60AD8">
            <w:pPr>
              <w:rPr>
                <w:sz w:val="22"/>
                <w:szCs w:val="22"/>
              </w:rPr>
            </w:pPr>
            <w:r w:rsidRPr="00630129">
              <w:rPr>
                <w:sz w:val="22"/>
                <w:szCs w:val="22"/>
              </w:rPr>
              <w:t>accepted Offer</w:t>
            </w:r>
          </w:p>
        </w:tc>
        <w:tc>
          <w:tcPr>
            <w:tcW w:w="974" w:type="pct"/>
            <w:tcMar>
              <w:top w:w="85" w:type="dxa"/>
              <w:left w:w="85" w:type="dxa"/>
              <w:bottom w:w="85" w:type="dxa"/>
              <w:right w:w="85" w:type="dxa"/>
            </w:tcMar>
          </w:tcPr>
          <w:p w14:paraId="000CFE1C" w14:textId="77777777" w:rsidR="006A10DE" w:rsidRPr="00630129" w:rsidRDefault="006A10DE" w:rsidP="00F60AD8">
            <w:pPr>
              <w:rPr>
                <w:sz w:val="22"/>
                <w:szCs w:val="22"/>
              </w:rPr>
            </w:pPr>
          </w:p>
        </w:tc>
        <w:tc>
          <w:tcPr>
            <w:tcW w:w="492" w:type="pct"/>
            <w:tcMar>
              <w:top w:w="85" w:type="dxa"/>
              <w:left w:w="85" w:type="dxa"/>
              <w:bottom w:w="85" w:type="dxa"/>
              <w:right w:w="85" w:type="dxa"/>
            </w:tcMar>
          </w:tcPr>
          <w:p w14:paraId="0D7D37F0"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17D7BBC5" w14:textId="77777777" w:rsidR="006A10DE" w:rsidRPr="00630129" w:rsidRDefault="006A10DE" w:rsidP="00F60AD8">
            <w:pPr>
              <w:rPr>
                <w:sz w:val="22"/>
                <w:szCs w:val="22"/>
              </w:rPr>
            </w:pPr>
            <w:r w:rsidRPr="00630129">
              <w:rPr>
                <w:sz w:val="22"/>
                <w:szCs w:val="22"/>
              </w:rPr>
              <w:t>Has the meaning given to that term in Annex T-1.</w:t>
            </w:r>
          </w:p>
        </w:tc>
      </w:tr>
      <w:tr w:rsidR="006A10DE" w:rsidRPr="00630129" w14:paraId="46B0F4D8" w14:textId="77777777" w:rsidTr="00A63BA8">
        <w:trPr>
          <w:cantSplit/>
        </w:trPr>
        <w:tc>
          <w:tcPr>
            <w:tcW w:w="994" w:type="pct"/>
            <w:tcMar>
              <w:top w:w="85" w:type="dxa"/>
              <w:left w:w="85" w:type="dxa"/>
              <w:bottom w:w="85" w:type="dxa"/>
              <w:right w:w="85" w:type="dxa"/>
            </w:tcMar>
          </w:tcPr>
          <w:p w14:paraId="447A0787" w14:textId="77777777" w:rsidR="006A10DE" w:rsidRPr="00630129" w:rsidRDefault="006A10DE" w:rsidP="00F60AD8">
            <w:pPr>
              <w:rPr>
                <w:sz w:val="22"/>
                <w:szCs w:val="22"/>
              </w:rPr>
            </w:pPr>
            <w:r w:rsidRPr="00630129">
              <w:rPr>
                <w:sz w:val="22"/>
                <w:szCs w:val="22"/>
              </w:rPr>
              <w:t>Accepted Offer Volume</w:t>
            </w:r>
          </w:p>
        </w:tc>
        <w:tc>
          <w:tcPr>
            <w:tcW w:w="974" w:type="pct"/>
            <w:tcMar>
              <w:top w:w="85" w:type="dxa"/>
              <w:left w:w="85" w:type="dxa"/>
              <w:bottom w:w="85" w:type="dxa"/>
              <w:right w:w="85" w:type="dxa"/>
            </w:tcMar>
          </w:tcPr>
          <w:p w14:paraId="187F964B" w14:textId="77777777" w:rsidR="006A10DE" w:rsidRPr="00630129" w:rsidRDefault="006A10DE" w:rsidP="00F60AD8">
            <w:pPr>
              <w:rPr>
                <w:sz w:val="22"/>
                <w:szCs w:val="22"/>
              </w:rPr>
            </w:pPr>
            <w:proofErr w:type="spellStart"/>
            <w:r w:rsidRPr="00630129">
              <w:rPr>
                <w:sz w:val="22"/>
                <w:szCs w:val="22"/>
              </w:rPr>
              <w:t>qAO</w:t>
            </w:r>
            <w:r w:rsidRPr="00630129">
              <w:rPr>
                <w:sz w:val="22"/>
                <w:szCs w:val="22"/>
                <w:vertAlign w:val="superscript"/>
              </w:rPr>
              <w:t>kn</w:t>
            </w:r>
            <w:r w:rsidRPr="00630129">
              <w:rPr>
                <w:sz w:val="22"/>
                <w:szCs w:val="22"/>
                <w:vertAlign w:val="subscript"/>
              </w:rPr>
              <w:t>ij</w:t>
            </w:r>
            <w:proofErr w:type="spellEnd"/>
            <w:r w:rsidRPr="00630129">
              <w:rPr>
                <w:sz w:val="22"/>
                <w:szCs w:val="22"/>
              </w:rPr>
              <w:t>(t)</w:t>
            </w:r>
          </w:p>
        </w:tc>
        <w:tc>
          <w:tcPr>
            <w:tcW w:w="492" w:type="pct"/>
            <w:tcMar>
              <w:top w:w="85" w:type="dxa"/>
              <w:left w:w="85" w:type="dxa"/>
              <w:bottom w:w="85" w:type="dxa"/>
              <w:right w:w="85" w:type="dxa"/>
            </w:tcMar>
          </w:tcPr>
          <w:p w14:paraId="71B58353" w14:textId="77777777" w:rsidR="006A10DE" w:rsidRPr="00630129" w:rsidRDefault="006A10DE" w:rsidP="00F60AD8">
            <w:pPr>
              <w:rPr>
                <w:sz w:val="22"/>
                <w:szCs w:val="22"/>
              </w:rPr>
            </w:pPr>
            <w:r w:rsidRPr="00630129">
              <w:rPr>
                <w:sz w:val="22"/>
                <w:szCs w:val="22"/>
              </w:rPr>
              <w:t>MW</w:t>
            </w:r>
          </w:p>
        </w:tc>
        <w:tc>
          <w:tcPr>
            <w:tcW w:w="2540" w:type="pct"/>
            <w:tcMar>
              <w:top w:w="85" w:type="dxa"/>
              <w:left w:w="85" w:type="dxa"/>
              <w:bottom w:w="85" w:type="dxa"/>
              <w:right w:w="85" w:type="dxa"/>
            </w:tcMar>
          </w:tcPr>
          <w:p w14:paraId="5B7BFD50" w14:textId="77777777" w:rsidR="006A10DE" w:rsidRPr="00630129" w:rsidRDefault="006A10DE" w:rsidP="00F60AD8">
            <w:pPr>
              <w:spacing w:after="120"/>
              <w:rPr>
                <w:sz w:val="22"/>
                <w:szCs w:val="22"/>
              </w:rPr>
            </w:pPr>
            <w:r w:rsidRPr="00630129">
              <w:rPr>
                <w:sz w:val="22"/>
                <w:szCs w:val="22"/>
              </w:rPr>
              <w:t>The quantity established in accordance with Section T3.7.1.</w:t>
            </w:r>
          </w:p>
          <w:p w14:paraId="3EB1D123" w14:textId="77777777" w:rsidR="006A10DE" w:rsidRPr="00630129" w:rsidRDefault="006A10DE" w:rsidP="00F60AD8">
            <w:pPr>
              <w:rPr>
                <w:i/>
                <w:sz w:val="22"/>
                <w:szCs w:val="22"/>
              </w:rPr>
            </w:pPr>
            <w:r w:rsidRPr="00630129">
              <w:rPr>
                <w:i/>
                <w:sz w:val="22"/>
                <w:szCs w:val="22"/>
              </w:rPr>
              <w:t xml:space="preserve">The Accepted Offer Volume is the quantity of Offer n being the positive part of the Accepted Bid-Offer Volume accepted as a result of Bid-Offer Acceptance k from BM Unit </w:t>
            </w:r>
            <w:proofErr w:type="spellStart"/>
            <w:r w:rsidRPr="00630129">
              <w:rPr>
                <w:i/>
                <w:sz w:val="22"/>
                <w:szCs w:val="22"/>
              </w:rPr>
              <w:t>i</w:t>
            </w:r>
            <w:proofErr w:type="spellEnd"/>
            <w:r w:rsidRPr="00630129">
              <w:rPr>
                <w:i/>
                <w:sz w:val="22"/>
                <w:szCs w:val="22"/>
              </w:rPr>
              <w:t xml:space="preserve"> at spot times t within Settlement Period j.</w:t>
            </w:r>
          </w:p>
        </w:tc>
      </w:tr>
      <w:tr w:rsidR="006A10DE" w:rsidRPr="00630129" w14:paraId="3B5290AB" w14:textId="77777777" w:rsidTr="00A63BA8">
        <w:trPr>
          <w:cantSplit/>
        </w:trPr>
        <w:tc>
          <w:tcPr>
            <w:tcW w:w="994" w:type="pct"/>
            <w:tcMar>
              <w:top w:w="85" w:type="dxa"/>
              <w:left w:w="85" w:type="dxa"/>
              <w:bottom w:w="85" w:type="dxa"/>
              <w:right w:w="85" w:type="dxa"/>
            </w:tcMar>
          </w:tcPr>
          <w:p w14:paraId="0DADE71A" w14:textId="77777777" w:rsidR="006A10DE" w:rsidRPr="00630129" w:rsidRDefault="006A10DE" w:rsidP="00F60AD8">
            <w:pPr>
              <w:rPr>
                <w:sz w:val="22"/>
                <w:szCs w:val="22"/>
              </w:rPr>
            </w:pPr>
            <w:r w:rsidRPr="00630129">
              <w:rPr>
                <w:sz w:val="22"/>
                <w:szCs w:val="22"/>
              </w:rPr>
              <w:lastRenderedPageBreak/>
              <w:t>Account Bilateral Contract Volume</w:t>
            </w:r>
          </w:p>
        </w:tc>
        <w:tc>
          <w:tcPr>
            <w:tcW w:w="974" w:type="pct"/>
            <w:tcMar>
              <w:top w:w="85" w:type="dxa"/>
              <w:left w:w="85" w:type="dxa"/>
              <w:bottom w:w="85" w:type="dxa"/>
              <w:right w:w="85" w:type="dxa"/>
            </w:tcMar>
          </w:tcPr>
          <w:p w14:paraId="638781BF" w14:textId="77777777" w:rsidR="006A10DE" w:rsidRPr="00630129" w:rsidRDefault="006A10DE" w:rsidP="00F60AD8">
            <w:pPr>
              <w:rPr>
                <w:sz w:val="22"/>
                <w:szCs w:val="22"/>
                <w:vertAlign w:val="subscript"/>
              </w:rPr>
            </w:pPr>
            <w:proofErr w:type="spellStart"/>
            <w:r w:rsidRPr="00630129">
              <w:rPr>
                <w:sz w:val="22"/>
                <w:szCs w:val="22"/>
              </w:rPr>
              <w:t>QABC</w:t>
            </w:r>
            <w:r w:rsidRPr="00630129">
              <w:rPr>
                <w:sz w:val="22"/>
                <w:szCs w:val="22"/>
                <w:vertAlign w:val="subscript"/>
              </w:rPr>
              <w:t>aj</w:t>
            </w:r>
            <w:proofErr w:type="spellEnd"/>
          </w:p>
        </w:tc>
        <w:tc>
          <w:tcPr>
            <w:tcW w:w="492" w:type="pct"/>
            <w:tcMar>
              <w:top w:w="85" w:type="dxa"/>
              <w:left w:w="85" w:type="dxa"/>
              <w:bottom w:w="85" w:type="dxa"/>
              <w:right w:w="85" w:type="dxa"/>
            </w:tcMar>
          </w:tcPr>
          <w:p w14:paraId="60896A28"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12BA5E58" w14:textId="77777777" w:rsidR="006A10DE" w:rsidRPr="00630129" w:rsidRDefault="006A10DE" w:rsidP="00F60AD8">
            <w:pPr>
              <w:spacing w:after="120"/>
              <w:rPr>
                <w:sz w:val="22"/>
                <w:szCs w:val="22"/>
              </w:rPr>
            </w:pPr>
            <w:r w:rsidRPr="00630129">
              <w:rPr>
                <w:sz w:val="22"/>
                <w:szCs w:val="22"/>
              </w:rPr>
              <w:t>The quantity determined in accordance with Section P4.1.1.</w:t>
            </w:r>
          </w:p>
          <w:p w14:paraId="12C21955" w14:textId="77777777" w:rsidR="006A10DE" w:rsidRPr="00630129" w:rsidRDefault="006A10DE" w:rsidP="00F60AD8">
            <w:pPr>
              <w:rPr>
                <w:i/>
                <w:sz w:val="22"/>
                <w:szCs w:val="22"/>
              </w:rPr>
            </w:pPr>
            <w:r w:rsidRPr="00630129">
              <w:rPr>
                <w:i/>
                <w:sz w:val="22"/>
                <w:szCs w:val="22"/>
              </w:rPr>
              <w:t>The Account Bilateral Contract Volume is the aggregate of all Energy Contract Volumes relating to Energy Account a in Settlement Period j disregarding those that have been rejected and those contained in Energy Contract Volume Notifications that were refused and represents the energy debited from account a and credited to the other accounts (except in the case of the NETSO) for the purpose of calculating Account Energy Imbalance Volume.</w:t>
            </w:r>
          </w:p>
        </w:tc>
      </w:tr>
      <w:tr w:rsidR="006A10DE" w:rsidRPr="00630129" w14:paraId="68C05574" w14:textId="77777777" w:rsidTr="00A63BA8">
        <w:trPr>
          <w:cantSplit/>
        </w:trPr>
        <w:tc>
          <w:tcPr>
            <w:tcW w:w="994" w:type="pct"/>
            <w:tcMar>
              <w:top w:w="85" w:type="dxa"/>
              <w:left w:w="85" w:type="dxa"/>
              <w:bottom w:w="85" w:type="dxa"/>
              <w:right w:w="85" w:type="dxa"/>
            </w:tcMar>
          </w:tcPr>
          <w:p w14:paraId="6984D233" w14:textId="77777777" w:rsidR="006A10DE" w:rsidRPr="00630129" w:rsidRDefault="006A10DE" w:rsidP="00F60AD8">
            <w:pPr>
              <w:rPr>
                <w:sz w:val="22"/>
                <w:szCs w:val="22"/>
              </w:rPr>
            </w:pPr>
            <w:r w:rsidRPr="00630129">
              <w:rPr>
                <w:sz w:val="22"/>
                <w:szCs w:val="22"/>
              </w:rPr>
              <w:t>Account Credited Energy Volume</w:t>
            </w:r>
          </w:p>
        </w:tc>
        <w:tc>
          <w:tcPr>
            <w:tcW w:w="974" w:type="pct"/>
            <w:tcMar>
              <w:top w:w="85" w:type="dxa"/>
              <w:left w:w="85" w:type="dxa"/>
              <w:bottom w:w="85" w:type="dxa"/>
              <w:right w:w="85" w:type="dxa"/>
            </w:tcMar>
          </w:tcPr>
          <w:p w14:paraId="2780E5D1" w14:textId="77777777" w:rsidR="006A10DE" w:rsidRPr="00630129" w:rsidRDefault="006A10DE" w:rsidP="00F60AD8">
            <w:pPr>
              <w:rPr>
                <w:sz w:val="22"/>
                <w:szCs w:val="22"/>
              </w:rPr>
            </w:pPr>
            <w:proofErr w:type="spellStart"/>
            <w:r w:rsidRPr="00630129">
              <w:rPr>
                <w:sz w:val="22"/>
                <w:szCs w:val="22"/>
              </w:rPr>
              <w:t>QACE</w:t>
            </w:r>
            <w:r w:rsidRPr="00630129">
              <w:rPr>
                <w:sz w:val="22"/>
                <w:szCs w:val="22"/>
                <w:vertAlign w:val="subscript"/>
              </w:rPr>
              <w:t>aj</w:t>
            </w:r>
            <w:proofErr w:type="spellEnd"/>
          </w:p>
        </w:tc>
        <w:tc>
          <w:tcPr>
            <w:tcW w:w="492" w:type="pct"/>
            <w:tcMar>
              <w:top w:w="85" w:type="dxa"/>
              <w:left w:w="85" w:type="dxa"/>
              <w:bottom w:w="85" w:type="dxa"/>
              <w:right w:w="85" w:type="dxa"/>
            </w:tcMar>
          </w:tcPr>
          <w:p w14:paraId="16FD3CFF"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0C19D3B6" w14:textId="77777777" w:rsidR="006A10DE" w:rsidRPr="00630129" w:rsidRDefault="006A10DE" w:rsidP="00F60AD8">
            <w:pPr>
              <w:spacing w:after="120"/>
              <w:rPr>
                <w:sz w:val="22"/>
                <w:szCs w:val="22"/>
              </w:rPr>
            </w:pPr>
            <w:r w:rsidRPr="00630129">
              <w:rPr>
                <w:sz w:val="22"/>
                <w:szCs w:val="22"/>
              </w:rPr>
              <w:t>The quantity determined in accordance with Section T4.6.1.</w:t>
            </w:r>
          </w:p>
          <w:p w14:paraId="55DBB51F" w14:textId="77777777" w:rsidR="006A10DE" w:rsidRPr="00630129" w:rsidRDefault="006A10DE" w:rsidP="00F60AD8">
            <w:pPr>
              <w:rPr>
                <w:i/>
                <w:sz w:val="22"/>
                <w:szCs w:val="22"/>
              </w:rPr>
            </w:pPr>
            <w:r w:rsidRPr="00630129">
              <w:rPr>
                <w:i/>
                <w:sz w:val="22"/>
                <w:szCs w:val="22"/>
              </w:rPr>
              <w:t>The Account Credited Energy Volume is the aggregate of the BM Unit Metered Volumes allocated to Energy Account a in Settlement Period j.</w:t>
            </w:r>
          </w:p>
        </w:tc>
      </w:tr>
      <w:tr w:rsidR="006A10DE" w:rsidRPr="00630129" w14:paraId="264A56CF" w14:textId="77777777" w:rsidTr="00A63BA8">
        <w:trPr>
          <w:cantSplit/>
        </w:trPr>
        <w:tc>
          <w:tcPr>
            <w:tcW w:w="994" w:type="pct"/>
            <w:tcMar>
              <w:top w:w="85" w:type="dxa"/>
              <w:left w:w="85" w:type="dxa"/>
              <w:bottom w:w="85" w:type="dxa"/>
              <w:right w:w="85" w:type="dxa"/>
            </w:tcMar>
          </w:tcPr>
          <w:p w14:paraId="359B3243" w14:textId="77777777" w:rsidR="006A10DE" w:rsidRPr="00630129" w:rsidRDefault="006A10DE" w:rsidP="00F60AD8">
            <w:pPr>
              <w:rPr>
                <w:sz w:val="22"/>
                <w:szCs w:val="22"/>
              </w:rPr>
            </w:pPr>
            <w:r w:rsidRPr="00630129">
              <w:rPr>
                <w:sz w:val="22"/>
                <w:szCs w:val="22"/>
              </w:rPr>
              <w:t xml:space="preserve">Account Energy Imbalance </w:t>
            </w:r>
            <w:proofErr w:type="spellStart"/>
            <w:r w:rsidRPr="00630129">
              <w:rPr>
                <w:sz w:val="22"/>
                <w:szCs w:val="22"/>
              </w:rPr>
              <w:t>Cashflow</w:t>
            </w:r>
            <w:proofErr w:type="spellEnd"/>
            <w:r w:rsidRPr="00630129">
              <w:rPr>
                <w:sz w:val="22"/>
                <w:szCs w:val="22"/>
              </w:rPr>
              <w:t xml:space="preserve"> </w:t>
            </w:r>
          </w:p>
        </w:tc>
        <w:tc>
          <w:tcPr>
            <w:tcW w:w="974" w:type="pct"/>
            <w:tcMar>
              <w:top w:w="85" w:type="dxa"/>
              <w:left w:w="85" w:type="dxa"/>
              <w:bottom w:w="85" w:type="dxa"/>
              <w:right w:w="85" w:type="dxa"/>
            </w:tcMar>
          </w:tcPr>
          <w:p w14:paraId="1DE3F621" w14:textId="77777777" w:rsidR="006A10DE" w:rsidRPr="00630129" w:rsidRDefault="006A10DE" w:rsidP="00F60AD8">
            <w:pPr>
              <w:rPr>
                <w:sz w:val="22"/>
                <w:szCs w:val="22"/>
              </w:rPr>
            </w:pPr>
            <w:proofErr w:type="spellStart"/>
            <w:r w:rsidRPr="00630129">
              <w:rPr>
                <w:sz w:val="22"/>
                <w:szCs w:val="22"/>
              </w:rPr>
              <w:t>CAEI</w:t>
            </w:r>
            <w:r w:rsidRPr="00630129">
              <w:rPr>
                <w:sz w:val="22"/>
                <w:szCs w:val="22"/>
                <w:vertAlign w:val="subscript"/>
              </w:rPr>
              <w:t>aj</w:t>
            </w:r>
            <w:proofErr w:type="spellEnd"/>
          </w:p>
        </w:tc>
        <w:tc>
          <w:tcPr>
            <w:tcW w:w="492" w:type="pct"/>
            <w:tcMar>
              <w:top w:w="85" w:type="dxa"/>
              <w:left w:w="85" w:type="dxa"/>
              <w:bottom w:w="85" w:type="dxa"/>
              <w:right w:w="85" w:type="dxa"/>
            </w:tcMar>
          </w:tcPr>
          <w:p w14:paraId="4D6615E5" w14:textId="77777777" w:rsidR="006A10DE" w:rsidRPr="00630129" w:rsidRDefault="006A10DE" w:rsidP="00F60AD8">
            <w:pPr>
              <w:rPr>
                <w:sz w:val="22"/>
                <w:szCs w:val="22"/>
              </w:rPr>
            </w:pPr>
            <w:r w:rsidRPr="00630129">
              <w:rPr>
                <w:sz w:val="22"/>
                <w:szCs w:val="22"/>
              </w:rPr>
              <w:t>£</w:t>
            </w:r>
          </w:p>
        </w:tc>
        <w:tc>
          <w:tcPr>
            <w:tcW w:w="2540" w:type="pct"/>
            <w:tcMar>
              <w:top w:w="85" w:type="dxa"/>
              <w:left w:w="85" w:type="dxa"/>
              <w:bottom w:w="85" w:type="dxa"/>
              <w:right w:w="85" w:type="dxa"/>
            </w:tcMar>
          </w:tcPr>
          <w:p w14:paraId="6062DE16" w14:textId="77777777" w:rsidR="006A10DE" w:rsidRPr="00630129" w:rsidRDefault="006A10DE" w:rsidP="00F60AD8">
            <w:pPr>
              <w:spacing w:after="120"/>
              <w:rPr>
                <w:sz w:val="22"/>
                <w:szCs w:val="22"/>
              </w:rPr>
            </w:pPr>
            <w:r w:rsidRPr="00630129">
              <w:rPr>
                <w:sz w:val="22"/>
                <w:szCs w:val="22"/>
              </w:rPr>
              <w:t>The amount determined in accordance with Section T4.7.1.</w:t>
            </w:r>
          </w:p>
          <w:p w14:paraId="4BEEE169" w14:textId="77777777" w:rsidR="006A10DE" w:rsidRPr="00630129" w:rsidRDefault="006A10DE" w:rsidP="00F60AD8">
            <w:pPr>
              <w:rPr>
                <w:i/>
                <w:sz w:val="22"/>
                <w:szCs w:val="22"/>
              </w:rPr>
            </w:pPr>
            <w:r w:rsidRPr="00630129">
              <w:rPr>
                <w:i/>
                <w:sz w:val="22"/>
                <w:szCs w:val="22"/>
              </w:rPr>
              <w:t xml:space="preserve">The Account Energy Imbalance </w:t>
            </w:r>
            <w:proofErr w:type="spellStart"/>
            <w:r w:rsidRPr="00630129">
              <w:rPr>
                <w:i/>
                <w:sz w:val="22"/>
                <w:szCs w:val="22"/>
              </w:rPr>
              <w:t>Cashflow</w:t>
            </w:r>
            <w:proofErr w:type="spellEnd"/>
            <w:r w:rsidRPr="00630129">
              <w:rPr>
                <w:i/>
                <w:sz w:val="22"/>
                <w:szCs w:val="22"/>
              </w:rPr>
              <w:t xml:space="preserve"> is the total </w:t>
            </w:r>
            <w:proofErr w:type="spellStart"/>
            <w:r w:rsidRPr="00630129">
              <w:rPr>
                <w:i/>
                <w:sz w:val="22"/>
                <w:szCs w:val="22"/>
              </w:rPr>
              <w:t>cashflow</w:t>
            </w:r>
            <w:proofErr w:type="spellEnd"/>
            <w:r w:rsidRPr="00630129">
              <w:rPr>
                <w:i/>
                <w:sz w:val="22"/>
                <w:szCs w:val="22"/>
              </w:rPr>
              <w:t xml:space="preserve"> resulting from the Energy Imbalance of Energy Account a in Settlement Period j such that a negative quantity represents a payment to the Trading Party holding Energy Account a and a positive quantity represents a payment by the Trading Party holding Energy Account a.</w:t>
            </w:r>
          </w:p>
        </w:tc>
      </w:tr>
      <w:tr w:rsidR="006A10DE" w:rsidRPr="00630129" w14:paraId="3E902ABC" w14:textId="77777777" w:rsidTr="00A63BA8">
        <w:trPr>
          <w:cantSplit/>
        </w:trPr>
        <w:tc>
          <w:tcPr>
            <w:tcW w:w="994" w:type="pct"/>
            <w:tcMar>
              <w:top w:w="85" w:type="dxa"/>
              <w:left w:w="85" w:type="dxa"/>
              <w:bottom w:w="85" w:type="dxa"/>
              <w:right w:w="85" w:type="dxa"/>
            </w:tcMar>
          </w:tcPr>
          <w:p w14:paraId="0CF0F8A0" w14:textId="77777777" w:rsidR="006A10DE" w:rsidRPr="00630129" w:rsidRDefault="006A10DE" w:rsidP="00F60AD8">
            <w:pPr>
              <w:rPr>
                <w:sz w:val="22"/>
                <w:szCs w:val="22"/>
              </w:rPr>
            </w:pPr>
            <w:r w:rsidRPr="00630129">
              <w:rPr>
                <w:sz w:val="22"/>
                <w:szCs w:val="22"/>
              </w:rPr>
              <w:t>Account Energy Imbalance Volume</w:t>
            </w:r>
          </w:p>
        </w:tc>
        <w:tc>
          <w:tcPr>
            <w:tcW w:w="974" w:type="pct"/>
            <w:tcMar>
              <w:top w:w="85" w:type="dxa"/>
              <w:left w:w="85" w:type="dxa"/>
              <w:bottom w:w="85" w:type="dxa"/>
              <w:right w:w="85" w:type="dxa"/>
            </w:tcMar>
          </w:tcPr>
          <w:p w14:paraId="137ED929" w14:textId="77777777" w:rsidR="006A10DE" w:rsidRPr="00630129" w:rsidRDefault="006A10DE" w:rsidP="00F60AD8">
            <w:pPr>
              <w:rPr>
                <w:sz w:val="22"/>
                <w:szCs w:val="22"/>
              </w:rPr>
            </w:pPr>
            <w:proofErr w:type="spellStart"/>
            <w:r w:rsidRPr="00630129">
              <w:rPr>
                <w:sz w:val="22"/>
                <w:szCs w:val="22"/>
              </w:rPr>
              <w:t>QAEI</w:t>
            </w:r>
            <w:r w:rsidRPr="00630129">
              <w:rPr>
                <w:sz w:val="22"/>
                <w:szCs w:val="22"/>
                <w:vertAlign w:val="subscript"/>
              </w:rPr>
              <w:t>aj</w:t>
            </w:r>
            <w:proofErr w:type="spellEnd"/>
          </w:p>
        </w:tc>
        <w:tc>
          <w:tcPr>
            <w:tcW w:w="492" w:type="pct"/>
            <w:tcMar>
              <w:top w:w="85" w:type="dxa"/>
              <w:left w:w="85" w:type="dxa"/>
              <w:bottom w:w="85" w:type="dxa"/>
              <w:right w:w="85" w:type="dxa"/>
            </w:tcMar>
          </w:tcPr>
          <w:p w14:paraId="045DB4DE"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19F05A41" w14:textId="77777777" w:rsidR="006A10DE" w:rsidRPr="00630129" w:rsidRDefault="006A10DE" w:rsidP="00F60AD8">
            <w:pPr>
              <w:spacing w:after="120"/>
              <w:rPr>
                <w:sz w:val="22"/>
                <w:szCs w:val="22"/>
              </w:rPr>
            </w:pPr>
            <w:r w:rsidRPr="00630129">
              <w:rPr>
                <w:sz w:val="22"/>
                <w:szCs w:val="22"/>
              </w:rPr>
              <w:t>The quantity determined in accordance with Section T4.6.3.</w:t>
            </w:r>
          </w:p>
          <w:p w14:paraId="34C32C88" w14:textId="77777777" w:rsidR="006A10DE" w:rsidRPr="00630129" w:rsidRDefault="006A10DE" w:rsidP="00F60AD8">
            <w:pPr>
              <w:rPr>
                <w:sz w:val="22"/>
                <w:szCs w:val="22"/>
              </w:rPr>
            </w:pPr>
            <w:r w:rsidRPr="00630129">
              <w:rPr>
                <w:i/>
                <w:sz w:val="22"/>
                <w:szCs w:val="22"/>
              </w:rPr>
              <w:t>The Account Energy Imbalance Volume is the sum of the Account Credited Energy Volume, plus the Account Period Bid-Offer Volume less the Account Bilateral Contract Volume for Energy Account a, in Settlement Period j.</w:t>
            </w:r>
          </w:p>
        </w:tc>
      </w:tr>
      <w:tr w:rsidR="006A10DE" w:rsidRPr="00630129" w14:paraId="0043AD80" w14:textId="77777777" w:rsidTr="00A63BA8">
        <w:trPr>
          <w:cantSplit/>
        </w:trPr>
        <w:tc>
          <w:tcPr>
            <w:tcW w:w="994" w:type="pct"/>
            <w:tcMar>
              <w:top w:w="85" w:type="dxa"/>
              <w:left w:w="85" w:type="dxa"/>
              <w:bottom w:w="85" w:type="dxa"/>
              <w:right w:w="85" w:type="dxa"/>
            </w:tcMar>
          </w:tcPr>
          <w:p w14:paraId="3BC43328" w14:textId="77777777" w:rsidR="006A10DE" w:rsidRPr="00630129" w:rsidRDefault="006A10DE" w:rsidP="00F60AD8">
            <w:pPr>
              <w:rPr>
                <w:sz w:val="22"/>
                <w:szCs w:val="22"/>
              </w:rPr>
            </w:pPr>
            <w:r w:rsidRPr="00630129">
              <w:rPr>
                <w:sz w:val="22"/>
                <w:szCs w:val="22"/>
              </w:rPr>
              <w:t>Account Period Balancing Services Volume</w:t>
            </w:r>
          </w:p>
        </w:tc>
        <w:tc>
          <w:tcPr>
            <w:tcW w:w="974" w:type="pct"/>
            <w:tcMar>
              <w:top w:w="85" w:type="dxa"/>
              <w:left w:w="85" w:type="dxa"/>
              <w:bottom w:w="85" w:type="dxa"/>
              <w:right w:w="85" w:type="dxa"/>
            </w:tcMar>
          </w:tcPr>
          <w:p w14:paraId="70EB5C98" w14:textId="77777777" w:rsidR="006A10DE" w:rsidRPr="00630129" w:rsidRDefault="006A10DE" w:rsidP="00F60AD8">
            <w:pPr>
              <w:rPr>
                <w:sz w:val="22"/>
                <w:szCs w:val="22"/>
              </w:rPr>
            </w:pPr>
            <w:proofErr w:type="spellStart"/>
            <w:r w:rsidRPr="00630129">
              <w:rPr>
                <w:sz w:val="22"/>
                <w:szCs w:val="22"/>
              </w:rPr>
              <w:t>QABS</w:t>
            </w:r>
            <w:r w:rsidRPr="00630129">
              <w:rPr>
                <w:sz w:val="22"/>
                <w:szCs w:val="22"/>
                <w:vertAlign w:val="subscript"/>
              </w:rPr>
              <w:t>aj</w:t>
            </w:r>
            <w:proofErr w:type="spellEnd"/>
          </w:p>
        </w:tc>
        <w:tc>
          <w:tcPr>
            <w:tcW w:w="492" w:type="pct"/>
            <w:tcMar>
              <w:top w:w="85" w:type="dxa"/>
              <w:left w:w="85" w:type="dxa"/>
              <w:bottom w:w="85" w:type="dxa"/>
              <w:right w:w="85" w:type="dxa"/>
            </w:tcMar>
          </w:tcPr>
          <w:p w14:paraId="104C35F9"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56BF4395" w14:textId="77777777" w:rsidR="006A10DE" w:rsidRPr="00630129" w:rsidRDefault="006A10DE" w:rsidP="00F60AD8">
            <w:pPr>
              <w:spacing w:after="120"/>
              <w:rPr>
                <w:sz w:val="22"/>
                <w:szCs w:val="22"/>
              </w:rPr>
            </w:pPr>
            <w:r w:rsidRPr="00630129">
              <w:rPr>
                <w:sz w:val="22"/>
                <w:szCs w:val="22"/>
              </w:rPr>
              <w:t>The quantity determined in accordance with Section T4.6.2.</w:t>
            </w:r>
          </w:p>
          <w:p w14:paraId="029098D4" w14:textId="77777777" w:rsidR="006A10DE" w:rsidRPr="00630129" w:rsidRDefault="006A10DE" w:rsidP="00F60AD8">
            <w:pPr>
              <w:rPr>
                <w:i/>
                <w:sz w:val="22"/>
                <w:szCs w:val="22"/>
              </w:rPr>
            </w:pPr>
            <w:r w:rsidRPr="00630129">
              <w:rPr>
                <w:i/>
                <w:sz w:val="22"/>
                <w:szCs w:val="22"/>
              </w:rPr>
              <w:t>The Account Period Balancing Services Volume is the sum of the net quantity of all accepted Bids and Offers, and the net energy associated with delivery of Applicable Balancing Services from all BM Units for which Energy Account a is the Lead Energy Account in Settlement Period j.</w:t>
            </w:r>
          </w:p>
        </w:tc>
      </w:tr>
      <w:tr w:rsidR="006A10DE" w:rsidRPr="00630129" w14:paraId="7B2C549D" w14:textId="77777777" w:rsidTr="00A63BA8">
        <w:trPr>
          <w:cantSplit/>
        </w:trPr>
        <w:tc>
          <w:tcPr>
            <w:tcW w:w="994" w:type="pct"/>
            <w:tcMar>
              <w:top w:w="85" w:type="dxa"/>
              <w:left w:w="85" w:type="dxa"/>
              <w:bottom w:w="85" w:type="dxa"/>
              <w:right w:w="85" w:type="dxa"/>
            </w:tcMar>
          </w:tcPr>
          <w:p w14:paraId="3F63A89F" w14:textId="77777777" w:rsidR="006A10DE" w:rsidRPr="00630129" w:rsidRDefault="006A10DE" w:rsidP="00F60AD8">
            <w:pPr>
              <w:rPr>
                <w:sz w:val="22"/>
                <w:szCs w:val="22"/>
              </w:rPr>
            </w:pPr>
            <w:r w:rsidRPr="00630129">
              <w:rPr>
                <w:sz w:val="22"/>
                <w:szCs w:val="22"/>
              </w:rPr>
              <w:lastRenderedPageBreak/>
              <w:t>Activated Quantity</w:t>
            </w:r>
          </w:p>
        </w:tc>
        <w:tc>
          <w:tcPr>
            <w:tcW w:w="974" w:type="pct"/>
            <w:tcMar>
              <w:top w:w="85" w:type="dxa"/>
              <w:left w:w="85" w:type="dxa"/>
              <w:bottom w:w="85" w:type="dxa"/>
              <w:right w:w="85" w:type="dxa"/>
            </w:tcMar>
          </w:tcPr>
          <w:p w14:paraId="6D48B12C" w14:textId="77777777" w:rsidR="006A10DE" w:rsidRPr="00630129" w:rsidRDefault="006A10DE" w:rsidP="00F60AD8">
            <w:pPr>
              <w:rPr>
                <w:sz w:val="22"/>
                <w:szCs w:val="22"/>
              </w:rPr>
            </w:pPr>
          </w:p>
        </w:tc>
        <w:tc>
          <w:tcPr>
            <w:tcW w:w="492" w:type="pct"/>
            <w:tcMar>
              <w:top w:w="85" w:type="dxa"/>
              <w:left w:w="85" w:type="dxa"/>
              <w:bottom w:w="85" w:type="dxa"/>
              <w:right w:w="85" w:type="dxa"/>
            </w:tcMar>
          </w:tcPr>
          <w:p w14:paraId="18C1D7A1" w14:textId="77777777" w:rsidR="006A10DE" w:rsidRPr="00630129" w:rsidRDefault="006A10DE" w:rsidP="00F60AD8">
            <w:pPr>
              <w:rPr>
                <w:sz w:val="22"/>
                <w:szCs w:val="22"/>
              </w:rPr>
            </w:pPr>
            <w:r w:rsidRPr="00630129">
              <w:rPr>
                <w:sz w:val="22"/>
                <w:szCs w:val="22"/>
              </w:rPr>
              <w:t>MW</w:t>
            </w:r>
          </w:p>
        </w:tc>
        <w:tc>
          <w:tcPr>
            <w:tcW w:w="2540" w:type="pct"/>
            <w:tcMar>
              <w:top w:w="85" w:type="dxa"/>
              <w:left w:w="85" w:type="dxa"/>
              <w:bottom w:w="85" w:type="dxa"/>
              <w:right w:w="85" w:type="dxa"/>
            </w:tcMar>
          </w:tcPr>
          <w:p w14:paraId="5F79EBAA" w14:textId="77777777" w:rsidR="006A10DE" w:rsidRPr="00630129" w:rsidRDefault="006A10DE" w:rsidP="00F60AD8">
            <w:pPr>
              <w:spacing w:after="120"/>
              <w:rPr>
                <w:sz w:val="22"/>
                <w:szCs w:val="22"/>
              </w:rPr>
            </w:pPr>
            <w:r w:rsidRPr="00630129">
              <w:rPr>
                <w:sz w:val="22"/>
                <w:szCs w:val="22"/>
              </w:rPr>
              <w:t>In respect of a Position, the quantity of energy to be activated.</w:t>
            </w:r>
          </w:p>
          <w:p w14:paraId="6352D117" w14:textId="77777777" w:rsidR="006A10DE" w:rsidRPr="00630129" w:rsidRDefault="006A10DE" w:rsidP="00F60AD8">
            <w:pPr>
              <w:rPr>
                <w:sz w:val="22"/>
                <w:szCs w:val="22"/>
              </w:rPr>
            </w:pPr>
            <w:r w:rsidRPr="00630129">
              <w:rPr>
                <w:i/>
                <w:sz w:val="22"/>
                <w:szCs w:val="22"/>
              </w:rPr>
              <w:t xml:space="preserve">Activated Quantity forms part of the </w:t>
            </w:r>
            <w:r w:rsidRPr="00630129">
              <w:rPr>
                <w:i/>
                <w:sz w:val="22"/>
              </w:rPr>
              <w:t>Replacement Reserve Activation Data, GB Need Met Data and Interconnector Schedule Data for each Position and is submitted by the NETSO pursuant to Section Q.</w:t>
            </w:r>
          </w:p>
        </w:tc>
      </w:tr>
      <w:tr w:rsidR="006A10DE" w:rsidRPr="00630129" w14:paraId="2D48F2F3" w14:textId="77777777" w:rsidTr="00A63BA8">
        <w:trPr>
          <w:cantSplit/>
        </w:trPr>
        <w:tc>
          <w:tcPr>
            <w:tcW w:w="994" w:type="pct"/>
            <w:tcMar>
              <w:top w:w="85" w:type="dxa"/>
              <w:left w:w="85" w:type="dxa"/>
              <w:bottom w:w="85" w:type="dxa"/>
              <w:right w:w="85" w:type="dxa"/>
            </w:tcMar>
          </w:tcPr>
          <w:p w14:paraId="6EB71580" w14:textId="77777777" w:rsidR="006A10DE" w:rsidRPr="00630129" w:rsidRDefault="006A10DE" w:rsidP="00F60AD8">
            <w:pPr>
              <w:rPr>
                <w:sz w:val="22"/>
                <w:szCs w:val="22"/>
              </w:rPr>
            </w:pPr>
            <w:r w:rsidRPr="00630129">
              <w:rPr>
                <w:rFonts w:eastAsia="Times"/>
                <w:sz w:val="22"/>
                <w:szCs w:val="22"/>
              </w:rPr>
              <w:t xml:space="preserve">Actual Energy Indebtedness </w:t>
            </w:r>
          </w:p>
        </w:tc>
        <w:tc>
          <w:tcPr>
            <w:tcW w:w="974" w:type="pct"/>
            <w:tcMar>
              <w:top w:w="85" w:type="dxa"/>
              <w:left w:w="85" w:type="dxa"/>
              <w:bottom w:w="85" w:type="dxa"/>
              <w:right w:w="85" w:type="dxa"/>
            </w:tcMar>
          </w:tcPr>
          <w:p w14:paraId="00C0C31E" w14:textId="77777777" w:rsidR="006A10DE" w:rsidRPr="00630129" w:rsidRDefault="006A10DE" w:rsidP="00F60AD8">
            <w:pPr>
              <w:rPr>
                <w:sz w:val="22"/>
                <w:szCs w:val="22"/>
              </w:rPr>
            </w:pPr>
            <w:proofErr w:type="spellStart"/>
            <w:r w:rsidRPr="00630129">
              <w:rPr>
                <w:sz w:val="22"/>
                <w:szCs w:val="22"/>
              </w:rPr>
              <w:t>AEI</w:t>
            </w:r>
            <w:r w:rsidRPr="00630129">
              <w:rPr>
                <w:sz w:val="22"/>
                <w:szCs w:val="22"/>
                <w:vertAlign w:val="subscript"/>
              </w:rPr>
              <w:t>p</w:t>
            </w:r>
            <w:proofErr w:type="spellEnd"/>
          </w:p>
        </w:tc>
        <w:tc>
          <w:tcPr>
            <w:tcW w:w="492" w:type="pct"/>
            <w:tcMar>
              <w:top w:w="85" w:type="dxa"/>
              <w:left w:w="85" w:type="dxa"/>
              <w:bottom w:w="85" w:type="dxa"/>
              <w:right w:w="85" w:type="dxa"/>
            </w:tcMar>
          </w:tcPr>
          <w:p w14:paraId="7E0A13DC"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63A8E771" w14:textId="77777777" w:rsidR="006A10DE" w:rsidRPr="00630129" w:rsidRDefault="006A10DE" w:rsidP="00F60AD8">
            <w:pPr>
              <w:spacing w:after="120"/>
              <w:rPr>
                <w:sz w:val="22"/>
                <w:szCs w:val="22"/>
              </w:rPr>
            </w:pPr>
            <w:r w:rsidRPr="00630129">
              <w:rPr>
                <w:sz w:val="22"/>
                <w:szCs w:val="22"/>
              </w:rPr>
              <w:t>The amount determined as such in accordance with Section M1.2.5.</w:t>
            </w:r>
          </w:p>
          <w:p w14:paraId="61C3BD7B" w14:textId="77777777" w:rsidR="006A10DE" w:rsidRPr="00630129" w:rsidRDefault="006A10DE" w:rsidP="00F60AD8">
            <w:pPr>
              <w:rPr>
                <w:i/>
                <w:sz w:val="22"/>
                <w:szCs w:val="22"/>
              </w:rPr>
            </w:pPr>
            <w:r w:rsidRPr="00630129">
              <w:rPr>
                <w:i/>
                <w:sz w:val="22"/>
                <w:szCs w:val="22"/>
              </w:rPr>
              <w:t xml:space="preserve">The Actual Energy Indebtedness is the net energy contribution determined to be allocated to a Trading Party for Settlement Periods as defined in Section M1.2.1. </w:t>
            </w:r>
          </w:p>
        </w:tc>
      </w:tr>
      <w:tr w:rsidR="006A10DE" w:rsidRPr="00630129" w14:paraId="69ECED48" w14:textId="77777777" w:rsidTr="00A63BA8">
        <w:trPr>
          <w:cantSplit/>
        </w:trPr>
        <w:tc>
          <w:tcPr>
            <w:tcW w:w="994" w:type="pct"/>
            <w:tcMar>
              <w:top w:w="85" w:type="dxa"/>
              <w:left w:w="85" w:type="dxa"/>
              <w:bottom w:w="85" w:type="dxa"/>
              <w:right w:w="85" w:type="dxa"/>
            </w:tcMar>
          </w:tcPr>
          <w:p w14:paraId="629D10E4" w14:textId="77777777" w:rsidR="006A10DE" w:rsidRPr="00FC0D03" w:rsidRDefault="006A10DE" w:rsidP="00F60AD8">
            <w:pPr>
              <w:rPr>
                <w:sz w:val="22"/>
              </w:rPr>
            </w:pPr>
          </w:p>
        </w:tc>
        <w:tc>
          <w:tcPr>
            <w:tcW w:w="974" w:type="pct"/>
            <w:tcMar>
              <w:top w:w="85" w:type="dxa"/>
              <w:left w:w="85" w:type="dxa"/>
              <w:bottom w:w="85" w:type="dxa"/>
              <w:right w:w="85" w:type="dxa"/>
            </w:tcMar>
          </w:tcPr>
          <w:p w14:paraId="3E9DF902" w14:textId="77777777" w:rsidR="006A10DE" w:rsidRPr="00FC0D03" w:rsidRDefault="006A10DE" w:rsidP="00F60AD8">
            <w:pPr>
              <w:rPr>
                <w:sz w:val="22"/>
              </w:rPr>
            </w:pPr>
          </w:p>
        </w:tc>
        <w:tc>
          <w:tcPr>
            <w:tcW w:w="492" w:type="pct"/>
            <w:tcMar>
              <w:top w:w="85" w:type="dxa"/>
              <w:left w:w="85" w:type="dxa"/>
              <w:bottom w:w="85" w:type="dxa"/>
              <w:right w:w="85" w:type="dxa"/>
            </w:tcMar>
          </w:tcPr>
          <w:p w14:paraId="4D669712" w14:textId="77777777" w:rsidR="006A10DE" w:rsidRPr="00FC0D03" w:rsidRDefault="006A10DE" w:rsidP="00F60AD8">
            <w:pPr>
              <w:rPr>
                <w:sz w:val="22"/>
              </w:rPr>
            </w:pPr>
          </w:p>
        </w:tc>
        <w:tc>
          <w:tcPr>
            <w:tcW w:w="2540" w:type="pct"/>
            <w:tcMar>
              <w:top w:w="85" w:type="dxa"/>
              <w:left w:w="85" w:type="dxa"/>
              <w:bottom w:w="85" w:type="dxa"/>
              <w:right w:w="85" w:type="dxa"/>
            </w:tcMar>
          </w:tcPr>
          <w:p w14:paraId="73BE631B" w14:textId="77777777" w:rsidR="006A10DE" w:rsidRPr="00FC0D03" w:rsidRDefault="006A10DE" w:rsidP="00F60AD8">
            <w:pPr>
              <w:spacing w:after="120"/>
              <w:rPr>
                <w:sz w:val="22"/>
              </w:rPr>
            </w:pPr>
          </w:p>
        </w:tc>
      </w:tr>
      <w:tr w:rsidR="006A10DE" w:rsidRPr="00630129" w14:paraId="4DD0FF48" w14:textId="77777777" w:rsidTr="00A63BA8">
        <w:trPr>
          <w:cantSplit/>
        </w:trPr>
        <w:tc>
          <w:tcPr>
            <w:tcW w:w="994" w:type="pct"/>
            <w:tcMar>
              <w:top w:w="85" w:type="dxa"/>
              <w:left w:w="85" w:type="dxa"/>
              <w:bottom w:w="85" w:type="dxa"/>
              <w:right w:w="85" w:type="dxa"/>
            </w:tcMar>
          </w:tcPr>
          <w:p w14:paraId="4157C157" w14:textId="77777777" w:rsidR="006A10DE" w:rsidRPr="00630129" w:rsidRDefault="006A10DE" w:rsidP="00F60AD8">
            <w:pPr>
              <w:rPr>
                <w:sz w:val="22"/>
                <w:szCs w:val="22"/>
              </w:rPr>
            </w:pPr>
            <w:r w:rsidRPr="00630129">
              <w:rPr>
                <w:sz w:val="22"/>
                <w:szCs w:val="22"/>
              </w:rPr>
              <w:t>Arbitrage Tagged</w:t>
            </w:r>
          </w:p>
        </w:tc>
        <w:tc>
          <w:tcPr>
            <w:tcW w:w="974" w:type="pct"/>
            <w:tcMar>
              <w:top w:w="85" w:type="dxa"/>
              <w:left w:w="85" w:type="dxa"/>
              <w:bottom w:w="85" w:type="dxa"/>
              <w:right w:w="85" w:type="dxa"/>
            </w:tcMar>
          </w:tcPr>
          <w:p w14:paraId="5EA10CCE" w14:textId="77777777" w:rsidR="006A10DE" w:rsidRPr="00630129" w:rsidRDefault="006A10DE" w:rsidP="00F60AD8">
            <w:pPr>
              <w:rPr>
                <w:sz w:val="22"/>
                <w:szCs w:val="22"/>
              </w:rPr>
            </w:pPr>
          </w:p>
        </w:tc>
        <w:tc>
          <w:tcPr>
            <w:tcW w:w="492" w:type="pct"/>
            <w:tcMar>
              <w:top w:w="85" w:type="dxa"/>
              <w:left w:w="85" w:type="dxa"/>
              <w:bottom w:w="85" w:type="dxa"/>
              <w:right w:w="85" w:type="dxa"/>
            </w:tcMar>
          </w:tcPr>
          <w:p w14:paraId="637531BF"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22025058" w14:textId="77777777" w:rsidR="006A10DE" w:rsidRPr="00630129" w:rsidRDefault="006A10DE" w:rsidP="00F60AD8">
            <w:pPr>
              <w:rPr>
                <w:sz w:val="22"/>
                <w:szCs w:val="22"/>
              </w:rPr>
            </w:pPr>
            <w:r w:rsidRPr="00630129">
              <w:rPr>
                <w:sz w:val="22"/>
                <w:szCs w:val="22"/>
              </w:rPr>
              <w:t>Arbitrage Tagged as provided in paragraph 7 of Part 1 of Annex T-1.</w:t>
            </w:r>
          </w:p>
        </w:tc>
      </w:tr>
      <w:tr w:rsidR="006A10DE" w:rsidRPr="00630129" w14:paraId="732E58C2"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5DE59A7" w14:textId="77777777" w:rsidR="006A10DE" w:rsidRPr="00630129" w:rsidRDefault="006A10DE" w:rsidP="00F60AD8">
            <w:pPr>
              <w:rPr>
                <w:sz w:val="22"/>
                <w:szCs w:val="22"/>
              </w:rPr>
            </w:pPr>
            <w:r w:rsidRPr="00630129">
              <w:rPr>
                <w:sz w:val="22"/>
                <w:szCs w:val="22"/>
              </w:rPr>
              <w:t>Balancing Demand Control Volume</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E22361C" w14:textId="77777777" w:rsidR="006A10DE" w:rsidRPr="00630129" w:rsidRDefault="006A10DE" w:rsidP="00F60AD8">
            <w:pPr>
              <w:rPr>
                <w:sz w:val="22"/>
                <w:szCs w:val="22"/>
              </w:rPr>
            </w:pPr>
            <w:proofErr w:type="spellStart"/>
            <w:r w:rsidRPr="00630129">
              <w:rPr>
                <w:sz w:val="22"/>
                <w:szCs w:val="22"/>
              </w:rPr>
              <w:t>QBDC</w:t>
            </w:r>
            <w:r w:rsidRPr="00630129">
              <w:rPr>
                <w:sz w:val="22"/>
                <w:szCs w:val="22"/>
                <w:vertAlign w:val="subscript"/>
              </w:rPr>
              <w:t>cj</w:t>
            </w:r>
            <w:proofErr w:type="spellEnd"/>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1828CDE" w14:textId="77777777" w:rsidR="006A10DE" w:rsidRPr="00630129" w:rsidRDefault="006A10DE" w:rsidP="00F60AD8">
            <w:pPr>
              <w:rPr>
                <w:sz w:val="22"/>
                <w:szCs w:val="22"/>
              </w:rPr>
            </w:pPr>
            <w:r w:rsidRPr="00630129">
              <w:rPr>
                <w:sz w:val="22"/>
                <w:szCs w:val="22"/>
              </w:rPr>
              <w:t>MWh</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862D912" w14:textId="77777777" w:rsidR="006A10DE" w:rsidRPr="00630129" w:rsidRDefault="006A10DE" w:rsidP="00F60AD8">
            <w:pPr>
              <w:rPr>
                <w:sz w:val="22"/>
                <w:szCs w:val="22"/>
              </w:rPr>
            </w:pPr>
            <w:r w:rsidRPr="00630129">
              <w:rPr>
                <w:sz w:val="22"/>
                <w:szCs w:val="22"/>
              </w:rPr>
              <w:t>Has the meaning given to it in Section T3.15.3(b).</w:t>
            </w:r>
          </w:p>
        </w:tc>
      </w:tr>
      <w:tr w:rsidR="006A10DE" w:rsidRPr="00630129" w14:paraId="5D1999C4"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41006C8" w14:textId="77777777" w:rsidR="006A10DE" w:rsidRPr="00630129" w:rsidRDefault="006A10DE" w:rsidP="00F60AD8">
            <w:pPr>
              <w:rPr>
                <w:sz w:val="22"/>
                <w:szCs w:val="22"/>
              </w:rPr>
            </w:pPr>
            <w:r w:rsidRPr="00630129">
              <w:rPr>
                <w:sz w:val="22"/>
                <w:szCs w:val="22"/>
              </w:rPr>
              <w:t>Balancing Energy Deviation Price</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5E10DB0" w14:textId="77777777" w:rsidR="006A10DE" w:rsidRPr="00630129" w:rsidRDefault="006A10DE" w:rsidP="00F60AD8">
            <w:pPr>
              <w:rPr>
                <w:sz w:val="22"/>
                <w:szCs w:val="22"/>
              </w:rPr>
            </w:pPr>
            <w:proofErr w:type="spellStart"/>
            <w:r w:rsidRPr="00630129">
              <w:rPr>
                <w:sz w:val="22"/>
                <w:szCs w:val="22"/>
              </w:rPr>
              <w:t>BEDP</w:t>
            </w:r>
            <w:r w:rsidRPr="00630129">
              <w:rPr>
                <w:sz w:val="22"/>
                <w:szCs w:val="22"/>
                <w:vertAlign w:val="subscript"/>
              </w:rPr>
              <w:t>j</w:t>
            </w:r>
            <w:proofErr w:type="spellEnd"/>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5D6C30D" w14:textId="77777777" w:rsidR="006A10DE" w:rsidRPr="00630129" w:rsidRDefault="006A10DE" w:rsidP="00F60AD8">
            <w:pPr>
              <w:rPr>
                <w:sz w:val="22"/>
                <w:szCs w:val="22"/>
              </w:rPr>
            </w:pPr>
            <w:r w:rsidRPr="00630129">
              <w:rPr>
                <w:sz w:val="22"/>
                <w:szCs w:val="22"/>
              </w:rPr>
              <w:t>£/MWh</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B058059" w14:textId="77777777" w:rsidR="006A10DE" w:rsidRPr="00630129" w:rsidRDefault="006A10DE" w:rsidP="00F60AD8">
            <w:pPr>
              <w:rPr>
                <w:sz w:val="22"/>
                <w:szCs w:val="22"/>
              </w:rPr>
            </w:pPr>
            <w:r w:rsidRPr="00630129">
              <w:rPr>
                <w:sz w:val="22"/>
                <w:szCs w:val="22"/>
              </w:rPr>
              <w:t>The price specified in Section T3.23, being an amount equal to zero.</w:t>
            </w:r>
          </w:p>
        </w:tc>
      </w:tr>
      <w:tr w:rsidR="006A10DE" w:rsidRPr="00630129" w14:paraId="78188E6E" w14:textId="77777777" w:rsidTr="00A63BA8">
        <w:trPr>
          <w:cantSplit/>
        </w:trPr>
        <w:tc>
          <w:tcPr>
            <w:tcW w:w="994" w:type="pct"/>
            <w:tcMar>
              <w:top w:w="85" w:type="dxa"/>
              <w:left w:w="85" w:type="dxa"/>
              <w:bottom w:w="85" w:type="dxa"/>
              <w:right w:w="85" w:type="dxa"/>
            </w:tcMar>
          </w:tcPr>
          <w:p w14:paraId="3A2CE053" w14:textId="77777777" w:rsidR="006A10DE" w:rsidRPr="00630129" w:rsidRDefault="006A10DE" w:rsidP="00F60AD8">
            <w:pPr>
              <w:rPr>
                <w:sz w:val="22"/>
                <w:szCs w:val="22"/>
              </w:rPr>
            </w:pPr>
            <w:r w:rsidRPr="00630129">
              <w:rPr>
                <w:sz w:val="22"/>
                <w:szCs w:val="22"/>
              </w:rPr>
              <w:t>Balancing Mechanism Window Period</w:t>
            </w:r>
          </w:p>
        </w:tc>
        <w:tc>
          <w:tcPr>
            <w:tcW w:w="974" w:type="pct"/>
            <w:tcMar>
              <w:top w:w="85" w:type="dxa"/>
              <w:left w:w="85" w:type="dxa"/>
              <w:bottom w:w="85" w:type="dxa"/>
              <w:right w:w="85" w:type="dxa"/>
            </w:tcMar>
          </w:tcPr>
          <w:p w14:paraId="66A6AE1C" w14:textId="77777777" w:rsidR="006A10DE" w:rsidRPr="00630129" w:rsidRDefault="006A10DE" w:rsidP="00F60AD8">
            <w:pPr>
              <w:rPr>
                <w:sz w:val="22"/>
                <w:szCs w:val="22"/>
              </w:rPr>
            </w:pPr>
          </w:p>
        </w:tc>
        <w:tc>
          <w:tcPr>
            <w:tcW w:w="492" w:type="pct"/>
            <w:tcMar>
              <w:top w:w="85" w:type="dxa"/>
              <w:left w:w="85" w:type="dxa"/>
              <w:bottom w:w="85" w:type="dxa"/>
              <w:right w:w="85" w:type="dxa"/>
            </w:tcMar>
          </w:tcPr>
          <w:p w14:paraId="23725FD6"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75D34B49" w14:textId="77777777" w:rsidR="006A10DE" w:rsidRPr="00630129" w:rsidRDefault="006A10DE" w:rsidP="00F60AD8">
            <w:pPr>
              <w:spacing w:after="120"/>
              <w:rPr>
                <w:sz w:val="22"/>
                <w:szCs w:val="22"/>
              </w:rPr>
            </w:pPr>
            <w:r w:rsidRPr="00630129">
              <w:rPr>
                <w:sz w:val="22"/>
                <w:szCs w:val="22"/>
              </w:rPr>
              <w:t>In relation to a particular time, the Balancing Mechanism Window Period is the period from that time to the end of the Settlement Period for which Gate Closure has most recently occurred at that time.</w:t>
            </w:r>
          </w:p>
          <w:p w14:paraId="45FC38B7" w14:textId="77777777" w:rsidR="006A10DE" w:rsidRPr="00630129" w:rsidRDefault="006A10DE" w:rsidP="00F60AD8">
            <w:pPr>
              <w:rPr>
                <w:i/>
                <w:sz w:val="22"/>
                <w:szCs w:val="22"/>
              </w:rPr>
            </w:pPr>
            <w:r w:rsidRPr="00630129">
              <w:rPr>
                <w:i/>
                <w:sz w:val="22"/>
                <w:szCs w:val="22"/>
              </w:rPr>
              <w:t>The Balancing Mechanism Window Period has a duration of between 1 and 1 ½ hours.</w:t>
            </w:r>
          </w:p>
        </w:tc>
      </w:tr>
      <w:tr w:rsidR="006A10DE" w:rsidRPr="00630129" w14:paraId="200FF729" w14:textId="77777777" w:rsidTr="00A63BA8">
        <w:trPr>
          <w:cantSplit/>
        </w:trPr>
        <w:tc>
          <w:tcPr>
            <w:tcW w:w="994" w:type="pct"/>
            <w:tcMar>
              <w:top w:w="85" w:type="dxa"/>
              <w:left w:w="85" w:type="dxa"/>
              <w:bottom w:w="85" w:type="dxa"/>
              <w:right w:w="85" w:type="dxa"/>
            </w:tcMar>
          </w:tcPr>
          <w:p w14:paraId="611D1CE0" w14:textId="77777777" w:rsidR="006A10DE" w:rsidRPr="00630129" w:rsidRDefault="006A10DE" w:rsidP="00F60AD8">
            <w:pPr>
              <w:rPr>
                <w:sz w:val="22"/>
                <w:szCs w:val="22"/>
              </w:rPr>
            </w:pPr>
            <w:r w:rsidRPr="00630129">
              <w:rPr>
                <w:sz w:val="22"/>
                <w:szCs w:val="22"/>
              </w:rPr>
              <w:t>Balancing Services Adjustment Action</w:t>
            </w:r>
          </w:p>
        </w:tc>
        <w:tc>
          <w:tcPr>
            <w:tcW w:w="974" w:type="pct"/>
            <w:tcMar>
              <w:top w:w="85" w:type="dxa"/>
              <w:left w:w="85" w:type="dxa"/>
              <w:bottom w:w="85" w:type="dxa"/>
              <w:right w:w="85" w:type="dxa"/>
            </w:tcMar>
          </w:tcPr>
          <w:p w14:paraId="34E9B496" w14:textId="77777777" w:rsidR="006A10DE" w:rsidRPr="00630129" w:rsidRDefault="006A10DE" w:rsidP="00F60AD8">
            <w:pPr>
              <w:rPr>
                <w:sz w:val="22"/>
                <w:szCs w:val="22"/>
              </w:rPr>
            </w:pPr>
            <w:r w:rsidRPr="00630129">
              <w:rPr>
                <w:sz w:val="22"/>
                <w:szCs w:val="22"/>
              </w:rPr>
              <w:t>m</w:t>
            </w:r>
          </w:p>
        </w:tc>
        <w:tc>
          <w:tcPr>
            <w:tcW w:w="492" w:type="pct"/>
            <w:tcMar>
              <w:top w:w="85" w:type="dxa"/>
              <w:left w:w="85" w:type="dxa"/>
              <w:bottom w:w="85" w:type="dxa"/>
              <w:right w:w="85" w:type="dxa"/>
            </w:tcMar>
          </w:tcPr>
          <w:p w14:paraId="04C1B7F6"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16BB0733" w14:textId="77777777" w:rsidR="006A10DE" w:rsidRPr="00630129" w:rsidRDefault="006A10DE" w:rsidP="00F60AD8">
            <w:pPr>
              <w:rPr>
                <w:sz w:val="22"/>
                <w:szCs w:val="22"/>
              </w:rPr>
            </w:pPr>
            <w:r w:rsidRPr="00630129">
              <w:rPr>
                <w:sz w:val="22"/>
                <w:szCs w:val="22"/>
              </w:rPr>
              <w:t>An individual item in the Balancing Services Adjustment Data for which data is provided pursuant to Section Q6.3.2(b).</w:t>
            </w:r>
          </w:p>
        </w:tc>
      </w:tr>
      <w:tr w:rsidR="006A10DE" w:rsidRPr="00630129" w14:paraId="55EB06B5" w14:textId="77777777" w:rsidTr="00A63BA8">
        <w:trPr>
          <w:cantSplit/>
        </w:trPr>
        <w:tc>
          <w:tcPr>
            <w:tcW w:w="994" w:type="pct"/>
            <w:tcMar>
              <w:top w:w="85" w:type="dxa"/>
              <w:left w:w="85" w:type="dxa"/>
              <w:bottom w:w="85" w:type="dxa"/>
              <w:right w:w="85" w:type="dxa"/>
            </w:tcMar>
          </w:tcPr>
          <w:p w14:paraId="1F89AC40" w14:textId="77777777" w:rsidR="006A10DE" w:rsidRPr="00630129" w:rsidRDefault="006A10DE" w:rsidP="00F60AD8">
            <w:pPr>
              <w:rPr>
                <w:sz w:val="22"/>
                <w:szCs w:val="22"/>
              </w:rPr>
            </w:pPr>
            <w:r w:rsidRPr="00630129">
              <w:rPr>
                <w:sz w:val="22"/>
                <w:szCs w:val="22"/>
              </w:rPr>
              <w:t xml:space="preserve">Balancing Services Adjustment Buy Action </w:t>
            </w:r>
          </w:p>
        </w:tc>
        <w:tc>
          <w:tcPr>
            <w:tcW w:w="974" w:type="pct"/>
            <w:tcMar>
              <w:top w:w="85" w:type="dxa"/>
              <w:left w:w="85" w:type="dxa"/>
              <w:bottom w:w="85" w:type="dxa"/>
              <w:right w:w="85" w:type="dxa"/>
            </w:tcMar>
          </w:tcPr>
          <w:p w14:paraId="7FA1CA3E" w14:textId="77777777" w:rsidR="006A10DE" w:rsidRPr="00630129" w:rsidRDefault="006A10DE" w:rsidP="00F60AD8">
            <w:pPr>
              <w:rPr>
                <w:sz w:val="22"/>
                <w:szCs w:val="22"/>
              </w:rPr>
            </w:pPr>
            <w:r w:rsidRPr="00630129">
              <w:rPr>
                <w:sz w:val="22"/>
                <w:szCs w:val="22"/>
              </w:rPr>
              <w:t>m</w:t>
            </w:r>
          </w:p>
        </w:tc>
        <w:tc>
          <w:tcPr>
            <w:tcW w:w="492" w:type="pct"/>
            <w:tcMar>
              <w:top w:w="85" w:type="dxa"/>
              <w:left w:w="85" w:type="dxa"/>
              <w:bottom w:w="85" w:type="dxa"/>
              <w:right w:w="85" w:type="dxa"/>
            </w:tcMar>
          </w:tcPr>
          <w:p w14:paraId="7CD8B929"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214457DA" w14:textId="77777777" w:rsidR="006A10DE" w:rsidRPr="00630129" w:rsidRDefault="006A10DE" w:rsidP="00F60AD8">
            <w:pPr>
              <w:rPr>
                <w:sz w:val="22"/>
                <w:szCs w:val="22"/>
              </w:rPr>
            </w:pPr>
            <w:r w:rsidRPr="00630129">
              <w:rPr>
                <w:sz w:val="22"/>
                <w:szCs w:val="22"/>
              </w:rPr>
              <w:t>A Balancing Services Adjustment Action for which the Balancing Services Adjustment Volume is positive.</w:t>
            </w:r>
          </w:p>
        </w:tc>
      </w:tr>
      <w:tr w:rsidR="006A10DE" w:rsidRPr="00630129" w14:paraId="0BA8E2F7" w14:textId="77777777" w:rsidTr="00A63BA8">
        <w:trPr>
          <w:cantSplit/>
        </w:trPr>
        <w:tc>
          <w:tcPr>
            <w:tcW w:w="994" w:type="pct"/>
            <w:tcMar>
              <w:top w:w="85" w:type="dxa"/>
              <w:left w:w="85" w:type="dxa"/>
              <w:bottom w:w="85" w:type="dxa"/>
              <w:right w:w="85" w:type="dxa"/>
            </w:tcMar>
          </w:tcPr>
          <w:p w14:paraId="346D36A8" w14:textId="77777777" w:rsidR="006A10DE" w:rsidRPr="00630129" w:rsidRDefault="006A10DE" w:rsidP="00F60AD8">
            <w:pPr>
              <w:rPr>
                <w:sz w:val="22"/>
                <w:szCs w:val="22"/>
              </w:rPr>
            </w:pPr>
            <w:r w:rsidRPr="00630129">
              <w:rPr>
                <w:sz w:val="22"/>
                <w:szCs w:val="22"/>
              </w:rPr>
              <w:t xml:space="preserve">Balancing Services Adjustment Buy Volume </w:t>
            </w:r>
          </w:p>
        </w:tc>
        <w:tc>
          <w:tcPr>
            <w:tcW w:w="974" w:type="pct"/>
            <w:tcMar>
              <w:top w:w="85" w:type="dxa"/>
              <w:left w:w="85" w:type="dxa"/>
              <w:bottom w:w="85" w:type="dxa"/>
              <w:right w:w="85" w:type="dxa"/>
            </w:tcMar>
          </w:tcPr>
          <w:p w14:paraId="5CD689E5" w14:textId="77777777" w:rsidR="006A10DE" w:rsidRPr="00630129" w:rsidRDefault="006A10DE" w:rsidP="00F60AD8">
            <w:pPr>
              <w:rPr>
                <w:sz w:val="22"/>
                <w:szCs w:val="22"/>
              </w:rPr>
            </w:pPr>
            <w:proofErr w:type="spellStart"/>
            <w:r w:rsidRPr="00630129">
              <w:rPr>
                <w:sz w:val="22"/>
                <w:szCs w:val="22"/>
              </w:rPr>
              <w:t>QBSAB</w:t>
            </w:r>
            <w:r w:rsidRPr="00630129">
              <w:rPr>
                <w:sz w:val="22"/>
                <w:szCs w:val="22"/>
                <w:vertAlign w:val="superscript"/>
              </w:rPr>
              <w:t>m</w:t>
            </w:r>
            <w:r w:rsidRPr="00630129">
              <w:rPr>
                <w:sz w:val="22"/>
                <w:szCs w:val="22"/>
                <w:vertAlign w:val="subscript"/>
              </w:rPr>
              <w:t>j</w:t>
            </w:r>
            <w:proofErr w:type="spellEnd"/>
          </w:p>
        </w:tc>
        <w:tc>
          <w:tcPr>
            <w:tcW w:w="492" w:type="pct"/>
            <w:tcMar>
              <w:top w:w="85" w:type="dxa"/>
              <w:left w:w="85" w:type="dxa"/>
              <w:bottom w:w="85" w:type="dxa"/>
              <w:right w:w="85" w:type="dxa"/>
            </w:tcMar>
          </w:tcPr>
          <w:p w14:paraId="2D74FF3E"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7C70BA52" w14:textId="77777777" w:rsidR="006A10DE" w:rsidRPr="00630129" w:rsidRDefault="006A10DE" w:rsidP="00F60AD8">
            <w:pPr>
              <w:rPr>
                <w:sz w:val="22"/>
                <w:szCs w:val="22"/>
              </w:rPr>
            </w:pPr>
            <w:r w:rsidRPr="00630129">
              <w:rPr>
                <w:sz w:val="22"/>
                <w:szCs w:val="22"/>
              </w:rPr>
              <w:t>The Balancing Services Adjustment Volume in respect of a Balancing Services Adjustment Buy Action.</w:t>
            </w:r>
          </w:p>
        </w:tc>
      </w:tr>
      <w:tr w:rsidR="006A10DE" w:rsidRPr="00630129" w14:paraId="7C087573" w14:textId="77777777" w:rsidTr="00A63BA8">
        <w:trPr>
          <w:cantSplit/>
        </w:trPr>
        <w:tc>
          <w:tcPr>
            <w:tcW w:w="994" w:type="pct"/>
            <w:tcMar>
              <w:top w:w="85" w:type="dxa"/>
              <w:left w:w="85" w:type="dxa"/>
              <w:bottom w:w="85" w:type="dxa"/>
              <w:right w:w="85" w:type="dxa"/>
            </w:tcMar>
          </w:tcPr>
          <w:p w14:paraId="6917C4EA" w14:textId="77777777" w:rsidR="006A10DE" w:rsidRPr="00630129" w:rsidRDefault="006A10DE" w:rsidP="00F60AD8">
            <w:pPr>
              <w:rPr>
                <w:sz w:val="22"/>
                <w:szCs w:val="22"/>
              </w:rPr>
            </w:pPr>
            <w:r w:rsidRPr="00630129">
              <w:rPr>
                <w:sz w:val="22"/>
                <w:szCs w:val="22"/>
              </w:rPr>
              <w:lastRenderedPageBreak/>
              <w:t>Balancing Services Adjustment Cost</w:t>
            </w:r>
          </w:p>
        </w:tc>
        <w:tc>
          <w:tcPr>
            <w:tcW w:w="974" w:type="pct"/>
            <w:tcMar>
              <w:top w:w="85" w:type="dxa"/>
              <w:left w:w="85" w:type="dxa"/>
              <w:bottom w:w="85" w:type="dxa"/>
              <w:right w:w="85" w:type="dxa"/>
            </w:tcMar>
          </w:tcPr>
          <w:p w14:paraId="4FEA4522" w14:textId="77777777" w:rsidR="006A10DE" w:rsidRPr="00630129" w:rsidRDefault="006A10DE" w:rsidP="00F60AD8">
            <w:pPr>
              <w:rPr>
                <w:sz w:val="22"/>
                <w:szCs w:val="22"/>
              </w:rPr>
            </w:pPr>
          </w:p>
        </w:tc>
        <w:tc>
          <w:tcPr>
            <w:tcW w:w="492" w:type="pct"/>
            <w:tcMar>
              <w:top w:w="85" w:type="dxa"/>
              <w:left w:w="85" w:type="dxa"/>
              <w:bottom w:w="85" w:type="dxa"/>
              <w:right w:w="85" w:type="dxa"/>
            </w:tcMar>
          </w:tcPr>
          <w:p w14:paraId="696B1A6B" w14:textId="77777777" w:rsidR="006A10DE" w:rsidRPr="00630129" w:rsidRDefault="006A10DE" w:rsidP="00F60AD8">
            <w:pPr>
              <w:rPr>
                <w:sz w:val="22"/>
                <w:szCs w:val="22"/>
              </w:rPr>
            </w:pPr>
            <w:r w:rsidRPr="00630129">
              <w:rPr>
                <w:sz w:val="22"/>
                <w:szCs w:val="22"/>
              </w:rPr>
              <w:t>£</w:t>
            </w:r>
          </w:p>
        </w:tc>
        <w:tc>
          <w:tcPr>
            <w:tcW w:w="2540" w:type="pct"/>
            <w:tcMar>
              <w:top w:w="85" w:type="dxa"/>
              <w:left w:w="85" w:type="dxa"/>
              <w:bottom w:w="85" w:type="dxa"/>
              <w:right w:w="85" w:type="dxa"/>
            </w:tcMar>
          </w:tcPr>
          <w:p w14:paraId="4CE15862" w14:textId="77777777" w:rsidR="006A10DE" w:rsidRPr="00630129" w:rsidRDefault="006A10DE" w:rsidP="00F60AD8">
            <w:pPr>
              <w:rPr>
                <w:sz w:val="22"/>
                <w:szCs w:val="22"/>
              </w:rPr>
            </w:pPr>
            <w:r w:rsidRPr="00630129">
              <w:rPr>
                <w:sz w:val="22"/>
                <w:szCs w:val="22"/>
              </w:rPr>
              <w:t>The amount sent by the NETSO as 'Balancing Services Adjustment Cost' in respect of a Balancing Services Adjustment Action in accordance with Section Q6.3.</w:t>
            </w:r>
          </w:p>
        </w:tc>
      </w:tr>
      <w:tr w:rsidR="006A10DE" w:rsidRPr="00630129" w14:paraId="510DFFE2" w14:textId="77777777" w:rsidTr="00A63BA8">
        <w:trPr>
          <w:cantSplit/>
        </w:trPr>
        <w:tc>
          <w:tcPr>
            <w:tcW w:w="994" w:type="pct"/>
            <w:tcMar>
              <w:top w:w="85" w:type="dxa"/>
              <w:left w:w="85" w:type="dxa"/>
              <w:bottom w:w="85" w:type="dxa"/>
              <w:right w:w="85" w:type="dxa"/>
            </w:tcMar>
          </w:tcPr>
          <w:p w14:paraId="6B8EB26A" w14:textId="77777777" w:rsidR="006A10DE" w:rsidRPr="00630129" w:rsidRDefault="006A10DE" w:rsidP="00F60AD8">
            <w:pPr>
              <w:rPr>
                <w:sz w:val="22"/>
                <w:szCs w:val="22"/>
              </w:rPr>
            </w:pPr>
            <w:r w:rsidRPr="00630129">
              <w:rPr>
                <w:sz w:val="22"/>
                <w:szCs w:val="22"/>
              </w:rPr>
              <w:t>Balancing Services Adjustment Price</w:t>
            </w:r>
          </w:p>
        </w:tc>
        <w:tc>
          <w:tcPr>
            <w:tcW w:w="974" w:type="pct"/>
            <w:tcMar>
              <w:top w:w="85" w:type="dxa"/>
              <w:left w:w="85" w:type="dxa"/>
              <w:bottom w:w="85" w:type="dxa"/>
              <w:right w:w="85" w:type="dxa"/>
            </w:tcMar>
          </w:tcPr>
          <w:p w14:paraId="5C5F6D3D" w14:textId="77777777" w:rsidR="006A10DE" w:rsidRPr="00630129" w:rsidRDefault="006A10DE" w:rsidP="00F60AD8">
            <w:pPr>
              <w:rPr>
                <w:sz w:val="22"/>
                <w:szCs w:val="22"/>
              </w:rPr>
            </w:pPr>
            <w:proofErr w:type="spellStart"/>
            <w:r w:rsidRPr="00630129">
              <w:rPr>
                <w:sz w:val="22"/>
                <w:szCs w:val="22"/>
              </w:rPr>
              <w:t>BSAP</w:t>
            </w:r>
            <w:r w:rsidRPr="00630129">
              <w:rPr>
                <w:sz w:val="22"/>
                <w:szCs w:val="22"/>
                <w:vertAlign w:val="superscript"/>
              </w:rPr>
              <w:t>m</w:t>
            </w:r>
            <w:r w:rsidRPr="00630129">
              <w:rPr>
                <w:sz w:val="22"/>
                <w:szCs w:val="22"/>
                <w:vertAlign w:val="subscript"/>
              </w:rPr>
              <w:t>j</w:t>
            </w:r>
            <w:proofErr w:type="spellEnd"/>
          </w:p>
        </w:tc>
        <w:tc>
          <w:tcPr>
            <w:tcW w:w="492" w:type="pct"/>
            <w:tcMar>
              <w:top w:w="85" w:type="dxa"/>
              <w:left w:w="85" w:type="dxa"/>
              <w:bottom w:w="85" w:type="dxa"/>
              <w:right w:w="85" w:type="dxa"/>
            </w:tcMar>
          </w:tcPr>
          <w:p w14:paraId="53EEAA2E"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06038B91" w14:textId="77777777" w:rsidR="006A10DE" w:rsidRPr="00630129" w:rsidRDefault="006A10DE" w:rsidP="00F60AD8">
            <w:pPr>
              <w:rPr>
                <w:sz w:val="22"/>
                <w:szCs w:val="22"/>
              </w:rPr>
            </w:pPr>
            <w:r w:rsidRPr="00630129">
              <w:rPr>
                <w:sz w:val="22"/>
                <w:szCs w:val="22"/>
              </w:rPr>
              <w:t>The amount calculated by the SAA and the BMRA as 'Balancing Services Adjustment Price' in respect of a Balancing Services Adjustment Action in accordance with Section Q6.3.</w:t>
            </w:r>
          </w:p>
        </w:tc>
      </w:tr>
      <w:tr w:rsidR="006A10DE" w:rsidRPr="00630129" w14:paraId="6CC87CB8" w14:textId="77777777" w:rsidTr="00A63BA8">
        <w:trPr>
          <w:cantSplit/>
        </w:trPr>
        <w:tc>
          <w:tcPr>
            <w:tcW w:w="994" w:type="pct"/>
            <w:tcMar>
              <w:top w:w="85" w:type="dxa"/>
              <w:left w:w="85" w:type="dxa"/>
              <w:bottom w:w="85" w:type="dxa"/>
              <w:right w:w="85" w:type="dxa"/>
            </w:tcMar>
          </w:tcPr>
          <w:p w14:paraId="211E6283" w14:textId="77777777" w:rsidR="006A10DE" w:rsidRPr="00630129" w:rsidRDefault="006A10DE" w:rsidP="00F60AD8">
            <w:pPr>
              <w:rPr>
                <w:sz w:val="22"/>
                <w:szCs w:val="22"/>
              </w:rPr>
            </w:pPr>
            <w:r w:rsidRPr="00630129">
              <w:rPr>
                <w:sz w:val="22"/>
                <w:szCs w:val="22"/>
              </w:rPr>
              <w:t xml:space="preserve">Balancing Services Adjustment Sell Action </w:t>
            </w:r>
          </w:p>
        </w:tc>
        <w:tc>
          <w:tcPr>
            <w:tcW w:w="974" w:type="pct"/>
            <w:tcMar>
              <w:top w:w="85" w:type="dxa"/>
              <w:left w:w="85" w:type="dxa"/>
              <w:bottom w:w="85" w:type="dxa"/>
              <w:right w:w="85" w:type="dxa"/>
            </w:tcMar>
          </w:tcPr>
          <w:p w14:paraId="25B5F42A" w14:textId="77777777" w:rsidR="006A10DE" w:rsidRPr="00630129" w:rsidRDefault="006A10DE" w:rsidP="00F60AD8">
            <w:pPr>
              <w:rPr>
                <w:sz w:val="22"/>
                <w:szCs w:val="22"/>
              </w:rPr>
            </w:pPr>
            <w:r w:rsidRPr="00630129">
              <w:rPr>
                <w:sz w:val="22"/>
                <w:szCs w:val="22"/>
              </w:rPr>
              <w:t>m</w:t>
            </w:r>
          </w:p>
        </w:tc>
        <w:tc>
          <w:tcPr>
            <w:tcW w:w="492" w:type="pct"/>
            <w:tcMar>
              <w:top w:w="85" w:type="dxa"/>
              <w:left w:w="85" w:type="dxa"/>
              <w:bottom w:w="85" w:type="dxa"/>
              <w:right w:w="85" w:type="dxa"/>
            </w:tcMar>
          </w:tcPr>
          <w:p w14:paraId="5064A80E"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408FEEC9" w14:textId="77777777" w:rsidR="006A10DE" w:rsidRPr="00630129" w:rsidRDefault="006A10DE" w:rsidP="00F60AD8">
            <w:pPr>
              <w:rPr>
                <w:sz w:val="22"/>
                <w:szCs w:val="22"/>
              </w:rPr>
            </w:pPr>
            <w:r w:rsidRPr="00630129">
              <w:rPr>
                <w:sz w:val="22"/>
                <w:szCs w:val="22"/>
              </w:rPr>
              <w:t>A Balancing Services Adjustment Action for which the Balancing Services Adjustment Volume is negative.</w:t>
            </w:r>
          </w:p>
        </w:tc>
      </w:tr>
      <w:tr w:rsidR="006A10DE" w:rsidRPr="00630129" w14:paraId="4F149050" w14:textId="77777777" w:rsidTr="00A63BA8">
        <w:trPr>
          <w:cantSplit/>
        </w:trPr>
        <w:tc>
          <w:tcPr>
            <w:tcW w:w="994" w:type="pct"/>
            <w:tcMar>
              <w:top w:w="85" w:type="dxa"/>
              <w:left w:w="85" w:type="dxa"/>
              <w:bottom w:w="85" w:type="dxa"/>
              <w:right w:w="85" w:type="dxa"/>
            </w:tcMar>
          </w:tcPr>
          <w:p w14:paraId="626587AB" w14:textId="77777777" w:rsidR="006A10DE" w:rsidRPr="00630129" w:rsidRDefault="006A10DE" w:rsidP="00F60AD8">
            <w:pPr>
              <w:rPr>
                <w:sz w:val="22"/>
                <w:szCs w:val="22"/>
              </w:rPr>
            </w:pPr>
            <w:r w:rsidRPr="00630129">
              <w:rPr>
                <w:sz w:val="22"/>
                <w:szCs w:val="22"/>
              </w:rPr>
              <w:t xml:space="preserve">Balancing Services Adjustment Sell Volume </w:t>
            </w:r>
          </w:p>
        </w:tc>
        <w:tc>
          <w:tcPr>
            <w:tcW w:w="974" w:type="pct"/>
            <w:tcMar>
              <w:top w:w="85" w:type="dxa"/>
              <w:left w:w="85" w:type="dxa"/>
              <w:bottom w:w="85" w:type="dxa"/>
              <w:right w:w="85" w:type="dxa"/>
            </w:tcMar>
          </w:tcPr>
          <w:p w14:paraId="6C128974" w14:textId="77777777" w:rsidR="006A10DE" w:rsidRPr="00630129" w:rsidRDefault="006A10DE" w:rsidP="00F60AD8">
            <w:pPr>
              <w:rPr>
                <w:sz w:val="22"/>
                <w:szCs w:val="22"/>
              </w:rPr>
            </w:pPr>
            <w:proofErr w:type="spellStart"/>
            <w:r w:rsidRPr="00630129">
              <w:rPr>
                <w:sz w:val="22"/>
                <w:szCs w:val="22"/>
              </w:rPr>
              <w:t>QBSAS</w:t>
            </w:r>
            <w:r w:rsidRPr="00630129">
              <w:rPr>
                <w:sz w:val="22"/>
                <w:szCs w:val="22"/>
                <w:vertAlign w:val="superscript"/>
              </w:rPr>
              <w:t>m</w:t>
            </w:r>
            <w:r w:rsidRPr="00630129">
              <w:rPr>
                <w:sz w:val="22"/>
                <w:szCs w:val="22"/>
                <w:vertAlign w:val="subscript"/>
              </w:rPr>
              <w:t>j</w:t>
            </w:r>
            <w:proofErr w:type="spellEnd"/>
          </w:p>
        </w:tc>
        <w:tc>
          <w:tcPr>
            <w:tcW w:w="492" w:type="pct"/>
            <w:tcMar>
              <w:top w:w="85" w:type="dxa"/>
              <w:left w:w="85" w:type="dxa"/>
              <w:bottom w:w="85" w:type="dxa"/>
              <w:right w:w="85" w:type="dxa"/>
            </w:tcMar>
          </w:tcPr>
          <w:p w14:paraId="1E301B48"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3693619D" w14:textId="77777777" w:rsidR="006A10DE" w:rsidRPr="00630129" w:rsidRDefault="006A10DE" w:rsidP="00F60AD8">
            <w:pPr>
              <w:rPr>
                <w:sz w:val="22"/>
                <w:szCs w:val="22"/>
              </w:rPr>
            </w:pPr>
            <w:r w:rsidRPr="00630129">
              <w:rPr>
                <w:sz w:val="22"/>
                <w:szCs w:val="22"/>
              </w:rPr>
              <w:t>The Balancing Services Adjustment Volume in respect of a Balancing Services Adjustment Sell Action.</w:t>
            </w:r>
          </w:p>
        </w:tc>
      </w:tr>
      <w:tr w:rsidR="006A10DE" w:rsidRPr="00630129" w14:paraId="35554F51" w14:textId="77777777" w:rsidTr="00A63BA8">
        <w:trPr>
          <w:cantSplit/>
        </w:trPr>
        <w:tc>
          <w:tcPr>
            <w:tcW w:w="994" w:type="pct"/>
            <w:tcMar>
              <w:top w:w="85" w:type="dxa"/>
              <w:left w:w="85" w:type="dxa"/>
              <w:bottom w:w="85" w:type="dxa"/>
              <w:right w:w="85" w:type="dxa"/>
            </w:tcMar>
          </w:tcPr>
          <w:p w14:paraId="62F12374" w14:textId="77777777" w:rsidR="006A10DE" w:rsidRPr="00630129" w:rsidRDefault="006A10DE" w:rsidP="00F60AD8">
            <w:pPr>
              <w:rPr>
                <w:sz w:val="22"/>
                <w:szCs w:val="22"/>
              </w:rPr>
            </w:pPr>
            <w:r w:rsidRPr="00630129">
              <w:rPr>
                <w:sz w:val="22"/>
                <w:szCs w:val="22"/>
              </w:rPr>
              <w:t>Balancing Services Adjustment Volume</w:t>
            </w:r>
          </w:p>
        </w:tc>
        <w:tc>
          <w:tcPr>
            <w:tcW w:w="974" w:type="pct"/>
            <w:tcMar>
              <w:top w:w="85" w:type="dxa"/>
              <w:left w:w="85" w:type="dxa"/>
              <w:bottom w:w="85" w:type="dxa"/>
              <w:right w:w="85" w:type="dxa"/>
            </w:tcMar>
          </w:tcPr>
          <w:p w14:paraId="57EA038A" w14:textId="77777777" w:rsidR="006A10DE" w:rsidRPr="00630129" w:rsidRDefault="006A10DE" w:rsidP="00F60AD8">
            <w:pPr>
              <w:rPr>
                <w:sz w:val="22"/>
                <w:szCs w:val="22"/>
              </w:rPr>
            </w:pPr>
            <w:proofErr w:type="spellStart"/>
            <w:r w:rsidRPr="00630129">
              <w:rPr>
                <w:sz w:val="22"/>
                <w:szCs w:val="22"/>
              </w:rPr>
              <w:t>QBSA</w:t>
            </w:r>
            <w:r w:rsidRPr="00630129">
              <w:rPr>
                <w:sz w:val="22"/>
                <w:szCs w:val="22"/>
                <w:vertAlign w:val="superscript"/>
              </w:rPr>
              <w:t>m</w:t>
            </w:r>
            <w:r w:rsidRPr="00630129">
              <w:rPr>
                <w:sz w:val="22"/>
                <w:szCs w:val="22"/>
                <w:vertAlign w:val="subscript"/>
              </w:rPr>
              <w:t>j</w:t>
            </w:r>
            <w:proofErr w:type="spellEnd"/>
          </w:p>
        </w:tc>
        <w:tc>
          <w:tcPr>
            <w:tcW w:w="492" w:type="pct"/>
            <w:tcMar>
              <w:top w:w="85" w:type="dxa"/>
              <w:left w:w="85" w:type="dxa"/>
              <w:bottom w:w="85" w:type="dxa"/>
              <w:right w:w="85" w:type="dxa"/>
            </w:tcMar>
          </w:tcPr>
          <w:p w14:paraId="47969C46"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77F60CC8" w14:textId="77777777" w:rsidR="006A10DE" w:rsidRPr="00630129" w:rsidRDefault="006A10DE" w:rsidP="00F60AD8">
            <w:pPr>
              <w:rPr>
                <w:sz w:val="22"/>
                <w:szCs w:val="22"/>
              </w:rPr>
            </w:pPr>
            <w:r w:rsidRPr="00630129">
              <w:rPr>
                <w:sz w:val="22"/>
                <w:szCs w:val="22"/>
              </w:rPr>
              <w:t>The amount sent by the NETSO as 'Balancing Services Adjustment Volume' in respect of a Balancing Services Adjustment Action in accordance with Section Q6.3.</w:t>
            </w:r>
          </w:p>
        </w:tc>
      </w:tr>
      <w:tr w:rsidR="006A10DE" w:rsidRPr="00630129" w14:paraId="0A4974D8" w14:textId="77777777" w:rsidTr="00A63BA8">
        <w:trPr>
          <w:cantSplit/>
        </w:trPr>
        <w:tc>
          <w:tcPr>
            <w:tcW w:w="994" w:type="pct"/>
            <w:tcMar>
              <w:top w:w="85" w:type="dxa"/>
              <w:left w:w="85" w:type="dxa"/>
              <w:bottom w:w="85" w:type="dxa"/>
              <w:right w:w="85" w:type="dxa"/>
            </w:tcMar>
          </w:tcPr>
          <w:p w14:paraId="24D0973E" w14:textId="77777777" w:rsidR="006A10DE" w:rsidRPr="00630129" w:rsidRDefault="006A10DE" w:rsidP="00F60AD8">
            <w:pPr>
              <w:rPr>
                <w:sz w:val="22"/>
                <w:szCs w:val="22"/>
              </w:rPr>
            </w:pPr>
            <w:r w:rsidRPr="00630129">
              <w:rPr>
                <w:sz w:val="22"/>
                <w:szCs w:val="22"/>
              </w:rPr>
              <w:t>Bid</w:t>
            </w:r>
          </w:p>
        </w:tc>
        <w:tc>
          <w:tcPr>
            <w:tcW w:w="974" w:type="pct"/>
            <w:tcMar>
              <w:top w:w="85" w:type="dxa"/>
              <w:left w:w="85" w:type="dxa"/>
              <w:bottom w:w="85" w:type="dxa"/>
              <w:right w:w="85" w:type="dxa"/>
            </w:tcMar>
          </w:tcPr>
          <w:p w14:paraId="7146DD91" w14:textId="77777777" w:rsidR="006A10DE" w:rsidRPr="00630129" w:rsidRDefault="006A10DE" w:rsidP="00F60AD8">
            <w:pPr>
              <w:rPr>
                <w:sz w:val="22"/>
                <w:szCs w:val="22"/>
              </w:rPr>
            </w:pPr>
          </w:p>
        </w:tc>
        <w:tc>
          <w:tcPr>
            <w:tcW w:w="492" w:type="pct"/>
            <w:tcMar>
              <w:top w:w="85" w:type="dxa"/>
              <w:left w:w="85" w:type="dxa"/>
              <w:bottom w:w="85" w:type="dxa"/>
              <w:right w:w="85" w:type="dxa"/>
            </w:tcMar>
          </w:tcPr>
          <w:p w14:paraId="46AEFEC8"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42712948" w14:textId="77777777" w:rsidR="006A10DE" w:rsidRPr="00630129" w:rsidRDefault="006A10DE" w:rsidP="00F60AD8">
            <w:pPr>
              <w:rPr>
                <w:sz w:val="22"/>
                <w:szCs w:val="22"/>
              </w:rPr>
            </w:pPr>
            <w:r w:rsidRPr="00630129">
              <w:rPr>
                <w:sz w:val="22"/>
                <w:szCs w:val="22"/>
              </w:rPr>
              <w:t>The quantity (as provided in Section Q4.1.3(a) or, where applicable, established in Section T3.4B.3) in a Bid-Offer Pair if considered as a possible decrease in Export or increase in Import of the relevant BM Unit at a given time.</w:t>
            </w:r>
          </w:p>
        </w:tc>
      </w:tr>
      <w:tr w:rsidR="006A10DE" w:rsidRPr="00630129" w14:paraId="77FDAF99" w14:textId="77777777" w:rsidTr="00A63BA8">
        <w:trPr>
          <w:cantSplit/>
        </w:trPr>
        <w:tc>
          <w:tcPr>
            <w:tcW w:w="994" w:type="pct"/>
            <w:tcMar>
              <w:top w:w="85" w:type="dxa"/>
              <w:left w:w="85" w:type="dxa"/>
              <w:bottom w:w="85" w:type="dxa"/>
              <w:right w:w="85" w:type="dxa"/>
            </w:tcMar>
          </w:tcPr>
          <w:p w14:paraId="3F143319" w14:textId="77777777" w:rsidR="006A10DE" w:rsidRPr="00630129" w:rsidRDefault="006A10DE" w:rsidP="00F60AD8">
            <w:pPr>
              <w:rPr>
                <w:sz w:val="22"/>
                <w:szCs w:val="22"/>
              </w:rPr>
            </w:pPr>
            <w:r w:rsidRPr="00630129">
              <w:rPr>
                <w:sz w:val="22"/>
                <w:szCs w:val="22"/>
              </w:rPr>
              <w:t>Bid Non-Delivery Volume</w:t>
            </w:r>
          </w:p>
        </w:tc>
        <w:tc>
          <w:tcPr>
            <w:tcW w:w="974" w:type="pct"/>
            <w:tcMar>
              <w:top w:w="85" w:type="dxa"/>
              <w:left w:w="85" w:type="dxa"/>
              <w:bottom w:w="85" w:type="dxa"/>
              <w:right w:w="85" w:type="dxa"/>
            </w:tcMar>
          </w:tcPr>
          <w:p w14:paraId="04F91B81" w14:textId="77777777" w:rsidR="006A10DE" w:rsidRPr="00630129" w:rsidRDefault="006A10DE" w:rsidP="00F60AD8">
            <w:pPr>
              <w:rPr>
                <w:sz w:val="22"/>
                <w:szCs w:val="22"/>
              </w:rPr>
            </w:pPr>
            <w:proofErr w:type="spellStart"/>
            <w:r w:rsidRPr="00630129">
              <w:rPr>
                <w:sz w:val="22"/>
                <w:szCs w:val="22"/>
              </w:rPr>
              <w:t>QNDB</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63A0DA09"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2CD971A0" w14:textId="77777777" w:rsidR="006A10DE" w:rsidRPr="00630129" w:rsidRDefault="006A10DE" w:rsidP="00F60AD8">
            <w:pPr>
              <w:spacing w:after="120"/>
              <w:rPr>
                <w:sz w:val="22"/>
                <w:szCs w:val="22"/>
              </w:rPr>
            </w:pPr>
            <w:r w:rsidRPr="00630129">
              <w:rPr>
                <w:sz w:val="22"/>
                <w:szCs w:val="22"/>
              </w:rPr>
              <w:t>The quantity determined in accordance with Section T4.8.10.</w:t>
            </w:r>
          </w:p>
          <w:p w14:paraId="2CE8BF3F" w14:textId="77777777" w:rsidR="006A10DE" w:rsidRPr="00630129" w:rsidRDefault="006A10DE" w:rsidP="00F60AD8">
            <w:pPr>
              <w:rPr>
                <w:i/>
                <w:sz w:val="22"/>
                <w:szCs w:val="22"/>
              </w:rPr>
            </w:pPr>
            <w:r w:rsidRPr="00630129">
              <w:rPr>
                <w:i/>
                <w:sz w:val="22"/>
                <w:szCs w:val="22"/>
              </w:rPr>
              <w:t xml:space="preserve">The Bid Non-Delivery Volume is the quantity of non-delivery apportioned to Bid n from BM Unit </w:t>
            </w:r>
            <w:proofErr w:type="spellStart"/>
            <w:r w:rsidRPr="00630129">
              <w:rPr>
                <w:i/>
                <w:sz w:val="22"/>
                <w:szCs w:val="22"/>
              </w:rPr>
              <w:t>i</w:t>
            </w:r>
            <w:proofErr w:type="spellEnd"/>
            <w:r w:rsidRPr="00630129">
              <w:rPr>
                <w:i/>
                <w:sz w:val="22"/>
                <w:szCs w:val="22"/>
              </w:rPr>
              <w:t xml:space="preserve"> in Settlement Period j.</w:t>
            </w:r>
          </w:p>
        </w:tc>
      </w:tr>
      <w:tr w:rsidR="006A10DE" w:rsidRPr="00630129" w14:paraId="227F3B11" w14:textId="77777777" w:rsidTr="00A63BA8">
        <w:trPr>
          <w:cantSplit/>
        </w:trPr>
        <w:tc>
          <w:tcPr>
            <w:tcW w:w="994" w:type="pct"/>
            <w:tcMar>
              <w:top w:w="85" w:type="dxa"/>
              <w:left w:w="85" w:type="dxa"/>
              <w:bottom w:w="85" w:type="dxa"/>
              <w:right w:w="85" w:type="dxa"/>
            </w:tcMar>
          </w:tcPr>
          <w:p w14:paraId="5A466702" w14:textId="77777777" w:rsidR="006A10DE" w:rsidRPr="00630129" w:rsidRDefault="006A10DE" w:rsidP="00F60AD8">
            <w:pPr>
              <w:rPr>
                <w:sz w:val="22"/>
                <w:szCs w:val="22"/>
              </w:rPr>
            </w:pPr>
            <w:r w:rsidRPr="00630129">
              <w:rPr>
                <w:sz w:val="22"/>
                <w:szCs w:val="22"/>
              </w:rPr>
              <w:t>Bid Price</w:t>
            </w:r>
          </w:p>
        </w:tc>
        <w:tc>
          <w:tcPr>
            <w:tcW w:w="974" w:type="pct"/>
            <w:tcMar>
              <w:top w:w="85" w:type="dxa"/>
              <w:left w:w="85" w:type="dxa"/>
              <w:bottom w:w="85" w:type="dxa"/>
              <w:right w:w="85" w:type="dxa"/>
            </w:tcMar>
          </w:tcPr>
          <w:p w14:paraId="59EA9D41" w14:textId="77777777" w:rsidR="006A10DE" w:rsidRPr="00630129" w:rsidRDefault="006A10DE" w:rsidP="00F60AD8">
            <w:pPr>
              <w:rPr>
                <w:sz w:val="22"/>
                <w:szCs w:val="22"/>
              </w:rPr>
            </w:pPr>
            <w:proofErr w:type="spellStart"/>
            <w:r w:rsidRPr="00630129">
              <w:rPr>
                <w:sz w:val="22"/>
                <w:szCs w:val="22"/>
              </w:rPr>
              <w:t>PB</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189FA52D"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3F906BAA" w14:textId="77777777" w:rsidR="006A10DE" w:rsidRPr="00630129" w:rsidRDefault="006A10DE" w:rsidP="00F60AD8">
            <w:pPr>
              <w:rPr>
                <w:sz w:val="22"/>
                <w:szCs w:val="22"/>
              </w:rPr>
            </w:pPr>
            <w:r w:rsidRPr="00630129">
              <w:rPr>
                <w:sz w:val="22"/>
                <w:szCs w:val="22"/>
              </w:rPr>
              <w:t>The amount in £/MWh associated with a Bid and comprising part of a Bid-Offer Pair.</w:t>
            </w:r>
          </w:p>
        </w:tc>
      </w:tr>
      <w:tr w:rsidR="006A10DE" w:rsidRPr="00630129" w14:paraId="6867B113" w14:textId="77777777" w:rsidTr="00A63BA8">
        <w:trPr>
          <w:cantSplit/>
        </w:trPr>
        <w:tc>
          <w:tcPr>
            <w:tcW w:w="994" w:type="pct"/>
            <w:tcMar>
              <w:top w:w="85" w:type="dxa"/>
              <w:left w:w="85" w:type="dxa"/>
              <w:bottom w:w="85" w:type="dxa"/>
              <w:right w:w="85" w:type="dxa"/>
            </w:tcMar>
          </w:tcPr>
          <w:p w14:paraId="0609BAA5" w14:textId="77777777" w:rsidR="006A10DE" w:rsidRPr="00630129" w:rsidRDefault="006A10DE" w:rsidP="00F60AD8">
            <w:pPr>
              <w:rPr>
                <w:sz w:val="22"/>
                <w:szCs w:val="22"/>
              </w:rPr>
            </w:pPr>
            <w:r w:rsidRPr="00630129">
              <w:rPr>
                <w:sz w:val="22"/>
                <w:szCs w:val="22"/>
              </w:rPr>
              <w:t>Bid-Offer Acceptance Number</w:t>
            </w:r>
          </w:p>
        </w:tc>
        <w:tc>
          <w:tcPr>
            <w:tcW w:w="974" w:type="pct"/>
            <w:tcMar>
              <w:top w:w="85" w:type="dxa"/>
              <w:left w:w="85" w:type="dxa"/>
              <w:bottom w:w="85" w:type="dxa"/>
              <w:right w:w="85" w:type="dxa"/>
            </w:tcMar>
          </w:tcPr>
          <w:p w14:paraId="3E49F9A6" w14:textId="77777777" w:rsidR="006A10DE" w:rsidRPr="00630129" w:rsidRDefault="006A10DE" w:rsidP="00F60AD8">
            <w:pPr>
              <w:rPr>
                <w:sz w:val="22"/>
                <w:szCs w:val="22"/>
              </w:rPr>
            </w:pPr>
            <w:r w:rsidRPr="00630129">
              <w:rPr>
                <w:sz w:val="22"/>
                <w:szCs w:val="22"/>
              </w:rPr>
              <w:t>k</w:t>
            </w:r>
          </w:p>
        </w:tc>
        <w:tc>
          <w:tcPr>
            <w:tcW w:w="492" w:type="pct"/>
            <w:tcMar>
              <w:top w:w="85" w:type="dxa"/>
              <w:left w:w="85" w:type="dxa"/>
              <w:bottom w:w="85" w:type="dxa"/>
              <w:right w:w="85" w:type="dxa"/>
            </w:tcMar>
          </w:tcPr>
          <w:p w14:paraId="36FB2780"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5C273D4E" w14:textId="77777777" w:rsidR="006A10DE" w:rsidRPr="00630129" w:rsidRDefault="006A10DE" w:rsidP="00F60AD8">
            <w:pPr>
              <w:rPr>
                <w:sz w:val="22"/>
                <w:szCs w:val="22"/>
              </w:rPr>
            </w:pPr>
            <w:r w:rsidRPr="00630129">
              <w:rPr>
                <w:sz w:val="22"/>
                <w:szCs w:val="22"/>
              </w:rPr>
              <w:t>A number used to identify a particular Acceptance.</w:t>
            </w:r>
          </w:p>
        </w:tc>
      </w:tr>
      <w:tr w:rsidR="006A10DE" w:rsidRPr="00630129" w14:paraId="659EFA2C" w14:textId="77777777" w:rsidTr="00A63BA8">
        <w:trPr>
          <w:cantSplit/>
        </w:trPr>
        <w:tc>
          <w:tcPr>
            <w:tcW w:w="994" w:type="pct"/>
            <w:tcMar>
              <w:top w:w="85" w:type="dxa"/>
              <w:left w:w="85" w:type="dxa"/>
              <w:bottom w:w="85" w:type="dxa"/>
              <w:right w:w="85" w:type="dxa"/>
            </w:tcMar>
          </w:tcPr>
          <w:p w14:paraId="6D011AA3" w14:textId="77777777" w:rsidR="006A10DE" w:rsidRPr="00630129" w:rsidRDefault="006A10DE" w:rsidP="00F60AD8">
            <w:pPr>
              <w:rPr>
                <w:sz w:val="22"/>
                <w:szCs w:val="22"/>
              </w:rPr>
            </w:pPr>
            <w:r w:rsidRPr="00630129">
              <w:rPr>
                <w:sz w:val="22"/>
                <w:szCs w:val="22"/>
              </w:rPr>
              <w:t>Bid-Offer Acceptance Time</w:t>
            </w:r>
          </w:p>
        </w:tc>
        <w:tc>
          <w:tcPr>
            <w:tcW w:w="974" w:type="pct"/>
            <w:tcMar>
              <w:top w:w="85" w:type="dxa"/>
              <w:left w:w="85" w:type="dxa"/>
              <w:bottom w:w="85" w:type="dxa"/>
              <w:right w:w="85" w:type="dxa"/>
            </w:tcMar>
          </w:tcPr>
          <w:p w14:paraId="5E67DF44" w14:textId="77777777" w:rsidR="006A10DE" w:rsidRPr="00630129" w:rsidRDefault="006A10DE" w:rsidP="00F60AD8">
            <w:pPr>
              <w:rPr>
                <w:sz w:val="22"/>
                <w:szCs w:val="22"/>
              </w:rPr>
            </w:pPr>
            <w:proofErr w:type="spellStart"/>
            <w:r w:rsidRPr="00630129">
              <w:rPr>
                <w:sz w:val="22"/>
                <w:szCs w:val="22"/>
              </w:rPr>
              <w:t>T</w:t>
            </w:r>
            <w:r w:rsidRPr="00630129">
              <w:rPr>
                <w:sz w:val="22"/>
                <w:szCs w:val="22"/>
                <w:vertAlign w:val="superscript"/>
              </w:rPr>
              <w:t>k</w:t>
            </w:r>
            <w:r w:rsidRPr="00630129">
              <w:rPr>
                <w:sz w:val="22"/>
                <w:szCs w:val="22"/>
                <w:vertAlign w:val="subscript"/>
              </w:rPr>
              <w:t>it</w:t>
            </w:r>
            <w:proofErr w:type="spellEnd"/>
          </w:p>
        </w:tc>
        <w:tc>
          <w:tcPr>
            <w:tcW w:w="492" w:type="pct"/>
            <w:tcMar>
              <w:top w:w="85" w:type="dxa"/>
              <w:left w:w="85" w:type="dxa"/>
              <w:bottom w:w="85" w:type="dxa"/>
              <w:right w:w="85" w:type="dxa"/>
            </w:tcMar>
          </w:tcPr>
          <w:p w14:paraId="51ED1DE0" w14:textId="77777777" w:rsidR="006A10DE" w:rsidRPr="00630129" w:rsidRDefault="006A10DE" w:rsidP="00F60AD8">
            <w:pPr>
              <w:rPr>
                <w:sz w:val="22"/>
                <w:szCs w:val="22"/>
              </w:rPr>
            </w:pPr>
            <w:r w:rsidRPr="00630129">
              <w:rPr>
                <w:sz w:val="22"/>
                <w:szCs w:val="22"/>
              </w:rPr>
              <w:t>Spot time</w:t>
            </w:r>
          </w:p>
        </w:tc>
        <w:tc>
          <w:tcPr>
            <w:tcW w:w="2540" w:type="pct"/>
            <w:tcMar>
              <w:top w:w="85" w:type="dxa"/>
              <w:left w:w="85" w:type="dxa"/>
              <w:bottom w:w="85" w:type="dxa"/>
              <w:right w:w="85" w:type="dxa"/>
            </w:tcMar>
          </w:tcPr>
          <w:p w14:paraId="10A002FA" w14:textId="77777777" w:rsidR="006A10DE" w:rsidRPr="00630129" w:rsidRDefault="006A10DE" w:rsidP="00F60AD8">
            <w:pPr>
              <w:rPr>
                <w:sz w:val="22"/>
                <w:szCs w:val="22"/>
              </w:rPr>
            </w:pPr>
            <w:r w:rsidRPr="00630129">
              <w:rPr>
                <w:sz w:val="22"/>
                <w:szCs w:val="22"/>
              </w:rPr>
              <w:t>Has the meaning given to that term in Section Q5.1.11.</w:t>
            </w:r>
          </w:p>
        </w:tc>
      </w:tr>
      <w:tr w:rsidR="006A10DE" w:rsidRPr="00630129" w14:paraId="2D69701F" w14:textId="77777777" w:rsidTr="00A63BA8">
        <w:trPr>
          <w:cantSplit/>
        </w:trPr>
        <w:tc>
          <w:tcPr>
            <w:tcW w:w="994" w:type="pct"/>
            <w:tcMar>
              <w:top w:w="85" w:type="dxa"/>
              <w:left w:w="85" w:type="dxa"/>
              <w:bottom w:w="85" w:type="dxa"/>
              <w:right w:w="85" w:type="dxa"/>
            </w:tcMar>
          </w:tcPr>
          <w:p w14:paraId="1EF06385" w14:textId="77777777" w:rsidR="006A10DE" w:rsidRPr="00630129" w:rsidRDefault="006A10DE" w:rsidP="00F60AD8">
            <w:pPr>
              <w:rPr>
                <w:sz w:val="22"/>
                <w:szCs w:val="22"/>
              </w:rPr>
            </w:pPr>
            <w:r w:rsidRPr="00630129">
              <w:rPr>
                <w:sz w:val="22"/>
                <w:szCs w:val="22"/>
              </w:rPr>
              <w:t>Bid-Offer Data</w:t>
            </w:r>
          </w:p>
        </w:tc>
        <w:tc>
          <w:tcPr>
            <w:tcW w:w="974" w:type="pct"/>
            <w:tcMar>
              <w:top w:w="85" w:type="dxa"/>
              <w:left w:w="85" w:type="dxa"/>
              <w:bottom w:w="85" w:type="dxa"/>
              <w:right w:w="85" w:type="dxa"/>
            </w:tcMar>
          </w:tcPr>
          <w:p w14:paraId="0726B0A0" w14:textId="77777777" w:rsidR="006A10DE" w:rsidRPr="00630129" w:rsidRDefault="006A10DE" w:rsidP="00F60AD8">
            <w:pPr>
              <w:rPr>
                <w:sz w:val="22"/>
                <w:szCs w:val="22"/>
              </w:rPr>
            </w:pPr>
          </w:p>
        </w:tc>
        <w:tc>
          <w:tcPr>
            <w:tcW w:w="492" w:type="pct"/>
            <w:tcMar>
              <w:top w:w="85" w:type="dxa"/>
              <w:left w:w="85" w:type="dxa"/>
              <w:bottom w:w="85" w:type="dxa"/>
              <w:right w:w="85" w:type="dxa"/>
            </w:tcMar>
          </w:tcPr>
          <w:p w14:paraId="72528C4A"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63DCEC7D" w14:textId="77777777" w:rsidR="006A10DE" w:rsidRPr="00630129" w:rsidRDefault="006A10DE" w:rsidP="00F60AD8">
            <w:pPr>
              <w:rPr>
                <w:sz w:val="22"/>
                <w:szCs w:val="22"/>
              </w:rPr>
            </w:pPr>
            <w:r w:rsidRPr="00630129">
              <w:rPr>
                <w:sz w:val="22"/>
                <w:szCs w:val="22"/>
              </w:rPr>
              <w:t>Data (comprising the items set out in Section Q4.1.3) to be submitted by the NETSO pursuant to Section Q6.2.1(d).</w:t>
            </w:r>
          </w:p>
        </w:tc>
      </w:tr>
      <w:tr w:rsidR="006A10DE" w:rsidRPr="00630129" w14:paraId="78C53721" w14:textId="77777777" w:rsidTr="00A63BA8">
        <w:trPr>
          <w:cantSplit/>
        </w:trPr>
        <w:tc>
          <w:tcPr>
            <w:tcW w:w="994" w:type="pct"/>
            <w:tcMar>
              <w:top w:w="85" w:type="dxa"/>
              <w:left w:w="85" w:type="dxa"/>
              <w:bottom w:w="85" w:type="dxa"/>
              <w:right w:w="85" w:type="dxa"/>
            </w:tcMar>
          </w:tcPr>
          <w:p w14:paraId="40FF20A4" w14:textId="77777777" w:rsidR="006A10DE" w:rsidRPr="00630129" w:rsidRDefault="006A10DE" w:rsidP="00F60AD8">
            <w:pPr>
              <w:rPr>
                <w:sz w:val="22"/>
                <w:szCs w:val="22"/>
              </w:rPr>
            </w:pPr>
            <w:r w:rsidRPr="00630129">
              <w:rPr>
                <w:sz w:val="22"/>
                <w:szCs w:val="22"/>
              </w:rPr>
              <w:lastRenderedPageBreak/>
              <w:t>Bid-Offer Lower Range</w:t>
            </w:r>
          </w:p>
        </w:tc>
        <w:tc>
          <w:tcPr>
            <w:tcW w:w="974" w:type="pct"/>
            <w:tcMar>
              <w:top w:w="85" w:type="dxa"/>
              <w:left w:w="85" w:type="dxa"/>
              <w:bottom w:w="85" w:type="dxa"/>
              <w:right w:w="85" w:type="dxa"/>
            </w:tcMar>
          </w:tcPr>
          <w:p w14:paraId="16940314" w14:textId="77777777" w:rsidR="006A10DE" w:rsidRPr="00630129" w:rsidRDefault="006A10DE" w:rsidP="00F60AD8">
            <w:pPr>
              <w:rPr>
                <w:sz w:val="22"/>
                <w:szCs w:val="22"/>
              </w:rPr>
            </w:pPr>
            <w:proofErr w:type="spellStart"/>
            <w:r w:rsidRPr="00630129">
              <w:rPr>
                <w:sz w:val="22"/>
                <w:szCs w:val="22"/>
              </w:rPr>
              <w:t>BOLR</w:t>
            </w:r>
            <w:r w:rsidRPr="00630129">
              <w:rPr>
                <w:sz w:val="22"/>
                <w:szCs w:val="22"/>
                <w:vertAlign w:val="superscript"/>
              </w:rPr>
              <w:t>n</w:t>
            </w:r>
            <w:r w:rsidRPr="00630129">
              <w:rPr>
                <w:sz w:val="22"/>
                <w:szCs w:val="22"/>
                <w:vertAlign w:val="subscript"/>
              </w:rPr>
              <w:t>ij</w:t>
            </w:r>
            <w:proofErr w:type="spellEnd"/>
            <w:r w:rsidRPr="00630129">
              <w:rPr>
                <w:sz w:val="22"/>
                <w:szCs w:val="22"/>
              </w:rPr>
              <w:t>(t)</w:t>
            </w:r>
          </w:p>
        </w:tc>
        <w:tc>
          <w:tcPr>
            <w:tcW w:w="492" w:type="pct"/>
            <w:tcMar>
              <w:top w:w="85" w:type="dxa"/>
              <w:left w:w="85" w:type="dxa"/>
              <w:bottom w:w="85" w:type="dxa"/>
              <w:right w:w="85" w:type="dxa"/>
            </w:tcMar>
          </w:tcPr>
          <w:p w14:paraId="4746E564" w14:textId="77777777" w:rsidR="006A10DE" w:rsidRPr="00630129" w:rsidRDefault="006A10DE" w:rsidP="00F60AD8">
            <w:pPr>
              <w:rPr>
                <w:sz w:val="22"/>
                <w:szCs w:val="22"/>
              </w:rPr>
            </w:pPr>
            <w:r w:rsidRPr="00630129">
              <w:rPr>
                <w:sz w:val="22"/>
                <w:szCs w:val="22"/>
              </w:rPr>
              <w:t>MW</w:t>
            </w:r>
          </w:p>
        </w:tc>
        <w:tc>
          <w:tcPr>
            <w:tcW w:w="2540" w:type="pct"/>
            <w:tcMar>
              <w:top w:w="85" w:type="dxa"/>
              <w:left w:w="85" w:type="dxa"/>
              <w:bottom w:w="85" w:type="dxa"/>
              <w:right w:w="85" w:type="dxa"/>
            </w:tcMar>
          </w:tcPr>
          <w:p w14:paraId="05DAFFFA" w14:textId="77777777" w:rsidR="006A10DE" w:rsidRPr="00630129" w:rsidRDefault="006A10DE" w:rsidP="00F60AD8">
            <w:pPr>
              <w:spacing w:after="120"/>
              <w:rPr>
                <w:sz w:val="22"/>
                <w:szCs w:val="22"/>
              </w:rPr>
            </w:pPr>
            <w:r w:rsidRPr="00630129">
              <w:rPr>
                <w:sz w:val="22"/>
                <w:szCs w:val="22"/>
              </w:rPr>
              <w:t>The range determined in accordance with Section T3.4A.3, T3.4A.4 or T3.5.2 (as the case may be).</w:t>
            </w:r>
          </w:p>
          <w:p w14:paraId="3D9ADAB5" w14:textId="77777777" w:rsidR="006A10DE" w:rsidRPr="00630129" w:rsidRDefault="006A10DE" w:rsidP="00F60AD8">
            <w:pPr>
              <w:rPr>
                <w:i/>
                <w:sz w:val="22"/>
                <w:szCs w:val="22"/>
              </w:rPr>
            </w:pPr>
            <w:r w:rsidRPr="00630129">
              <w:rPr>
                <w:i/>
                <w:sz w:val="22"/>
                <w:szCs w:val="22"/>
              </w:rPr>
              <w:t xml:space="preserve">The Bid-Offer Lower Range is that data calculated for spot times t in Settlement Period j and BM Unit </w:t>
            </w:r>
            <w:proofErr w:type="spellStart"/>
            <w:r w:rsidRPr="00630129">
              <w:rPr>
                <w:i/>
                <w:sz w:val="22"/>
                <w:szCs w:val="22"/>
              </w:rPr>
              <w:t>i</w:t>
            </w:r>
            <w:proofErr w:type="spellEnd"/>
            <w:r w:rsidRPr="00630129">
              <w:rPr>
                <w:i/>
                <w:sz w:val="22"/>
                <w:szCs w:val="22"/>
              </w:rPr>
              <w:t>, for a Bid-Offer Pair with a negative Bid-Offer Pair Number n. It is used to determine the operating range (in absolute MW) below FPN in which a particular Bid-Offer Pair applies.</w:t>
            </w:r>
          </w:p>
        </w:tc>
      </w:tr>
      <w:tr w:rsidR="006A10DE" w:rsidRPr="00630129" w14:paraId="3EBD3051" w14:textId="77777777" w:rsidTr="00A63BA8">
        <w:trPr>
          <w:cantSplit/>
        </w:trPr>
        <w:tc>
          <w:tcPr>
            <w:tcW w:w="994" w:type="pct"/>
            <w:tcMar>
              <w:top w:w="85" w:type="dxa"/>
              <w:left w:w="85" w:type="dxa"/>
              <w:bottom w:w="85" w:type="dxa"/>
              <w:right w:w="85" w:type="dxa"/>
            </w:tcMar>
          </w:tcPr>
          <w:p w14:paraId="40E0E3FA" w14:textId="77777777" w:rsidR="006A10DE" w:rsidRPr="00630129" w:rsidRDefault="006A10DE" w:rsidP="00F60AD8">
            <w:pPr>
              <w:rPr>
                <w:sz w:val="22"/>
                <w:szCs w:val="22"/>
              </w:rPr>
            </w:pPr>
            <w:r w:rsidRPr="00630129">
              <w:rPr>
                <w:sz w:val="22"/>
                <w:szCs w:val="22"/>
              </w:rPr>
              <w:t>Bid-Offer Pair</w:t>
            </w:r>
          </w:p>
        </w:tc>
        <w:tc>
          <w:tcPr>
            <w:tcW w:w="974" w:type="pct"/>
            <w:tcMar>
              <w:top w:w="85" w:type="dxa"/>
              <w:left w:w="85" w:type="dxa"/>
              <w:bottom w:w="85" w:type="dxa"/>
              <w:right w:w="85" w:type="dxa"/>
            </w:tcMar>
          </w:tcPr>
          <w:p w14:paraId="0E96B262" w14:textId="77777777" w:rsidR="006A10DE" w:rsidRPr="00630129" w:rsidRDefault="006A10DE" w:rsidP="00F60AD8">
            <w:pPr>
              <w:rPr>
                <w:sz w:val="22"/>
                <w:szCs w:val="22"/>
              </w:rPr>
            </w:pPr>
          </w:p>
        </w:tc>
        <w:tc>
          <w:tcPr>
            <w:tcW w:w="492" w:type="pct"/>
            <w:tcMar>
              <w:top w:w="85" w:type="dxa"/>
              <w:left w:w="85" w:type="dxa"/>
              <w:bottom w:w="85" w:type="dxa"/>
              <w:right w:w="85" w:type="dxa"/>
            </w:tcMar>
          </w:tcPr>
          <w:p w14:paraId="464614CB"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09989C9F" w14:textId="77777777" w:rsidR="006A10DE" w:rsidRPr="00630129" w:rsidRDefault="006A10DE" w:rsidP="00F60AD8">
            <w:pPr>
              <w:rPr>
                <w:sz w:val="22"/>
                <w:szCs w:val="22"/>
              </w:rPr>
            </w:pPr>
            <w:r w:rsidRPr="00630129">
              <w:rPr>
                <w:sz w:val="22"/>
                <w:szCs w:val="22"/>
              </w:rPr>
              <w:t>Data which may be submitted in relation to a BM Unit for a Settlement Period, being data that comprises the items set out in Section Q4.1.3, or (where applicable) data created pursuant to Section T3.4B.1.</w:t>
            </w:r>
          </w:p>
        </w:tc>
      </w:tr>
      <w:tr w:rsidR="006A10DE" w:rsidRPr="00630129" w14:paraId="0714B354" w14:textId="77777777" w:rsidTr="00A63BA8">
        <w:trPr>
          <w:cantSplit/>
        </w:trPr>
        <w:tc>
          <w:tcPr>
            <w:tcW w:w="994" w:type="pct"/>
            <w:tcMar>
              <w:top w:w="85" w:type="dxa"/>
              <w:left w:w="85" w:type="dxa"/>
              <w:bottom w:w="85" w:type="dxa"/>
              <w:right w:w="85" w:type="dxa"/>
            </w:tcMar>
          </w:tcPr>
          <w:p w14:paraId="7AF361DF" w14:textId="77777777" w:rsidR="006A10DE" w:rsidRPr="00630129" w:rsidRDefault="006A10DE" w:rsidP="00F60AD8">
            <w:pPr>
              <w:rPr>
                <w:sz w:val="22"/>
                <w:szCs w:val="22"/>
              </w:rPr>
            </w:pPr>
            <w:r w:rsidRPr="00630129">
              <w:rPr>
                <w:sz w:val="22"/>
                <w:szCs w:val="22"/>
              </w:rPr>
              <w:t>Bid-Offer Pair Number</w:t>
            </w:r>
          </w:p>
        </w:tc>
        <w:tc>
          <w:tcPr>
            <w:tcW w:w="974" w:type="pct"/>
            <w:tcMar>
              <w:top w:w="85" w:type="dxa"/>
              <w:left w:w="85" w:type="dxa"/>
              <w:bottom w:w="85" w:type="dxa"/>
              <w:right w:w="85" w:type="dxa"/>
            </w:tcMar>
          </w:tcPr>
          <w:p w14:paraId="65FEAF08" w14:textId="77777777" w:rsidR="006A10DE" w:rsidRPr="00630129" w:rsidRDefault="006A10DE" w:rsidP="00F60AD8">
            <w:pPr>
              <w:rPr>
                <w:sz w:val="22"/>
                <w:szCs w:val="22"/>
              </w:rPr>
            </w:pPr>
            <w:r w:rsidRPr="00630129">
              <w:rPr>
                <w:sz w:val="22"/>
                <w:szCs w:val="22"/>
              </w:rPr>
              <w:t>n</w:t>
            </w:r>
          </w:p>
        </w:tc>
        <w:tc>
          <w:tcPr>
            <w:tcW w:w="492" w:type="pct"/>
            <w:tcMar>
              <w:top w:w="85" w:type="dxa"/>
              <w:left w:w="85" w:type="dxa"/>
              <w:bottom w:w="85" w:type="dxa"/>
              <w:right w:w="85" w:type="dxa"/>
            </w:tcMar>
          </w:tcPr>
          <w:p w14:paraId="768DAC08"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340D9EDA" w14:textId="77777777" w:rsidR="006A10DE" w:rsidRPr="00630129" w:rsidRDefault="006A10DE" w:rsidP="00F60AD8">
            <w:pPr>
              <w:spacing w:after="120"/>
              <w:rPr>
                <w:sz w:val="22"/>
                <w:szCs w:val="22"/>
              </w:rPr>
            </w:pPr>
            <w:r w:rsidRPr="00630129">
              <w:rPr>
                <w:sz w:val="22"/>
                <w:szCs w:val="22"/>
              </w:rPr>
              <w:t>A number used to identify a particular Bid-Offer Pair.</w:t>
            </w:r>
          </w:p>
          <w:p w14:paraId="0993D310" w14:textId="77777777" w:rsidR="006A10DE" w:rsidRPr="00630129" w:rsidRDefault="006A10DE" w:rsidP="00F60AD8">
            <w:pPr>
              <w:rPr>
                <w:i/>
                <w:sz w:val="22"/>
                <w:szCs w:val="22"/>
              </w:rPr>
            </w:pPr>
            <w:r w:rsidRPr="00630129">
              <w:rPr>
                <w:i/>
                <w:sz w:val="22"/>
                <w:szCs w:val="22"/>
              </w:rPr>
              <w:t>Values of n are negative for Bid-Offer Pairs that cover operating levels below FPN and positive for those that cover operating levels above FPN.</w:t>
            </w:r>
          </w:p>
        </w:tc>
      </w:tr>
      <w:tr w:rsidR="006A10DE" w:rsidRPr="00630129" w14:paraId="6A8214C0" w14:textId="77777777" w:rsidTr="00A63BA8">
        <w:trPr>
          <w:cantSplit/>
        </w:trPr>
        <w:tc>
          <w:tcPr>
            <w:tcW w:w="994" w:type="pct"/>
            <w:tcMar>
              <w:top w:w="85" w:type="dxa"/>
              <w:left w:w="85" w:type="dxa"/>
              <w:bottom w:w="85" w:type="dxa"/>
              <w:right w:w="85" w:type="dxa"/>
            </w:tcMar>
          </w:tcPr>
          <w:p w14:paraId="40305EEE" w14:textId="77777777" w:rsidR="006A10DE" w:rsidRPr="00630129" w:rsidRDefault="006A10DE" w:rsidP="00F60AD8">
            <w:pPr>
              <w:rPr>
                <w:sz w:val="22"/>
                <w:szCs w:val="22"/>
              </w:rPr>
            </w:pPr>
            <w:r w:rsidRPr="00630129">
              <w:rPr>
                <w:sz w:val="22"/>
                <w:szCs w:val="22"/>
              </w:rPr>
              <w:t>Bid-Offer Upper Range</w:t>
            </w:r>
          </w:p>
        </w:tc>
        <w:tc>
          <w:tcPr>
            <w:tcW w:w="974" w:type="pct"/>
            <w:tcMar>
              <w:top w:w="85" w:type="dxa"/>
              <w:left w:w="85" w:type="dxa"/>
              <w:bottom w:w="85" w:type="dxa"/>
              <w:right w:w="85" w:type="dxa"/>
            </w:tcMar>
          </w:tcPr>
          <w:p w14:paraId="1AB699E5" w14:textId="77777777" w:rsidR="006A10DE" w:rsidRPr="00630129" w:rsidRDefault="006A10DE" w:rsidP="00F60AD8">
            <w:pPr>
              <w:rPr>
                <w:sz w:val="22"/>
                <w:szCs w:val="22"/>
              </w:rPr>
            </w:pPr>
            <w:proofErr w:type="spellStart"/>
            <w:r w:rsidRPr="00630129">
              <w:rPr>
                <w:sz w:val="22"/>
                <w:szCs w:val="22"/>
              </w:rPr>
              <w:t>BOUR</w:t>
            </w:r>
            <w:r w:rsidRPr="00630129">
              <w:rPr>
                <w:sz w:val="22"/>
                <w:szCs w:val="22"/>
                <w:vertAlign w:val="superscript"/>
              </w:rPr>
              <w:t>n</w:t>
            </w:r>
            <w:r w:rsidRPr="00630129">
              <w:rPr>
                <w:sz w:val="22"/>
                <w:szCs w:val="22"/>
                <w:vertAlign w:val="subscript"/>
              </w:rPr>
              <w:t>ij</w:t>
            </w:r>
            <w:proofErr w:type="spellEnd"/>
            <w:r w:rsidRPr="00630129">
              <w:rPr>
                <w:sz w:val="22"/>
                <w:szCs w:val="22"/>
              </w:rPr>
              <w:t>(t)</w:t>
            </w:r>
          </w:p>
        </w:tc>
        <w:tc>
          <w:tcPr>
            <w:tcW w:w="492" w:type="pct"/>
            <w:tcMar>
              <w:top w:w="85" w:type="dxa"/>
              <w:left w:w="85" w:type="dxa"/>
              <w:bottom w:w="85" w:type="dxa"/>
              <w:right w:w="85" w:type="dxa"/>
            </w:tcMar>
          </w:tcPr>
          <w:p w14:paraId="6A3A99F7" w14:textId="77777777" w:rsidR="006A10DE" w:rsidRPr="00630129" w:rsidRDefault="006A10DE" w:rsidP="00F60AD8">
            <w:pPr>
              <w:rPr>
                <w:sz w:val="22"/>
                <w:szCs w:val="22"/>
              </w:rPr>
            </w:pPr>
            <w:r w:rsidRPr="00630129">
              <w:rPr>
                <w:sz w:val="22"/>
                <w:szCs w:val="22"/>
              </w:rPr>
              <w:t>MW</w:t>
            </w:r>
          </w:p>
        </w:tc>
        <w:tc>
          <w:tcPr>
            <w:tcW w:w="2540" w:type="pct"/>
            <w:tcMar>
              <w:top w:w="85" w:type="dxa"/>
              <w:left w:w="85" w:type="dxa"/>
              <w:bottom w:w="85" w:type="dxa"/>
              <w:right w:w="85" w:type="dxa"/>
            </w:tcMar>
          </w:tcPr>
          <w:p w14:paraId="65318646" w14:textId="77777777" w:rsidR="006A10DE" w:rsidRPr="00630129" w:rsidRDefault="006A10DE" w:rsidP="00F60AD8">
            <w:pPr>
              <w:spacing w:after="120"/>
              <w:rPr>
                <w:sz w:val="22"/>
                <w:szCs w:val="22"/>
              </w:rPr>
            </w:pPr>
            <w:r w:rsidRPr="00630129">
              <w:rPr>
                <w:sz w:val="22"/>
                <w:szCs w:val="22"/>
              </w:rPr>
              <w:t>The range determined in accordance with Section T3.4A.1, T3.4A.2 or T3.5.1 (as the case may be).</w:t>
            </w:r>
          </w:p>
          <w:p w14:paraId="37F91AB3" w14:textId="77777777" w:rsidR="006A10DE" w:rsidRPr="00630129" w:rsidRDefault="006A10DE" w:rsidP="00F60AD8">
            <w:pPr>
              <w:rPr>
                <w:i/>
                <w:sz w:val="22"/>
                <w:szCs w:val="22"/>
              </w:rPr>
            </w:pPr>
            <w:r w:rsidRPr="00630129">
              <w:rPr>
                <w:i/>
                <w:sz w:val="22"/>
                <w:szCs w:val="22"/>
              </w:rPr>
              <w:t xml:space="preserve">The Bid-Offer Upper Range is that data calculated for spot times t in Settlement Period j and BM Unit </w:t>
            </w:r>
            <w:proofErr w:type="spellStart"/>
            <w:r w:rsidRPr="00630129">
              <w:rPr>
                <w:i/>
                <w:sz w:val="22"/>
                <w:szCs w:val="22"/>
              </w:rPr>
              <w:t>i</w:t>
            </w:r>
            <w:proofErr w:type="spellEnd"/>
            <w:r w:rsidRPr="00630129">
              <w:rPr>
                <w:i/>
                <w:sz w:val="22"/>
                <w:szCs w:val="22"/>
              </w:rPr>
              <w:t>, for a Bid-Offer Pair with a positive Bid-Offer Pair Number n. It is used to determine the operating range (in absolute MW) above FPN in which a particular Bid-Offer Pair applies.</w:t>
            </w:r>
          </w:p>
        </w:tc>
      </w:tr>
      <w:tr w:rsidR="006A10DE" w:rsidRPr="00630129" w14:paraId="55011713" w14:textId="77777777" w:rsidTr="00A63BA8">
        <w:trPr>
          <w:cantSplit/>
        </w:trPr>
        <w:tc>
          <w:tcPr>
            <w:tcW w:w="994" w:type="pct"/>
            <w:tcMar>
              <w:top w:w="85" w:type="dxa"/>
              <w:left w:w="85" w:type="dxa"/>
              <w:bottom w:w="85" w:type="dxa"/>
              <w:right w:w="85" w:type="dxa"/>
            </w:tcMar>
          </w:tcPr>
          <w:p w14:paraId="1B62EDC8" w14:textId="77777777" w:rsidR="006A10DE" w:rsidRPr="00630129" w:rsidRDefault="006A10DE" w:rsidP="00F60AD8">
            <w:pPr>
              <w:rPr>
                <w:sz w:val="22"/>
                <w:szCs w:val="22"/>
              </w:rPr>
            </w:pPr>
            <w:r w:rsidRPr="00630129">
              <w:rPr>
                <w:sz w:val="22"/>
                <w:szCs w:val="22"/>
              </w:rPr>
              <w:t>Bid-Offer Volume</w:t>
            </w:r>
          </w:p>
        </w:tc>
        <w:tc>
          <w:tcPr>
            <w:tcW w:w="974" w:type="pct"/>
            <w:tcMar>
              <w:top w:w="85" w:type="dxa"/>
              <w:left w:w="85" w:type="dxa"/>
              <w:bottom w:w="85" w:type="dxa"/>
              <w:right w:w="85" w:type="dxa"/>
            </w:tcMar>
          </w:tcPr>
          <w:p w14:paraId="3D48D7F1" w14:textId="77777777" w:rsidR="006A10DE" w:rsidRPr="00630129" w:rsidRDefault="006A10DE" w:rsidP="00F60AD8">
            <w:pPr>
              <w:rPr>
                <w:sz w:val="22"/>
                <w:szCs w:val="22"/>
              </w:rPr>
            </w:pPr>
            <w:proofErr w:type="spellStart"/>
            <w:r w:rsidRPr="00630129">
              <w:rPr>
                <w:sz w:val="22"/>
                <w:szCs w:val="22"/>
              </w:rPr>
              <w:t>qBO</w:t>
            </w:r>
            <w:r w:rsidRPr="00630129">
              <w:rPr>
                <w:sz w:val="22"/>
                <w:szCs w:val="22"/>
                <w:vertAlign w:val="superscript"/>
              </w:rPr>
              <w:t>n</w:t>
            </w:r>
            <w:r w:rsidRPr="00630129">
              <w:rPr>
                <w:sz w:val="22"/>
                <w:szCs w:val="22"/>
                <w:vertAlign w:val="subscript"/>
              </w:rPr>
              <w:t>ij</w:t>
            </w:r>
            <w:proofErr w:type="spellEnd"/>
            <w:r w:rsidRPr="00630129">
              <w:rPr>
                <w:sz w:val="22"/>
                <w:szCs w:val="22"/>
              </w:rPr>
              <w:t>(t)</w:t>
            </w:r>
          </w:p>
        </w:tc>
        <w:tc>
          <w:tcPr>
            <w:tcW w:w="492" w:type="pct"/>
            <w:tcMar>
              <w:top w:w="85" w:type="dxa"/>
              <w:left w:w="85" w:type="dxa"/>
              <w:bottom w:w="85" w:type="dxa"/>
              <w:right w:w="85" w:type="dxa"/>
            </w:tcMar>
          </w:tcPr>
          <w:p w14:paraId="2E90FA90" w14:textId="77777777" w:rsidR="006A10DE" w:rsidRPr="00630129" w:rsidRDefault="006A10DE" w:rsidP="00F60AD8">
            <w:pPr>
              <w:rPr>
                <w:sz w:val="22"/>
                <w:szCs w:val="22"/>
              </w:rPr>
            </w:pPr>
            <w:r w:rsidRPr="00630129">
              <w:rPr>
                <w:sz w:val="22"/>
                <w:szCs w:val="22"/>
              </w:rPr>
              <w:t>MW</w:t>
            </w:r>
          </w:p>
        </w:tc>
        <w:tc>
          <w:tcPr>
            <w:tcW w:w="2540" w:type="pct"/>
            <w:tcMar>
              <w:top w:w="85" w:type="dxa"/>
              <w:left w:w="85" w:type="dxa"/>
              <w:bottom w:w="85" w:type="dxa"/>
              <w:right w:w="85" w:type="dxa"/>
            </w:tcMar>
          </w:tcPr>
          <w:p w14:paraId="0AE94121" w14:textId="77777777" w:rsidR="006A10DE" w:rsidRPr="00630129" w:rsidRDefault="006A10DE" w:rsidP="00F60AD8">
            <w:pPr>
              <w:spacing w:after="120"/>
              <w:rPr>
                <w:sz w:val="22"/>
                <w:szCs w:val="22"/>
              </w:rPr>
            </w:pPr>
            <w:r w:rsidRPr="00630129">
              <w:rPr>
                <w:sz w:val="22"/>
                <w:szCs w:val="22"/>
              </w:rPr>
              <w:t>The quantity established in accordance with Section T3.3.</w:t>
            </w:r>
          </w:p>
          <w:p w14:paraId="31744829" w14:textId="77777777" w:rsidR="006A10DE" w:rsidRPr="00630129" w:rsidRDefault="006A10DE" w:rsidP="00F60AD8">
            <w:pPr>
              <w:rPr>
                <w:i/>
                <w:sz w:val="22"/>
                <w:szCs w:val="22"/>
              </w:rPr>
            </w:pPr>
            <w:r w:rsidRPr="00630129">
              <w:rPr>
                <w:i/>
                <w:sz w:val="22"/>
                <w:szCs w:val="22"/>
              </w:rPr>
              <w:t xml:space="preserve">The Bid-Offer Volume is the quantity of power increase or decrease available (relative to FPN) from Bid-Offer Pair n, in Settlement Period j for BM Unit </w:t>
            </w:r>
            <w:proofErr w:type="spellStart"/>
            <w:r w:rsidRPr="00630129">
              <w:rPr>
                <w:i/>
                <w:sz w:val="22"/>
                <w:szCs w:val="22"/>
              </w:rPr>
              <w:t>i</w:t>
            </w:r>
            <w:proofErr w:type="spellEnd"/>
            <w:r w:rsidRPr="00630129">
              <w:rPr>
                <w:i/>
                <w:sz w:val="22"/>
                <w:szCs w:val="22"/>
              </w:rPr>
              <w:t xml:space="preserve"> at spot time t. Initially the Bid-Offer Volume for a Bid-Offer Pair is constant across a particular Settlement Period.</w:t>
            </w:r>
          </w:p>
        </w:tc>
      </w:tr>
      <w:tr w:rsidR="006A10DE" w:rsidRPr="00630129" w14:paraId="5C2D218D"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5DF0700" w14:textId="77777777" w:rsidR="006A10DE" w:rsidRPr="00630129" w:rsidRDefault="006A10DE" w:rsidP="00F60AD8">
            <w:pPr>
              <w:rPr>
                <w:sz w:val="22"/>
                <w:szCs w:val="22"/>
              </w:rPr>
            </w:pPr>
            <w:r w:rsidRPr="00630129">
              <w:rPr>
                <w:sz w:val="22"/>
                <w:szCs w:val="22"/>
              </w:rPr>
              <w:t>BM Unit Allocated Demand Disconnection Volume</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81C4F55" w14:textId="77777777" w:rsidR="006A10DE" w:rsidRPr="00630129" w:rsidRDefault="006A10DE" w:rsidP="00F60AD8">
            <w:pPr>
              <w:rPr>
                <w:sz w:val="22"/>
                <w:szCs w:val="22"/>
              </w:rPr>
            </w:pPr>
            <w:proofErr w:type="spellStart"/>
            <w:r w:rsidRPr="00630129">
              <w:rPr>
                <w:sz w:val="22"/>
                <w:szCs w:val="22"/>
              </w:rPr>
              <w:t>BMUADDV</w:t>
            </w:r>
            <w:r w:rsidRPr="00630129">
              <w:rPr>
                <w:sz w:val="22"/>
                <w:szCs w:val="22"/>
                <w:vertAlign w:val="subscript"/>
              </w:rPr>
              <w:t>ij</w:t>
            </w:r>
            <w:proofErr w:type="spellEnd"/>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11C62E4" w14:textId="77777777" w:rsidR="006A10DE" w:rsidRPr="00630129" w:rsidRDefault="006A10DE" w:rsidP="00F60AD8">
            <w:pPr>
              <w:rPr>
                <w:sz w:val="22"/>
                <w:szCs w:val="22"/>
              </w:rPr>
            </w:pPr>
            <w:r w:rsidRPr="00630129">
              <w:rPr>
                <w:sz w:val="22"/>
                <w:szCs w:val="22"/>
              </w:rPr>
              <w:t>MWh</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90ABE23" w14:textId="77777777" w:rsidR="006A10DE" w:rsidRPr="00630129" w:rsidRDefault="006A10DE" w:rsidP="00F60AD8">
            <w:pPr>
              <w:rPr>
                <w:sz w:val="22"/>
                <w:szCs w:val="22"/>
              </w:rPr>
            </w:pPr>
            <w:r w:rsidRPr="00630129">
              <w:rPr>
                <w:sz w:val="22"/>
                <w:szCs w:val="22"/>
              </w:rPr>
              <w:t>The quantity submitted in accordance with paragraph 9.6.2 of Annex S-2.</w:t>
            </w:r>
          </w:p>
        </w:tc>
      </w:tr>
      <w:tr w:rsidR="006A10DE" w:rsidRPr="00630129" w14:paraId="780FFAB8" w14:textId="77777777" w:rsidTr="00A63BA8">
        <w:trPr>
          <w:cantSplit/>
        </w:trPr>
        <w:tc>
          <w:tcPr>
            <w:tcW w:w="994" w:type="pct"/>
            <w:tcMar>
              <w:top w:w="85" w:type="dxa"/>
              <w:left w:w="85" w:type="dxa"/>
              <w:bottom w:w="85" w:type="dxa"/>
              <w:right w:w="85" w:type="dxa"/>
            </w:tcMar>
          </w:tcPr>
          <w:p w14:paraId="4A6CFA16" w14:textId="77777777" w:rsidR="006A10DE" w:rsidRPr="00630129" w:rsidRDefault="006A10DE" w:rsidP="00F60AD8">
            <w:pPr>
              <w:rPr>
                <w:sz w:val="22"/>
                <w:szCs w:val="22"/>
              </w:rPr>
            </w:pPr>
            <w:r w:rsidRPr="00630129">
              <w:rPr>
                <w:sz w:val="22"/>
                <w:szCs w:val="22"/>
              </w:rPr>
              <w:t>BM Unit Allocated Demand Volume</w:t>
            </w:r>
          </w:p>
        </w:tc>
        <w:tc>
          <w:tcPr>
            <w:tcW w:w="974" w:type="pct"/>
            <w:tcMar>
              <w:top w:w="85" w:type="dxa"/>
              <w:left w:w="85" w:type="dxa"/>
              <w:bottom w:w="85" w:type="dxa"/>
              <w:right w:w="85" w:type="dxa"/>
            </w:tcMar>
          </w:tcPr>
          <w:p w14:paraId="51C2EBFE" w14:textId="77777777" w:rsidR="006A10DE" w:rsidRPr="00630129" w:rsidRDefault="006A10DE" w:rsidP="00F60AD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630129">
              <w:rPr>
                <w:rFonts w:ascii="Times New Roman" w:hAnsi="Times New Roman"/>
                <w:sz w:val="22"/>
                <w:szCs w:val="22"/>
              </w:rPr>
              <w:t>BMUADV</w:t>
            </w:r>
            <w:r w:rsidRPr="00630129">
              <w:rPr>
                <w:rFonts w:ascii="Times New Roman" w:hAnsi="Times New Roman"/>
                <w:sz w:val="22"/>
                <w:szCs w:val="22"/>
                <w:vertAlign w:val="subscript"/>
              </w:rPr>
              <w:t>ij</w:t>
            </w:r>
            <w:proofErr w:type="spellEnd"/>
          </w:p>
        </w:tc>
        <w:tc>
          <w:tcPr>
            <w:tcW w:w="492" w:type="pct"/>
            <w:tcMar>
              <w:top w:w="85" w:type="dxa"/>
              <w:left w:w="85" w:type="dxa"/>
              <w:bottom w:w="85" w:type="dxa"/>
              <w:right w:w="85" w:type="dxa"/>
            </w:tcMar>
          </w:tcPr>
          <w:p w14:paraId="3DE44C7C" w14:textId="77777777" w:rsidR="006A10DE" w:rsidRPr="00630129" w:rsidRDefault="006A10DE" w:rsidP="00F60AD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MWh</w:t>
            </w:r>
          </w:p>
        </w:tc>
        <w:tc>
          <w:tcPr>
            <w:tcW w:w="2540" w:type="pct"/>
            <w:tcMar>
              <w:top w:w="85" w:type="dxa"/>
              <w:left w:w="85" w:type="dxa"/>
              <w:bottom w:w="85" w:type="dxa"/>
              <w:right w:w="85" w:type="dxa"/>
            </w:tcMar>
          </w:tcPr>
          <w:p w14:paraId="7A570962" w14:textId="77777777" w:rsidR="006A10DE" w:rsidRPr="00630129" w:rsidRDefault="006A10DE" w:rsidP="00F60AD8">
            <w:pPr>
              <w:rPr>
                <w:sz w:val="22"/>
                <w:szCs w:val="22"/>
              </w:rPr>
            </w:pPr>
            <w:r w:rsidRPr="00630129">
              <w:rPr>
                <w:sz w:val="22"/>
                <w:szCs w:val="22"/>
              </w:rPr>
              <w:t>The quantity submitted in accordance with paragraph 9.6.2 of Annex S-2.</w:t>
            </w:r>
          </w:p>
        </w:tc>
      </w:tr>
      <w:tr w:rsidR="006A10DE" w:rsidRPr="00630129" w14:paraId="56098457" w14:textId="77777777" w:rsidTr="00A63BA8">
        <w:trPr>
          <w:cantSplit/>
        </w:trPr>
        <w:tc>
          <w:tcPr>
            <w:tcW w:w="994" w:type="pct"/>
            <w:tcMar>
              <w:top w:w="85" w:type="dxa"/>
              <w:left w:w="85" w:type="dxa"/>
              <w:bottom w:w="85" w:type="dxa"/>
              <w:right w:w="85" w:type="dxa"/>
            </w:tcMar>
          </w:tcPr>
          <w:p w14:paraId="18126A72" w14:textId="77777777" w:rsidR="006A10DE" w:rsidRPr="00630129" w:rsidRDefault="006A10DE" w:rsidP="00F60AD8">
            <w:pPr>
              <w:rPr>
                <w:sz w:val="22"/>
                <w:szCs w:val="22"/>
              </w:rPr>
            </w:pPr>
            <w:r w:rsidRPr="00630129">
              <w:rPr>
                <w:sz w:val="22"/>
                <w:szCs w:val="22"/>
              </w:rPr>
              <w:lastRenderedPageBreak/>
              <w:t>BM Unit Applicable Balancing Services Volume</w:t>
            </w:r>
            <w:r>
              <w:rPr>
                <w:sz w:val="22"/>
                <w:szCs w:val="22"/>
              </w:rPr>
              <w:t xml:space="preserve"> Data or BM Unit ABSVD</w:t>
            </w:r>
          </w:p>
        </w:tc>
        <w:tc>
          <w:tcPr>
            <w:tcW w:w="974" w:type="pct"/>
            <w:tcMar>
              <w:top w:w="85" w:type="dxa"/>
              <w:left w:w="85" w:type="dxa"/>
              <w:bottom w:w="85" w:type="dxa"/>
              <w:right w:w="85" w:type="dxa"/>
            </w:tcMar>
          </w:tcPr>
          <w:p w14:paraId="158A45CC" w14:textId="77777777" w:rsidR="006A10DE" w:rsidRPr="00630129" w:rsidRDefault="006A10DE" w:rsidP="00F60AD8">
            <w:pPr>
              <w:rPr>
                <w:sz w:val="22"/>
                <w:szCs w:val="22"/>
              </w:rPr>
            </w:pPr>
            <w:proofErr w:type="spellStart"/>
            <w:r w:rsidRPr="00630129">
              <w:rPr>
                <w:sz w:val="22"/>
                <w:szCs w:val="22"/>
              </w:rPr>
              <w:t>QAS</w:t>
            </w:r>
            <w:r w:rsidRPr="00630129">
              <w:rPr>
                <w:sz w:val="22"/>
                <w:szCs w:val="22"/>
                <w:vertAlign w:val="subscript"/>
              </w:rPr>
              <w:t>ij</w:t>
            </w:r>
            <w:proofErr w:type="spellEnd"/>
          </w:p>
        </w:tc>
        <w:tc>
          <w:tcPr>
            <w:tcW w:w="492" w:type="pct"/>
            <w:tcMar>
              <w:top w:w="85" w:type="dxa"/>
              <w:left w:w="85" w:type="dxa"/>
              <w:bottom w:w="85" w:type="dxa"/>
              <w:right w:w="85" w:type="dxa"/>
            </w:tcMar>
          </w:tcPr>
          <w:p w14:paraId="74A4674B"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621B8D53" w14:textId="77777777" w:rsidR="006A10DE" w:rsidRPr="00630129" w:rsidRDefault="006A10DE" w:rsidP="00F60AD8">
            <w:pPr>
              <w:rPr>
                <w:sz w:val="22"/>
                <w:szCs w:val="22"/>
              </w:rPr>
            </w:pPr>
            <w:r w:rsidRPr="00630129">
              <w:rPr>
                <w:sz w:val="22"/>
                <w:szCs w:val="22"/>
              </w:rPr>
              <w:t xml:space="preserve">In respect of a BM Unit and a Settlement Period, the Applicable Balancing Services Volume Data sent by the NETSO </w:t>
            </w:r>
            <w:r w:rsidR="00507A1B">
              <w:rPr>
                <w:sz w:val="22"/>
                <w:szCs w:val="22"/>
              </w:rPr>
              <w:t xml:space="preserve">to the SAA </w:t>
            </w:r>
            <w:r w:rsidRPr="00630129">
              <w:rPr>
                <w:sz w:val="22"/>
                <w:szCs w:val="22"/>
              </w:rPr>
              <w:t>pursuant to Section Q6.4</w:t>
            </w:r>
            <w:r w:rsidR="00B77B86">
              <w:rPr>
                <w:sz w:val="22"/>
                <w:szCs w:val="22"/>
              </w:rPr>
              <w:t>.1</w:t>
            </w:r>
            <w:r w:rsidRPr="00630129">
              <w:rPr>
                <w:sz w:val="22"/>
                <w:szCs w:val="22"/>
              </w:rPr>
              <w:t>.</w:t>
            </w:r>
          </w:p>
        </w:tc>
      </w:tr>
      <w:tr w:rsidR="006A10DE" w:rsidRPr="00630129" w14:paraId="1E317679" w14:textId="77777777" w:rsidTr="00A63BA8">
        <w:trPr>
          <w:cantSplit/>
        </w:trPr>
        <w:tc>
          <w:tcPr>
            <w:tcW w:w="994" w:type="pct"/>
            <w:tcMar>
              <w:top w:w="85" w:type="dxa"/>
              <w:left w:w="85" w:type="dxa"/>
              <w:bottom w:w="85" w:type="dxa"/>
              <w:right w:w="85" w:type="dxa"/>
            </w:tcMar>
          </w:tcPr>
          <w:p w14:paraId="4626D99E" w14:textId="77777777" w:rsidR="006A10DE" w:rsidRPr="00630129" w:rsidRDefault="006A10DE" w:rsidP="00F60AD8">
            <w:pPr>
              <w:rPr>
                <w:sz w:val="22"/>
                <w:szCs w:val="22"/>
              </w:rPr>
            </w:pPr>
            <w:r w:rsidRPr="00630129">
              <w:rPr>
                <w:sz w:val="22"/>
                <w:szCs w:val="22"/>
              </w:rPr>
              <w:t xml:space="preserve">BM Unit Credit Assessment Export Capability </w:t>
            </w:r>
          </w:p>
        </w:tc>
        <w:tc>
          <w:tcPr>
            <w:tcW w:w="974" w:type="pct"/>
            <w:tcMar>
              <w:top w:w="85" w:type="dxa"/>
              <w:left w:w="85" w:type="dxa"/>
              <w:bottom w:w="85" w:type="dxa"/>
              <w:right w:w="85" w:type="dxa"/>
            </w:tcMar>
          </w:tcPr>
          <w:p w14:paraId="5B775E56" w14:textId="77777777" w:rsidR="006A10DE" w:rsidRPr="00630129" w:rsidRDefault="006A10DE" w:rsidP="00F60AD8">
            <w:pPr>
              <w:rPr>
                <w:sz w:val="22"/>
                <w:szCs w:val="22"/>
              </w:rPr>
            </w:pPr>
            <w:proofErr w:type="spellStart"/>
            <w:r w:rsidRPr="00630129">
              <w:rPr>
                <w:sz w:val="22"/>
                <w:szCs w:val="22"/>
              </w:rPr>
              <w:t>BMCAEC</w:t>
            </w:r>
            <w:r w:rsidRPr="00630129">
              <w:rPr>
                <w:sz w:val="22"/>
                <w:szCs w:val="22"/>
                <w:vertAlign w:val="subscript"/>
              </w:rPr>
              <w:t>i</w:t>
            </w:r>
            <w:proofErr w:type="spellEnd"/>
          </w:p>
        </w:tc>
        <w:tc>
          <w:tcPr>
            <w:tcW w:w="492" w:type="pct"/>
            <w:tcMar>
              <w:top w:w="85" w:type="dxa"/>
              <w:left w:w="85" w:type="dxa"/>
              <w:bottom w:w="85" w:type="dxa"/>
              <w:right w:w="85" w:type="dxa"/>
            </w:tcMar>
          </w:tcPr>
          <w:p w14:paraId="0D6ADE37" w14:textId="77777777" w:rsidR="006A10DE" w:rsidRPr="00630129" w:rsidRDefault="006A10DE" w:rsidP="00F60AD8">
            <w:pPr>
              <w:rPr>
                <w:sz w:val="22"/>
                <w:szCs w:val="22"/>
              </w:rPr>
            </w:pPr>
            <w:r w:rsidRPr="00630129">
              <w:rPr>
                <w:sz w:val="22"/>
                <w:szCs w:val="22"/>
              </w:rPr>
              <w:t>MW</w:t>
            </w:r>
          </w:p>
        </w:tc>
        <w:tc>
          <w:tcPr>
            <w:tcW w:w="2540" w:type="pct"/>
            <w:tcMar>
              <w:top w:w="85" w:type="dxa"/>
              <w:left w:w="85" w:type="dxa"/>
              <w:bottom w:w="85" w:type="dxa"/>
              <w:right w:w="85" w:type="dxa"/>
            </w:tcMar>
          </w:tcPr>
          <w:p w14:paraId="57DB96B5" w14:textId="77777777" w:rsidR="006A10DE" w:rsidRPr="00630129" w:rsidRDefault="006A10DE" w:rsidP="00F60AD8">
            <w:pPr>
              <w:rPr>
                <w:i/>
                <w:sz w:val="22"/>
                <w:szCs w:val="22"/>
              </w:rPr>
            </w:pPr>
            <w:r w:rsidRPr="00630129">
              <w:rPr>
                <w:sz w:val="22"/>
                <w:szCs w:val="22"/>
              </w:rPr>
              <w:t>The quantity determined in accordance with Section M1.6.1(a).</w:t>
            </w:r>
          </w:p>
        </w:tc>
      </w:tr>
      <w:tr w:rsidR="006A10DE" w:rsidRPr="00630129" w14:paraId="484D6120" w14:textId="77777777" w:rsidTr="00A63BA8">
        <w:trPr>
          <w:cantSplit/>
        </w:trPr>
        <w:tc>
          <w:tcPr>
            <w:tcW w:w="994" w:type="pct"/>
            <w:tcMar>
              <w:top w:w="85" w:type="dxa"/>
              <w:left w:w="85" w:type="dxa"/>
              <w:bottom w:w="85" w:type="dxa"/>
              <w:right w:w="85" w:type="dxa"/>
            </w:tcMar>
          </w:tcPr>
          <w:p w14:paraId="6A9AB5D4" w14:textId="77777777" w:rsidR="006A10DE" w:rsidRPr="00630129" w:rsidRDefault="006A10DE" w:rsidP="00F60AD8">
            <w:pPr>
              <w:rPr>
                <w:sz w:val="22"/>
                <w:szCs w:val="22"/>
              </w:rPr>
            </w:pPr>
            <w:r w:rsidRPr="00630129">
              <w:rPr>
                <w:sz w:val="22"/>
                <w:szCs w:val="22"/>
              </w:rPr>
              <w:t>BM Unit Credit Assessment Import Capability</w:t>
            </w:r>
          </w:p>
        </w:tc>
        <w:tc>
          <w:tcPr>
            <w:tcW w:w="974" w:type="pct"/>
            <w:tcMar>
              <w:top w:w="85" w:type="dxa"/>
              <w:left w:w="85" w:type="dxa"/>
              <w:bottom w:w="85" w:type="dxa"/>
              <w:right w:w="85" w:type="dxa"/>
            </w:tcMar>
          </w:tcPr>
          <w:p w14:paraId="4C3E76DB" w14:textId="77777777" w:rsidR="006A10DE" w:rsidRPr="00630129" w:rsidRDefault="006A10DE" w:rsidP="00F60AD8">
            <w:pPr>
              <w:rPr>
                <w:sz w:val="22"/>
                <w:szCs w:val="22"/>
              </w:rPr>
            </w:pPr>
            <w:proofErr w:type="spellStart"/>
            <w:r w:rsidRPr="00630129">
              <w:rPr>
                <w:sz w:val="22"/>
                <w:szCs w:val="22"/>
              </w:rPr>
              <w:t>BMCAIC</w:t>
            </w:r>
            <w:r w:rsidRPr="00630129">
              <w:rPr>
                <w:sz w:val="22"/>
                <w:szCs w:val="22"/>
                <w:vertAlign w:val="subscript"/>
              </w:rPr>
              <w:t>i</w:t>
            </w:r>
            <w:proofErr w:type="spellEnd"/>
          </w:p>
        </w:tc>
        <w:tc>
          <w:tcPr>
            <w:tcW w:w="492" w:type="pct"/>
            <w:tcMar>
              <w:top w:w="85" w:type="dxa"/>
              <w:left w:w="85" w:type="dxa"/>
              <w:bottom w:w="85" w:type="dxa"/>
              <w:right w:w="85" w:type="dxa"/>
            </w:tcMar>
          </w:tcPr>
          <w:p w14:paraId="13629E88" w14:textId="77777777" w:rsidR="006A10DE" w:rsidRPr="00630129" w:rsidRDefault="006A10DE" w:rsidP="00F60AD8">
            <w:pPr>
              <w:rPr>
                <w:sz w:val="22"/>
                <w:szCs w:val="22"/>
              </w:rPr>
            </w:pPr>
            <w:r w:rsidRPr="00630129">
              <w:rPr>
                <w:sz w:val="22"/>
                <w:szCs w:val="22"/>
              </w:rPr>
              <w:t>MW</w:t>
            </w:r>
          </w:p>
        </w:tc>
        <w:tc>
          <w:tcPr>
            <w:tcW w:w="2540" w:type="pct"/>
            <w:tcMar>
              <w:top w:w="85" w:type="dxa"/>
              <w:left w:w="85" w:type="dxa"/>
              <w:bottom w:w="85" w:type="dxa"/>
              <w:right w:w="85" w:type="dxa"/>
            </w:tcMar>
          </w:tcPr>
          <w:p w14:paraId="49687B42" w14:textId="77777777" w:rsidR="006A10DE" w:rsidRPr="00630129" w:rsidRDefault="006A10DE" w:rsidP="00F60AD8">
            <w:pPr>
              <w:rPr>
                <w:i/>
                <w:sz w:val="22"/>
                <w:szCs w:val="22"/>
              </w:rPr>
            </w:pPr>
            <w:r w:rsidRPr="00630129">
              <w:rPr>
                <w:sz w:val="22"/>
                <w:szCs w:val="22"/>
              </w:rPr>
              <w:t>The quantity determined in accordance with Section M1.6.1(b).</w:t>
            </w:r>
          </w:p>
        </w:tc>
      </w:tr>
      <w:tr w:rsidR="006A10DE" w:rsidRPr="00630129" w14:paraId="11B06917" w14:textId="77777777" w:rsidTr="00A63BA8">
        <w:trPr>
          <w:cantSplit/>
        </w:trPr>
        <w:tc>
          <w:tcPr>
            <w:tcW w:w="994" w:type="pct"/>
            <w:tcMar>
              <w:top w:w="85" w:type="dxa"/>
              <w:left w:w="85" w:type="dxa"/>
              <w:bottom w:w="85" w:type="dxa"/>
              <w:right w:w="85" w:type="dxa"/>
            </w:tcMar>
          </w:tcPr>
          <w:p w14:paraId="5B93F3C5" w14:textId="77777777" w:rsidR="006A10DE" w:rsidRPr="00630129" w:rsidRDefault="006A10DE" w:rsidP="00F60AD8">
            <w:pPr>
              <w:rPr>
                <w:sz w:val="22"/>
                <w:szCs w:val="22"/>
              </w:rPr>
            </w:pPr>
            <w:r w:rsidRPr="00630129">
              <w:rPr>
                <w:sz w:val="22"/>
                <w:szCs w:val="22"/>
              </w:rPr>
              <w:t>BM Unit Identification Number</w:t>
            </w:r>
          </w:p>
        </w:tc>
        <w:tc>
          <w:tcPr>
            <w:tcW w:w="974" w:type="pct"/>
            <w:tcMar>
              <w:top w:w="85" w:type="dxa"/>
              <w:left w:w="85" w:type="dxa"/>
              <w:bottom w:w="85" w:type="dxa"/>
              <w:right w:w="85" w:type="dxa"/>
            </w:tcMar>
          </w:tcPr>
          <w:p w14:paraId="55FBC307" w14:textId="77777777" w:rsidR="006A10DE" w:rsidRPr="00630129" w:rsidRDefault="006A10DE" w:rsidP="00F60AD8">
            <w:pPr>
              <w:rPr>
                <w:sz w:val="22"/>
                <w:szCs w:val="22"/>
              </w:rPr>
            </w:pPr>
            <w:proofErr w:type="spellStart"/>
            <w:r w:rsidRPr="00630129">
              <w:rPr>
                <w:sz w:val="22"/>
                <w:szCs w:val="22"/>
              </w:rPr>
              <w:t>i</w:t>
            </w:r>
            <w:proofErr w:type="spellEnd"/>
          </w:p>
        </w:tc>
        <w:tc>
          <w:tcPr>
            <w:tcW w:w="492" w:type="pct"/>
            <w:tcMar>
              <w:top w:w="85" w:type="dxa"/>
              <w:left w:w="85" w:type="dxa"/>
              <w:bottom w:w="85" w:type="dxa"/>
              <w:right w:w="85" w:type="dxa"/>
            </w:tcMar>
          </w:tcPr>
          <w:p w14:paraId="3675C40D" w14:textId="77777777" w:rsidR="006A10DE" w:rsidRPr="00630129" w:rsidRDefault="006A10DE" w:rsidP="00F60AD8">
            <w:pPr>
              <w:rPr>
                <w:sz w:val="22"/>
                <w:szCs w:val="22"/>
              </w:rPr>
            </w:pPr>
          </w:p>
        </w:tc>
        <w:tc>
          <w:tcPr>
            <w:tcW w:w="2540" w:type="pct"/>
            <w:tcMar>
              <w:top w:w="85" w:type="dxa"/>
              <w:left w:w="85" w:type="dxa"/>
              <w:bottom w:w="85" w:type="dxa"/>
              <w:right w:w="85" w:type="dxa"/>
            </w:tcMar>
          </w:tcPr>
          <w:p w14:paraId="5EEEFEC3" w14:textId="77777777" w:rsidR="006A10DE" w:rsidRPr="00630129" w:rsidRDefault="006A10DE" w:rsidP="00F60AD8">
            <w:pPr>
              <w:rPr>
                <w:sz w:val="22"/>
                <w:szCs w:val="22"/>
              </w:rPr>
            </w:pPr>
            <w:r w:rsidRPr="00630129">
              <w:rPr>
                <w:sz w:val="22"/>
                <w:szCs w:val="22"/>
              </w:rPr>
              <w:t>A unique identifier for each BM Unit.</w:t>
            </w:r>
          </w:p>
        </w:tc>
      </w:tr>
      <w:tr w:rsidR="006A10DE" w:rsidRPr="00630129" w14:paraId="1B02CFEC" w14:textId="77777777" w:rsidTr="00A63BA8">
        <w:trPr>
          <w:cantSplit/>
        </w:trPr>
        <w:tc>
          <w:tcPr>
            <w:tcW w:w="994" w:type="pct"/>
            <w:tcMar>
              <w:top w:w="85" w:type="dxa"/>
              <w:left w:w="85" w:type="dxa"/>
              <w:bottom w:w="85" w:type="dxa"/>
              <w:right w:w="85" w:type="dxa"/>
            </w:tcMar>
          </w:tcPr>
          <w:p w14:paraId="37BC6090" w14:textId="77777777" w:rsidR="006A10DE" w:rsidRPr="00630129" w:rsidRDefault="006A10DE" w:rsidP="00F60AD8">
            <w:pPr>
              <w:rPr>
                <w:sz w:val="22"/>
                <w:szCs w:val="22"/>
              </w:rPr>
            </w:pPr>
            <w:r w:rsidRPr="00630129">
              <w:rPr>
                <w:sz w:val="22"/>
                <w:szCs w:val="22"/>
              </w:rPr>
              <w:t>BM Unit Metered Volume</w:t>
            </w:r>
          </w:p>
        </w:tc>
        <w:tc>
          <w:tcPr>
            <w:tcW w:w="974" w:type="pct"/>
            <w:tcMar>
              <w:top w:w="85" w:type="dxa"/>
              <w:left w:w="85" w:type="dxa"/>
              <w:bottom w:w="85" w:type="dxa"/>
              <w:right w:w="85" w:type="dxa"/>
            </w:tcMar>
          </w:tcPr>
          <w:p w14:paraId="50D1398C" w14:textId="77777777" w:rsidR="006A10DE" w:rsidRPr="00630129" w:rsidRDefault="006A10DE" w:rsidP="00F60AD8">
            <w:pPr>
              <w:rPr>
                <w:sz w:val="22"/>
                <w:szCs w:val="22"/>
              </w:rPr>
            </w:pPr>
            <w:proofErr w:type="spellStart"/>
            <w:r w:rsidRPr="00630129">
              <w:rPr>
                <w:sz w:val="22"/>
                <w:szCs w:val="22"/>
              </w:rPr>
              <w:t>QM</w:t>
            </w:r>
            <w:r w:rsidRPr="00630129">
              <w:rPr>
                <w:sz w:val="22"/>
                <w:szCs w:val="22"/>
                <w:vertAlign w:val="subscript"/>
              </w:rPr>
              <w:t>ij</w:t>
            </w:r>
            <w:proofErr w:type="spellEnd"/>
          </w:p>
        </w:tc>
        <w:tc>
          <w:tcPr>
            <w:tcW w:w="492" w:type="pct"/>
            <w:tcMar>
              <w:top w:w="85" w:type="dxa"/>
              <w:left w:w="85" w:type="dxa"/>
              <w:bottom w:w="85" w:type="dxa"/>
              <w:right w:w="85" w:type="dxa"/>
            </w:tcMar>
          </w:tcPr>
          <w:p w14:paraId="05998369" w14:textId="77777777" w:rsidR="006A10DE" w:rsidRPr="00630129" w:rsidRDefault="006A10DE" w:rsidP="00F60AD8">
            <w:pPr>
              <w:rPr>
                <w:sz w:val="22"/>
                <w:szCs w:val="22"/>
              </w:rPr>
            </w:pPr>
            <w:r w:rsidRPr="00630129">
              <w:rPr>
                <w:sz w:val="22"/>
                <w:szCs w:val="22"/>
              </w:rPr>
              <w:t>MWh</w:t>
            </w:r>
          </w:p>
        </w:tc>
        <w:tc>
          <w:tcPr>
            <w:tcW w:w="2540" w:type="pct"/>
            <w:tcMar>
              <w:top w:w="85" w:type="dxa"/>
              <w:left w:w="85" w:type="dxa"/>
              <w:bottom w:w="85" w:type="dxa"/>
              <w:right w:w="85" w:type="dxa"/>
            </w:tcMar>
          </w:tcPr>
          <w:p w14:paraId="6D52F48F" w14:textId="77777777" w:rsidR="006A10DE" w:rsidRPr="00630129" w:rsidRDefault="006A10DE" w:rsidP="00F60AD8">
            <w:pPr>
              <w:spacing w:after="120"/>
              <w:rPr>
                <w:sz w:val="22"/>
                <w:szCs w:val="22"/>
              </w:rPr>
            </w:pPr>
            <w:r w:rsidRPr="00630129">
              <w:rPr>
                <w:sz w:val="22"/>
                <w:szCs w:val="22"/>
              </w:rPr>
              <w:t>In respect of a Settlement Period:</w:t>
            </w:r>
          </w:p>
          <w:p w14:paraId="227D129A" w14:textId="77777777" w:rsidR="006A10DE" w:rsidRPr="00630129" w:rsidRDefault="006A10DE" w:rsidP="00F60AD8">
            <w:pPr>
              <w:tabs>
                <w:tab w:val="left" w:pos="736"/>
              </w:tabs>
              <w:spacing w:after="120"/>
              <w:ind w:left="567" w:hanging="567"/>
              <w:rPr>
                <w:sz w:val="22"/>
                <w:szCs w:val="22"/>
              </w:rPr>
            </w:pPr>
            <w:r w:rsidRPr="00630129">
              <w:rPr>
                <w:sz w:val="22"/>
                <w:szCs w:val="22"/>
              </w:rPr>
              <w:t>(</w:t>
            </w:r>
            <w:proofErr w:type="spellStart"/>
            <w:r w:rsidRPr="00630129">
              <w:rPr>
                <w:sz w:val="22"/>
                <w:szCs w:val="22"/>
              </w:rPr>
              <w:t>i</w:t>
            </w:r>
            <w:proofErr w:type="spellEnd"/>
            <w:r w:rsidRPr="00630129">
              <w:rPr>
                <w:sz w:val="22"/>
                <w:szCs w:val="22"/>
              </w:rPr>
              <w:t>)</w:t>
            </w:r>
            <w:r w:rsidRPr="00630129">
              <w:rPr>
                <w:sz w:val="22"/>
                <w:szCs w:val="22"/>
              </w:rPr>
              <w:tab/>
              <w:t>in relation to a BM Unit (other than an Interconnector BM Unit) comprising CVA Metering Systems, the Metered Volume (as determined in accordance with Section R);</w:t>
            </w:r>
          </w:p>
          <w:p w14:paraId="333F7324" w14:textId="77777777" w:rsidR="006A10DE" w:rsidRPr="00630129" w:rsidRDefault="006A10DE" w:rsidP="00F60AD8">
            <w:pPr>
              <w:tabs>
                <w:tab w:val="left" w:pos="736"/>
              </w:tabs>
              <w:spacing w:after="120"/>
              <w:ind w:left="567" w:hanging="567"/>
              <w:rPr>
                <w:sz w:val="22"/>
                <w:szCs w:val="22"/>
              </w:rPr>
            </w:pPr>
            <w:r w:rsidRPr="00630129">
              <w:rPr>
                <w:sz w:val="22"/>
                <w:szCs w:val="22"/>
              </w:rPr>
              <w:t>(ii)</w:t>
            </w:r>
            <w:r w:rsidRPr="00630129">
              <w:rPr>
                <w:sz w:val="22"/>
                <w:szCs w:val="22"/>
              </w:rPr>
              <w:tab/>
              <w:t>in relation to an Interconnector BM Unit of an Interconnector User, the quantity determined in accordance with Section R7.4.2 (but without prejudice to Section T1.4.6);</w:t>
            </w:r>
          </w:p>
          <w:p w14:paraId="2430F3B6" w14:textId="77777777" w:rsidR="006A10DE" w:rsidRPr="00630129" w:rsidRDefault="006A10DE" w:rsidP="00F60AD8">
            <w:pPr>
              <w:tabs>
                <w:tab w:val="left" w:pos="736"/>
              </w:tabs>
              <w:spacing w:after="120"/>
              <w:ind w:left="567" w:hanging="567"/>
              <w:rPr>
                <w:sz w:val="22"/>
                <w:szCs w:val="22"/>
              </w:rPr>
            </w:pPr>
            <w:r w:rsidRPr="00630129">
              <w:rPr>
                <w:sz w:val="22"/>
                <w:szCs w:val="22"/>
              </w:rPr>
              <w:t>(iii)</w:t>
            </w:r>
            <w:r w:rsidRPr="00630129">
              <w:rPr>
                <w:sz w:val="22"/>
                <w:szCs w:val="22"/>
              </w:rPr>
              <w:tab/>
              <w:t>in relation to an Interconnector BM Unit allocated to an Interconnector Error Administrator, the quantity determined in accordance with Section T4.1;</w:t>
            </w:r>
          </w:p>
          <w:p w14:paraId="05025979" w14:textId="77777777" w:rsidR="006A10DE" w:rsidRPr="006A038E" w:rsidRDefault="006A10DE" w:rsidP="00FC0D03">
            <w:pPr>
              <w:tabs>
                <w:tab w:val="left" w:pos="736"/>
              </w:tabs>
              <w:spacing w:after="120"/>
              <w:ind w:left="567" w:hanging="567"/>
              <w:rPr>
                <w:sz w:val="22"/>
                <w:szCs w:val="22"/>
              </w:rPr>
            </w:pPr>
            <w:r w:rsidRPr="00630129">
              <w:rPr>
                <w:sz w:val="22"/>
                <w:szCs w:val="22"/>
              </w:rPr>
              <w:t>(iv)</w:t>
            </w:r>
            <w:r w:rsidRPr="00630129">
              <w:rPr>
                <w:sz w:val="22"/>
                <w:szCs w:val="22"/>
              </w:rPr>
              <w:tab/>
              <w:t>in relation to a Supplier BM Unit, the quantity determined in accordance with Section T4.2.1</w:t>
            </w:r>
            <w:r w:rsidR="00363FD2" w:rsidRPr="006A038E">
              <w:rPr>
                <w:sz w:val="22"/>
                <w:szCs w:val="22"/>
              </w:rPr>
              <w:t xml:space="preserve"> and</w:t>
            </w:r>
          </w:p>
          <w:p w14:paraId="462F2DF4" w14:textId="77777777" w:rsidR="00363FD2" w:rsidRPr="00630129" w:rsidRDefault="00363FD2" w:rsidP="003945C1">
            <w:pPr>
              <w:tabs>
                <w:tab w:val="left" w:pos="736"/>
              </w:tabs>
              <w:ind w:left="567" w:hanging="567"/>
              <w:rPr>
                <w:sz w:val="22"/>
                <w:szCs w:val="22"/>
              </w:rPr>
            </w:pPr>
            <w:r w:rsidRPr="00FC0D03">
              <w:rPr>
                <w:sz w:val="22"/>
                <w:szCs w:val="22"/>
              </w:rPr>
              <w:t>(v)</w:t>
            </w:r>
            <w:r w:rsidRPr="00FC0D03">
              <w:rPr>
                <w:sz w:val="22"/>
                <w:szCs w:val="22"/>
              </w:rPr>
              <w:tab/>
              <w:t>in relation to a Secondary BM Unit, the quantity determined in accordance with Section T4.2A.1.</w:t>
            </w:r>
          </w:p>
        </w:tc>
      </w:tr>
      <w:tr w:rsidR="00342C07" w:rsidRPr="00630129" w14:paraId="7162A458" w14:textId="77777777" w:rsidTr="00A63BA8">
        <w:trPr>
          <w:cantSplit/>
        </w:trPr>
        <w:tc>
          <w:tcPr>
            <w:tcW w:w="994" w:type="pct"/>
            <w:tcMar>
              <w:top w:w="85" w:type="dxa"/>
              <w:left w:w="85" w:type="dxa"/>
              <w:bottom w:w="85" w:type="dxa"/>
              <w:right w:w="85" w:type="dxa"/>
            </w:tcMar>
          </w:tcPr>
          <w:p w14:paraId="55EF41E3" w14:textId="77777777" w:rsidR="00342C07" w:rsidRPr="00342C07" w:rsidRDefault="00342C07" w:rsidP="00F60AD8">
            <w:pPr>
              <w:rPr>
                <w:sz w:val="22"/>
                <w:szCs w:val="22"/>
              </w:rPr>
            </w:pPr>
            <w:r w:rsidRPr="00FC0D03">
              <w:rPr>
                <w:sz w:val="22"/>
                <w:szCs w:val="22"/>
              </w:rPr>
              <w:t>BM Unit MSID Pair Data</w:t>
            </w:r>
          </w:p>
        </w:tc>
        <w:tc>
          <w:tcPr>
            <w:tcW w:w="974" w:type="pct"/>
            <w:tcMar>
              <w:top w:w="85" w:type="dxa"/>
              <w:left w:w="85" w:type="dxa"/>
              <w:bottom w:w="85" w:type="dxa"/>
              <w:right w:w="85" w:type="dxa"/>
            </w:tcMar>
          </w:tcPr>
          <w:p w14:paraId="56BF814C" w14:textId="77777777" w:rsidR="00342C07" w:rsidRPr="00342C07" w:rsidRDefault="00342C07" w:rsidP="00F60AD8">
            <w:pPr>
              <w:rPr>
                <w:sz w:val="22"/>
                <w:szCs w:val="22"/>
              </w:rPr>
            </w:pPr>
          </w:p>
        </w:tc>
        <w:tc>
          <w:tcPr>
            <w:tcW w:w="492" w:type="pct"/>
            <w:tcMar>
              <w:top w:w="85" w:type="dxa"/>
              <w:left w:w="85" w:type="dxa"/>
              <w:bottom w:w="85" w:type="dxa"/>
              <w:right w:w="85" w:type="dxa"/>
            </w:tcMar>
          </w:tcPr>
          <w:p w14:paraId="0BD026AA" w14:textId="77777777" w:rsidR="00342C07" w:rsidRPr="00342C07" w:rsidRDefault="00342C07" w:rsidP="00F60AD8">
            <w:pPr>
              <w:rPr>
                <w:sz w:val="22"/>
                <w:szCs w:val="22"/>
              </w:rPr>
            </w:pPr>
          </w:p>
        </w:tc>
        <w:tc>
          <w:tcPr>
            <w:tcW w:w="2540" w:type="pct"/>
            <w:tcMar>
              <w:top w:w="85" w:type="dxa"/>
              <w:left w:w="85" w:type="dxa"/>
              <w:bottom w:w="85" w:type="dxa"/>
              <w:right w:w="85" w:type="dxa"/>
            </w:tcMar>
          </w:tcPr>
          <w:p w14:paraId="4B680A5E" w14:textId="77777777" w:rsidR="00342C07" w:rsidRPr="00342C07" w:rsidRDefault="00342C07" w:rsidP="00FC0D03">
            <w:pPr>
              <w:rPr>
                <w:sz w:val="22"/>
                <w:szCs w:val="22"/>
              </w:rPr>
            </w:pPr>
            <w:r w:rsidRPr="00FC0D03">
              <w:rPr>
                <w:sz w:val="22"/>
                <w:szCs w:val="22"/>
              </w:rPr>
              <w:t>Has the meaning given to that term in Section S paragraph 10.1.3.</w:t>
            </w:r>
          </w:p>
        </w:tc>
      </w:tr>
      <w:tr w:rsidR="00342C07" w:rsidRPr="00630129" w14:paraId="1E4AE75E" w14:textId="77777777" w:rsidTr="00A63BA8">
        <w:trPr>
          <w:cantSplit/>
        </w:trPr>
        <w:tc>
          <w:tcPr>
            <w:tcW w:w="994" w:type="pct"/>
            <w:tcMar>
              <w:top w:w="85" w:type="dxa"/>
              <w:left w:w="85" w:type="dxa"/>
              <w:bottom w:w="85" w:type="dxa"/>
              <w:right w:w="85" w:type="dxa"/>
            </w:tcMar>
          </w:tcPr>
          <w:p w14:paraId="7047A8E5" w14:textId="77777777" w:rsidR="00342C07" w:rsidRPr="00630129" w:rsidRDefault="00342C07" w:rsidP="00F60AD8">
            <w:pPr>
              <w:rPr>
                <w:sz w:val="22"/>
                <w:szCs w:val="22"/>
              </w:rPr>
            </w:pPr>
            <w:r w:rsidRPr="00630129">
              <w:rPr>
                <w:sz w:val="22"/>
                <w:szCs w:val="22"/>
              </w:rPr>
              <w:t xml:space="preserve">BM Unit Period Non-Delivery Charge </w:t>
            </w:r>
          </w:p>
        </w:tc>
        <w:tc>
          <w:tcPr>
            <w:tcW w:w="974" w:type="pct"/>
            <w:tcMar>
              <w:top w:w="85" w:type="dxa"/>
              <w:left w:w="85" w:type="dxa"/>
              <w:bottom w:w="85" w:type="dxa"/>
              <w:right w:w="85" w:type="dxa"/>
            </w:tcMar>
          </w:tcPr>
          <w:p w14:paraId="08274CCF" w14:textId="77777777" w:rsidR="00342C07" w:rsidRPr="00630129" w:rsidRDefault="00342C07" w:rsidP="00F60AD8">
            <w:pPr>
              <w:rPr>
                <w:sz w:val="22"/>
                <w:szCs w:val="22"/>
              </w:rPr>
            </w:pPr>
            <w:proofErr w:type="spellStart"/>
            <w:r w:rsidRPr="00630129">
              <w:rPr>
                <w:sz w:val="22"/>
                <w:szCs w:val="22"/>
              </w:rPr>
              <w:t>CND</w:t>
            </w:r>
            <w:r w:rsidRPr="00630129">
              <w:rPr>
                <w:sz w:val="22"/>
                <w:szCs w:val="22"/>
                <w:vertAlign w:val="subscript"/>
              </w:rPr>
              <w:t>ij</w:t>
            </w:r>
            <w:proofErr w:type="spellEnd"/>
          </w:p>
        </w:tc>
        <w:tc>
          <w:tcPr>
            <w:tcW w:w="492" w:type="pct"/>
            <w:tcMar>
              <w:top w:w="85" w:type="dxa"/>
              <w:left w:w="85" w:type="dxa"/>
              <w:bottom w:w="85" w:type="dxa"/>
              <w:right w:w="85" w:type="dxa"/>
            </w:tcMar>
          </w:tcPr>
          <w:p w14:paraId="66BA5F2A"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16E1B06B" w14:textId="77777777" w:rsidR="00342C07" w:rsidRPr="00630129" w:rsidRDefault="00342C07" w:rsidP="00F60AD8">
            <w:pPr>
              <w:spacing w:after="120"/>
              <w:rPr>
                <w:sz w:val="22"/>
                <w:szCs w:val="22"/>
              </w:rPr>
            </w:pPr>
            <w:r w:rsidRPr="00630129">
              <w:rPr>
                <w:sz w:val="22"/>
                <w:szCs w:val="22"/>
              </w:rPr>
              <w:t>The amount determined in accordance with Section T4.8.13.</w:t>
            </w:r>
          </w:p>
          <w:p w14:paraId="6B39AA65" w14:textId="77777777" w:rsidR="00342C07" w:rsidRPr="00630129" w:rsidRDefault="00342C07" w:rsidP="00F60AD8">
            <w:pPr>
              <w:rPr>
                <w:i/>
                <w:sz w:val="22"/>
                <w:szCs w:val="22"/>
              </w:rPr>
            </w:pPr>
            <w:r w:rsidRPr="00630129">
              <w:rPr>
                <w:i/>
                <w:sz w:val="22"/>
                <w:szCs w:val="22"/>
              </w:rPr>
              <w:t xml:space="preserve">The BM Unit Period Non-Delivery Charge is the total non-delivery charge associated with the non-deliver of Bids or Offers for BM Unit </w:t>
            </w:r>
            <w:proofErr w:type="spellStart"/>
            <w:r w:rsidRPr="00630129">
              <w:rPr>
                <w:i/>
                <w:sz w:val="22"/>
                <w:szCs w:val="22"/>
              </w:rPr>
              <w:t>i</w:t>
            </w:r>
            <w:proofErr w:type="spellEnd"/>
            <w:r w:rsidRPr="00630129">
              <w:rPr>
                <w:i/>
                <w:sz w:val="22"/>
                <w:szCs w:val="22"/>
              </w:rPr>
              <w:t xml:space="preserve"> in Settlement Period j.</w:t>
            </w:r>
          </w:p>
        </w:tc>
      </w:tr>
      <w:tr w:rsidR="00342C07" w:rsidRPr="00630129" w14:paraId="769EA8EB" w14:textId="77777777" w:rsidTr="00A63BA8">
        <w:trPr>
          <w:cantSplit/>
        </w:trPr>
        <w:tc>
          <w:tcPr>
            <w:tcW w:w="994" w:type="pct"/>
            <w:tcMar>
              <w:top w:w="85" w:type="dxa"/>
              <w:left w:w="85" w:type="dxa"/>
              <w:bottom w:w="85" w:type="dxa"/>
              <w:right w:w="85" w:type="dxa"/>
            </w:tcMar>
          </w:tcPr>
          <w:p w14:paraId="3A9AD299" w14:textId="77777777" w:rsidR="00342C07" w:rsidRPr="00630129" w:rsidRDefault="00342C07" w:rsidP="00F60AD8">
            <w:pPr>
              <w:rPr>
                <w:sz w:val="22"/>
                <w:szCs w:val="22"/>
              </w:rPr>
            </w:pPr>
            <w:r w:rsidRPr="00630129">
              <w:rPr>
                <w:sz w:val="22"/>
                <w:szCs w:val="22"/>
              </w:rPr>
              <w:lastRenderedPageBreak/>
              <w:t xml:space="preserve">Buy Price </w:t>
            </w:r>
            <w:proofErr w:type="spellStart"/>
            <w:r w:rsidRPr="00630129">
              <w:rPr>
                <w:sz w:val="22"/>
                <w:szCs w:val="22"/>
              </w:rPr>
              <w:t>Price</w:t>
            </w:r>
            <w:proofErr w:type="spellEnd"/>
            <w:r w:rsidRPr="00630129">
              <w:rPr>
                <w:sz w:val="22"/>
                <w:szCs w:val="22"/>
              </w:rPr>
              <w:t xml:space="preserve"> Adjustment</w:t>
            </w:r>
          </w:p>
        </w:tc>
        <w:tc>
          <w:tcPr>
            <w:tcW w:w="974" w:type="pct"/>
            <w:tcMar>
              <w:top w:w="85" w:type="dxa"/>
              <w:left w:w="85" w:type="dxa"/>
              <w:bottom w:w="85" w:type="dxa"/>
              <w:right w:w="85" w:type="dxa"/>
            </w:tcMar>
          </w:tcPr>
          <w:p w14:paraId="608DFC11" w14:textId="77777777" w:rsidR="00342C07" w:rsidRPr="00630129" w:rsidRDefault="00342C07" w:rsidP="00F60AD8">
            <w:pPr>
              <w:rPr>
                <w:sz w:val="22"/>
                <w:szCs w:val="22"/>
              </w:rPr>
            </w:pPr>
            <w:proofErr w:type="spellStart"/>
            <w:r w:rsidRPr="00630129">
              <w:rPr>
                <w:sz w:val="22"/>
                <w:szCs w:val="22"/>
              </w:rPr>
              <w:t>BPAj</w:t>
            </w:r>
            <w:proofErr w:type="spellEnd"/>
          </w:p>
        </w:tc>
        <w:tc>
          <w:tcPr>
            <w:tcW w:w="492" w:type="pct"/>
            <w:tcMar>
              <w:top w:w="85" w:type="dxa"/>
              <w:left w:w="85" w:type="dxa"/>
              <w:bottom w:w="85" w:type="dxa"/>
              <w:right w:w="85" w:type="dxa"/>
            </w:tcMar>
          </w:tcPr>
          <w:p w14:paraId="420BF2C4"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5F6D13D5" w14:textId="77777777" w:rsidR="00342C07" w:rsidRPr="00630129" w:rsidRDefault="00342C07" w:rsidP="00F60AD8">
            <w:pPr>
              <w:rPr>
                <w:sz w:val="22"/>
                <w:szCs w:val="22"/>
              </w:rPr>
            </w:pPr>
            <w:r w:rsidRPr="00630129">
              <w:rPr>
                <w:sz w:val="22"/>
                <w:szCs w:val="22"/>
              </w:rPr>
              <w:t xml:space="preserve">The amount sent by the NETSO as the ‘Buy Price </w:t>
            </w:r>
            <w:proofErr w:type="spellStart"/>
            <w:r w:rsidRPr="00630129">
              <w:rPr>
                <w:sz w:val="22"/>
                <w:szCs w:val="22"/>
              </w:rPr>
              <w:t>Price</w:t>
            </w:r>
            <w:proofErr w:type="spellEnd"/>
            <w:r w:rsidRPr="00630129">
              <w:rPr>
                <w:sz w:val="22"/>
                <w:szCs w:val="22"/>
              </w:rPr>
              <w:t xml:space="preserve"> Adjustment’ in accordance with Section Q6.3.</w:t>
            </w:r>
          </w:p>
        </w:tc>
      </w:tr>
      <w:tr w:rsidR="00342C07" w:rsidRPr="00630129" w14:paraId="0FCFA560" w14:textId="77777777" w:rsidTr="00A63BA8">
        <w:trPr>
          <w:cantSplit/>
        </w:trPr>
        <w:tc>
          <w:tcPr>
            <w:tcW w:w="994" w:type="pct"/>
            <w:tcMar>
              <w:top w:w="85" w:type="dxa"/>
              <w:left w:w="85" w:type="dxa"/>
              <w:bottom w:w="85" w:type="dxa"/>
              <w:right w:w="85" w:type="dxa"/>
            </w:tcMar>
          </w:tcPr>
          <w:p w14:paraId="3FC337B5" w14:textId="77777777" w:rsidR="00342C07" w:rsidRPr="00630129" w:rsidRDefault="00342C07" w:rsidP="00F60AD8">
            <w:pPr>
              <w:rPr>
                <w:sz w:val="22"/>
                <w:szCs w:val="22"/>
              </w:rPr>
            </w:pPr>
            <w:r w:rsidRPr="00630129">
              <w:rPr>
                <w:sz w:val="22"/>
                <w:szCs w:val="22"/>
              </w:rPr>
              <w:t>CADL Flagged</w:t>
            </w:r>
          </w:p>
        </w:tc>
        <w:tc>
          <w:tcPr>
            <w:tcW w:w="974" w:type="pct"/>
            <w:tcMar>
              <w:top w:w="85" w:type="dxa"/>
              <w:left w:w="85" w:type="dxa"/>
              <w:bottom w:w="85" w:type="dxa"/>
              <w:right w:w="85" w:type="dxa"/>
            </w:tcMar>
          </w:tcPr>
          <w:p w14:paraId="3F3CE9CE"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1EE24F84"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6B113FF6" w14:textId="77777777" w:rsidR="00342C07" w:rsidRPr="00630129" w:rsidRDefault="00342C07" w:rsidP="00F60AD8">
            <w:pPr>
              <w:rPr>
                <w:sz w:val="22"/>
                <w:szCs w:val="22"/>
              </w:rPr>
            </w:pPr>
            <w:r w:rsidRPr="00630129">
              <w:rPr>
                <w:sz w:val="22"/>
                <w:szCs w:val="22"/>
              </w:rPr>
              <w:t>CADL Flagged as provided in paragraph 3 of Part 1 of Annex T-1.</w:t>
            </w:r>
          </w:p>
        </w:tc>
      </w:tr>
      <w:tr w:rsidR="00342C07" w:rsidRPr="00630129" w14:paraId="5E579521" w14:textId="77777777" w:rsidTr="00A63BA8">
        <w:trPr>
          <w:cantSplit/>
        </w:trPr>
        <w:tc>
          <w:tcPr>
            <w:tcW w:w="994" w:type="pct"/>
            <w:tcMar>
              <w:top w:w="85" w:type="dxa"/>
              <w:left w:w="85" w:type="dxa"/>
              <w:bottom w:w="85" w:type="dxa"/>
              <w:right w:w="85" w:type="dxa"/>
            </w:tcMar>
          </w:tcPr>
          <w:p w14:paraId="2C0801A8" w14:textId="77777777" w:rsidR="00342C07" w:rsidRPr="00630129" w:rsidRDefault="00342C07" w:rsidP="00F60AD8">
            <w:pPr>
              <w:rPr>
                <w:sz w:val="22"/>
                <w:szCs w:val="22"/>
              </w:rPr>
            </w:pPr>
            <w:r w:rsidRPr="00630129">
              <w:rPr>
                <w:sz w:val="22"/>
                <w:szCs w:val="22"/>
              </w:rPr>
              <w:t>Classified Ranked Set</w:t>
            </w:r>
          </w:p>
        </w:tc>
        <w:tc>
          <w:tcPr>
            <w:tcW w:w="974" w:type="pct"/>
            <w:tcMar>
              <w:top w:w="85" w:type="dxa"/>
              <w:left w:w="85" w:type="dxa"/>
              <w:bottom w:w="85" w:type="dxa"/>
              <w:right w:w="85" w:type="dxa"/>
            </w:tcMar>
          </w:tcPr>
          <w:p w14:paraId="4A346332"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56CE54D9"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4499E0F3" w14:textId="77777777" w:rsidR="00342C07" w:rsidRPr="00630129" w:rsidRDefault="00342C07" w:rsidP="00F60AD8">
            <w:pPr>
              <w:rPr>
                <w:sz w:val="22"/>
                <w:szCs w:val="22"/>
              </w:rPr>
            </w:pPr>
            <w:r w:rsidRPr="00630129">
              <w:rPr>
                <w:sz w:val="22"/>
                <w:szCs w:val="22"/>
              </w:rPr>
              <w:t>One of the Classified Ranked Sets as provided in paragraph 8 of Part 1 of Annex T-1.</w:t>
            </w:r>
          </w:p>
        </w:tc>
      </w:tr>
      <w:tr w:rsidR="00342C07" w:rsidRPr="00630129" w14:paraId="2B84A77E" w14:textId="77777777" w:rsidTr="00A63BA8">
        <w:trPr>
          <w:cantSplit/>
        </w:trPr>
        <w:tc>
          <w:tcPr>
            <w:tcW w:w="994" w:type="pct"/>
            <w:tcMar>
              <w:top w:w="85" w:type="dxa"/>
              <w:left w:w="85" w:type="dxa"/>
              <w:bottom w:w="85" w:type="dxa"/>
              <w:right w:w="85" w:type="dxa"/>
            </w:tcMar>
          </w:tcPr>
          <w:p w14:paraId="6100FE6F" w14:textId="77777777" w:rsidR="00342C07" w:rsidRPr="00630129" w:rsidRDefault="00342C07" w:rsidP="00F60AD8">
            <w:pPr>
              <w:rPr>
                <w:sz w:val="22"/>
                <w:szCs w:val="22"/>
              </w:rPr>
            </w:pPr>
            <w:r w:rsidRPr="00630129">
              <w:rPr>
                <w:sz w:val="22"/>
                <w:szCs w:val="22"/>
              </w:rPr>
              <w:t xml:space="preserve">Continuous Acceptance Duration </w:t>
            </w:r>
          </w:p>
        </w:tc>
        <w:tc>
          <w:tcPr>
            <w:tcW w:w="974" w:type="pct"/>
            <w:tcMar>
              <w:top w:w="85" w:type="dxa"/>
              <w:left w:w="85" w:type="dxa"/>
              <w:bottom w:w="85" w:type="dxa"/>
              <w:right w:w="85" w:type="dxa"/>
            </w:tcMar>
          </w:tcPr>
          <w:p w14:paraId="7E2DD44B" w14:textId="77777777" w:rsidR="00342C07" w:rsidRPr="00630129" w:rsidRDefault="00342C07" w:rsidP="00F60AD8">
            <w:pPr>
              <w:rPr>
                <w:sz w:val="22"/>
                <w:szCs w:val="22"/>
              </w:rPr>
            </w:pPr>
            <w:proofErr w:type="spellStart"/>
            <w:r w:rsidRPr="00630129">
              <w:rPr>
                <w:sz w:val="22"/>
                <w:szCs w:val="22"/>
              </w:rPr>
              <w:t>CAD</w:t>
            </w:r>
            <w:r w:rsidRPr="00630129">
              <w:rPr>
                <w:sz w:val="22"/>
                <w:szCs w:val="22"/>
                <w:vertAlign w:val="superscript"/>
              </w:rPr>
              <w:t>k</w:t>
            </w:r>
            <w:r w:rsidRPr="00630129">
              <w:rPr>
                <w:sz w:val="22"/>
                <w:szCs w:val="22"/>
                <w:vertAlign w:val="subscript"/>
              </w:rPr>
              <w:t>i</w:t>
            </w:r>
            <w:proofErr w:type="spellEnd"/>
          </w:p>
        </w:tc>
        <w:tc>
          <w:tcPr>
            <w:tcW w:w="492" w:type="pct"/>
            <w:tcMar>
              <w:top w:w="85" w:type="dxa"/>
              <w:left w:w="85" w:type="dxa"/>
              <w:bottom w:w="85" w:type="dxa"/>
              <w:right w:w="85" w:type="dxa"/>
            </w:tcMar>
          </w:tcPr>
          <w:p w14:paraId="3F3637A2" w14:textId="77777777" w:rsidR="00342C07" w:rsidRPr="00630129" w:rsidRDefault="00342C07" w:rsidP="00F60AD8">
            <w:pPr>
              <w:rPr>
                <w:sz w:val="22"/>
                <w:szCs w:val="22"/>
              </w:rPr>
            </w:pPr>
            <w:r w:rsidRPr="00630129">
              <w:rPr>
                <w:sz w:val="22"/>
                <w:szCs w:val="22"/>
              </w:rPr>
              <w:t>Minutes</w:t>
            </w:r>
          </w:p>
        </w:tc>
        <w:tc>
          <w:tcPr>
            <w:tcW w:w="2540" w:type="pct"/>
            <w:tcMar>
              <w:top w:w="85" w:type="dxa"/>
              <w:left w:w="85" w:type="dxa"/>
              <w:bottom w:w="85" w:type="dxa"/>
              <w:right w:w="85" w:type="dxa"/>
            </w:tcMar>
          </w:tcPr>
          <w:p w14:paraId="1E011B65" w14:textId="77777777" w:rsidR="00342C07" w:rsidRPr="00630129" w:rsidRDefault="00342C07" w:rsidP="00F60AD8">
            <w:pPr>
              <w:rPr>
                <w:i/>
                <w:sz w:val="22"/>
                <w:szCs w:val="22"/>
              </w:rPr>
            </w:pPr>
            <w:r w:rsidRPr="00630129">
              <w:rPr>
                <w:sz w:val="22"/>
                <w:szCs w:val="22"/>
              </w:rPr>
              <w:t>Has the meaning given to that term in paragraph 12.3 of Annex T-1.</w:t>
            </w:r>
          </w:p>
        </w:tc>
      </w:tr>
      <w:tr w:rsidR="00342C07" w:rsidRPr="00630129" w14:paraId="03108BEB" w14:textId="77777777" w:rsidTr="00A63BA8">
        <w:trPr>
          <w:cantSplit/>
        </w:trPr>
        <w:tc>
          <w:tcPr>
            <w:tcW w:w="994" w:type="pct"/>
            <w:tcMar>
              <w:top w:w="85" w:type="dxa"/>
              <w:left w:w="85" w:type="dxa"/>
              <w:bottom w:w="85" w:type="dxa"/>
              <w:right w:w="85" w:type="dxa"/>
            </w:tcMar>
          </w:tcPr>
          <w:p w14:paraId="1B1A5049" w14:textId="77777777" w:rsidR="00342C07" w:rsidRPr="00630129" w:rsidRDefault="00342C07" w:rsidP="00F60AD8">
            <w:pPr>
              <w:rPr>
                <w:sz w:val="22"/>
                <w:szCs w:val="22"/>
              </w:rPr>
            </w:pPr>
            <w:r w:rsidRPr="00630129">
              <w:rPr>
                <w:sz w:val="22"/>
                <w:szCs w:val="22"/>
              </w:rPr>
              <w:t>Continuous Acceptance Duration Limit</w:t>
            </w:r>
          </w:p>
        </w:tc>
        <w:tc>
          <w:tcPr>
            <w:tcW w:w="974" w:type="pct"/>
            <w:tcMar>
              <w:top w:w="85" w:type="dxa"/>
              <w:left w:w="85" w:type="dxa"/>
              <w:bottom w:w="85" w:type="dxa"/>
              <w:right w:w="85" w:type="dxa"/>
            </w:tcMar>
          </w:tcPr>
          <w:p w14:paraId="5B86CD3F" w14:textId="77777777" w:rsidR="00342C07" w:rsidRPr="00630129" w:rsidRDefault="00342C07" w:rsidP="00F60AD8">
            <w:pPr>
              <w:rPr>
                <w:sz w:val="22"/>
                <w:szCs w:val="22"/>
              </w:rPr>
            </w:pPr>
            <w:r w:rsidRPr="00630129">
              <w:rPr>
                <w:sz w:val="22"/>
                <w:szCs w:val="22"/>
              </w:rPr>
              <w:t>CADL</w:t>
            </w:r>
          </w:p>
        </w:tc>
        <w:tc>
          <w:tcPr>
            <w:tcW w:w="492" w:type="pct"/>
            <w:tcMar>
              <w:top w:w="85" w:type="dxa"/>
              <w:left w:w="85" w:type="dxa"/>
              <w:bottom w:w="85" w:type="dxa"/>
              <w:right w:w="85" w:type="dxa"/>
            </w:tcMar>
          </w:tcPr>
          <w:p w14:paraId="5D7CC3B9" w14:textId="77777777" w:rsidR="00342C07" w:rsidRPr="00630129" w:rsidRDefault="00342C07" w:rsidP="00F60AD8">
            <w:pPr>
              <w:rPr>
                <w:sz w:val="22"/>
                <w:szCs w:val="22"/>
              </w:rPr>
            </w:pPr>
            <w:r w:rsidRPr="00630129">
              <w:rPr>
                <w:sz w:val="22"/>
                <w:szCs w:val="22"/>
              </w:rPr>
              <w:t>Minutes</w:t>
            </w:r>
          </w:p>
        </w:tc>
        <w:tc>
          <w:tcPr>
            <w:tcW w:w="2540" w:type="pct"/>
            <w:tcMar>
              <w:top w:w="85" w:type="dxa"/>
              <w:left w:w="85" w:type="dxa"/>
              <w:bottom w:w="85" w:type="dxa"/>
              <w:right w:w="85" w:type="dxa"/>
            </w:tcMar>
          </w:tcPr>
          <w:p w14:paraId="166D883F" w14:textId="77777777" w:rsidR="00342C07" w:rsidRPr="00630129" w:rsidRDefault="00342C07" w:rsidP="00F60AD8">
            <w:pPr>
              <w:rPr>
                <w:sz w:val="22"/>
                <w:szCs w:val="22"/>
              </w:rPr>
            </w:pPr>
            <w:r w:rsidRPr="00630129">
              <w:rPr>
                <w:sz w:val="22"/>
                <w:szCs w:val="22"/>
              </w:rPr>
              <w:t>The value established and from time to time revised and approved in accordance with Section T1.9.</w:t>
            </w:r>
          </w:p>
        </w:tc>
      </w:tr>
      <w:tr w:rsidR="00342C07" w:rsidRPr="00630129" w14:paraId="6B039E18" w14:textId="77777777" w:rsidTr="00A63BA8">
        <w:trPr>
          <w:cantSplit/>
        </w:trPr>
        <w:tc>
          <w:tcPr>
            <w:tcW w:w="994" w:type="pct"/>
            <w:tcMar>
              <w:top w:w="85" w:type="dxa"/>
              <w:left w:w="85" w:type="dxa"/>
              <w:bottom w:w="85" w:type="dxa"/>
              <w:right w:w="85" w:type="dxa"/>
            </w:tcMar>
          </w:tcPr>
          <w:p w14:paraId="2CD45E3C" w14:textId="77777777" w:rsidR="00342C07" w:rsidRPr="00630129" w:rsidRDefault="00342C07" w:rsidP="00F60AD8">
            <w:pPr>
              <w:rPr>
                <w:sz w:val="22"/>
                <w:szCs w:val="22"/>
              </w:rPr>
            </w:pPr>
            <w:r w:rsidRPr="00630129">
              <w:rPr>
                <w:sz w:val="22"/>
                <w:szCs w:val="22"/>
              </w:rPr>
              <w:t>Corrected Component</w:t>
            </w:r>
          </w:p>
        </w:tc>
        <w:tc>
          <w:tcPr>
            <w:tcW w:w="974" w:type="pct"/>
            <w:tcMar>
              <w:top w:w="85" w:type="dxa"/>
              <w:left w:w="85" w:type="dxa"/>
              <w:bottom w:w="85" w:type="dxa"/>
              <w:right w:w="85" w:type="dxa"/>
            </w:tcMar>
          </w:tcPr>
          <w:p w14:paraId="6A2FEF8D" w14:textId="77777777" w:rsidR="00342C07" w:rsidRPr="00630129" w:rsidRDefault="00342C07" w:rsidP="00F60AD8">
            <w:pPr>
              <w:rPr>
                <w:sz w:val="22"/>
                <w:szCs w:val="22"/>
              </w:rPr>
            </w:pPr>
            <w:proofErr w:type="spellStart"/>
            <w:r w:rsidRPr="00630129">
              <w:rPr>
                <w:sz w:val="22"/>
                <w:szCs w:val="22"/>
              </w:rPr>
              <w:t>CORC</w:t>
            </w:r>
            <w:r w:rsidRPr="00630129">
              <w:rPr>
                <w:sz w:val="22"/>
                <w:szCs w:val="22"/>
                <w:vertAlign w:val="subscript"/>
              </w:rPr>
              <w:t>iNj</w:t>
            </w:r>
            <w:proofErr w:type="spellEnd"/>
          </w:p>
        </w:tc>
        <w:tc>
          <w:tcPr>
            <w:tcW w:w="492" w:type="pct"/>
            <w:tcMar>
              <w:top w:w="85" w:type="dxa"/>
              <w:left w:w="85" w:type="dxa"/>
              <w:bottom w:w="85" w:type="dxa"/>
              <w:right w:w="85" w:type="dxa"/>
            </w:tcMar>
          </w:tcPr>
          <w:p w14:paraId="4C05D734"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171DBDB6" w14:textId="77777777" w:rsidR="00342C07" w:rsidRPr="00630129" w:rsidRDefault="00342C07" w:rsidP="00F60AD8">
            <w:pPr>
              <w:rPr>
                <w:sz w:val="22"/>
                <w:szCs w:val="22"/>
              </w:rPr>
            </w:pPr>
            <w:r w:rsidRPr="00630129">
              <w:rPr>
                <w:sz w:val="22"/>
                <w:szCs w:val="22"/>
              </w:rPr>
              <w:t>The quantity submitted in accordance with paragraph 9.3.3 of Annex S-2.</w:t>
            </w:r>
          </w:p>
        </w:tc>
      </w:tr>
      <w:tr w:rsidR="00EC2611" w:rsidRPr="00630129" w14:paraId="4517CD7C" w14:textId="77777777" w:rsidTr="00A63BA8">
        <w:trPr>
          <w:cantSplit/>
        </w:trPr>
        <w:tc>
          <w:tcPr>
            <w:tcW w:w="994" w:type="pct"/>
            <w:tcMar>
              <w:top w:w="85" w:type="dxa"/>
              <w:left w:w="85" w:type="dxa"/>
              <w:bottom w:w="85" w:type="dxa"/>
              <w:right w:w="85" w:type="dxa"/>
            </w:tcMar>
          </w:tcPr>
          <w:p w14:paraId="04D4FAA7" w14:textId="77777777" w:rsidR="00EC2611" w:rsidRPr="00EC2611" w:rsidRDefault="00EC2611" w:rsidP="00F60AD8">
            <w:pPr>
              <w:rPr>
                <w:sz w:val="22"/>
                <w:szCs w:val="22"/>
              </w:rPr>
            </w:pPr>
            <w:r w:rsidRPr="00FC0D03">
              <w:rPr>
                <w:sz w:val="22"/>
                <w:szCs w:val="22"/>
              </w:rPr>
              <w:t>Corrected MSID ABSVD Component</w:t>
            </w:r>
          </w:p>
        </w:tc>
        <w:tc>
          <w:tcPr>
            <w:tcW w:w="974" w:type="pct"/>
            <w:tcMar>
              <w:top w:w="85" w:type="dxa"/>
              <w:left w:w="85" w:type="dxa"/>
              <w:bottom w:w="85" w:type="dxa"/>
              <w:right w:w="85" w:type="dxa"/>
            </w:tcMar>
          </w:tcPr>
          <w:p w14:paraId="79A09CED" w14:textId="77777777" w:rsidR="00EC2611" w:rsidRPr="00EC2611" w:rsidRDefault="00EC2611" w:rsidP="00F60AD8">
            <w:pPr>
              <w:rPr>
                <w:sz w:val="22"/>
                <w:szCs w:val="22"/>
              </w:rPr>
            </w:pPr>
            <w:r w:rsidRPr="00FC0D03">
              <w:rPr>
                <w:sz w:val="22"/>
                <w:szCs w:val="22"/>
              </w:rPr>
              <w:t>CORABSVDC</w:t>
            </w:r>
            <w:r w:rsidRPr="00FC0D03">
              <w:rPr>
                <w:sz w:val="22"/>
                <w:szCs w:val="22"/>
                <w:vertAlign w:val="subscript"/>
              </w:rPr>
              <w:t>i2Nj</w:t>
            </w:r>
          </w:p>
        </w:tc>
        <w:tc>
          <w:tcPr>
            <w:tcW w:w="492" w:type="pct"/>
            <w:tcMar>
              <w:top w:w="85" w:type="dxa"/>
              <w:left w:w="85" w:type="dxa"/>
              <w:bottom w:w="85" w:type="dxa"/>
              <w:right w:w="85" w:type="dxa"/>
            </w:tcMar>
          </w:tcPr>
          <w:p w14:paraId="21B11C25" w14:textId="77777777" w:rsidR="00EC2611" w:rsidRPr="00EC2611" w:rsidRDefault="00EC2611" w:rsidP="00F60AD8">
            <w:pPr>
              <w:rPr>
                <w:sz w:val="22"/>
                <w:szCs w:val="22"/>
              </w:rPr>
            </w:pPr>
          </w:p>
        </w:tc>
        <w:tc>
          <w:tcPr>
            <w:tcW w:w="2540" w:type="pct"/>
            <w:tcMar>
              <w:top w:w="85" w:type="dxa"/>
              <w:left w:w="85" w:type="dxa"/>
              <w:bottom w:w="85" w:type="dxa"/>
              <w:right w:w="85" w:type="dxa"/>
            </w:tcMar>
          </w:tcPr>
          <w:p w14:paraId="22918E96" w14:textId="77777777" w:rsidR="00EC2611" w:rsidRPr="00EC2611" w:rsidRDefault="00EC2611" w:rsidP="00F60AD8">
            <w:pPr>
              <w:rPr>
                <w:sz w:val="22"/>
                <w:szCs w:val="22"/>
              </w:rPr>
            </w:pPr>
            <w:r w:rsidRPr="00FC0D03">
              <w:rPr>
                <w:sz w:val="22"/>
                <w:szCs w:val="22"/>
              </w:rPr>
              <w:t>Has the meaning given to it in Annex S-2 paragraph 9.3.5.</w:t>
            </w:r>
          </w:p>
        </w:tc>
      </w:tr>
      <w:tr w:rsidR="00342C07" w:rsidRPr="00630129" w14:paraId="3981FF15" w14:textId="77777777" w:rsidTr="00A63BA8">
        <w:trPr>
          <w:cantSplit/>
        </w:trPr>
        <w:tc>
          <w:tcPr>
            <w:tcW w:w="994" w:type="pct"/>
            <w:tcMar>
              <w:top w:w="85" w:type="dxa"/>
              <w:left w:w="85" w:type="dxa"/>
              <w:bottom w:w="85" w:type="dxa"/>
              <w:right w:w="85" w:type="dxa"/>
            </w:tcMar>
          </w:tcPr>
          <w:p w14:paraId="3D32E257" w14:textId="77777777" w:rsidR="00342C07" w:rsidRPr="00630129" w:rsidRDefault="00342C07" w:rsidP="00F60AD8">
            <w:pPr>
              <w:rPr>
                <w:sz w:val="22"/>
                <w:szCs w:val="22"/>
              </w:rPr>
            </w:pPr>
            <w:r w:rsidRPr="00630129">
              <w:rPr>
                <w:sz w:val="22"/>
                <w:szCs w:val="22"/>
              </w:rPr>
              <w:t>Credit Assessment Credited Energy Volume</w:t>
            </w:r>
          </w:p>
        </w:tc>
        <w:tc>
          <w:tcPr>
            <w:tcW w:w="974" w:type="pct"/>
            <w:tcMar>
              <w:top w:w="85" w:type="dxa"/>
              <w:left w:w="85" w:type="dxa"/>
              <w:bottom w:w="85" w:type="dxa"/>
              <w:right w:w="85" w:type="dxa"/>
            </w:tcMar>
          </w:tcPr>
          <w:p w14:paraId="64220AB4" w14:textId="77777777" w:rsidR="00342C07" w:rsidRPr="00630129" w:rsidRDefault="00342C07" w:rsidP="00F60AD8">
            <w:pPr>
              <w:rPr>
                <w:sz w:val="22"/>
                <w:szCs w:val="22"/>
                <w:vertAlign w:val="subscript"/>
              </w:rPr>
            </w:pPr>
            <w:proofErr w:type="spellStart"/>
            <w:r w:rsidRPr="00630129">
              <w:rPr>
                <w:sz w:val="22"/>
                <w:szCs w:val="22"/>
              </w:rPr>
              <w:t>CAQCE</w:t>
            </w:r>
            <w:r w:rsidRPr="00630129">
              <w:rPr>
                <w:sz w:val="22"/>
                <w:szCs w:val="22"/>
                <w:vertAlign w:val="subscript"/>
              </w:rPr>
              <w:t>iaj</w:t>
            </w:r>
            <w:proofErr w:type="spellEnd"/>
          </w:p>
        </w:tc>
        <w:tc>
          <w:tcPr>
            <w:tcW w:w="492" w:type="pct"/>
            <w:tcMar>
              <w:top w:w="85" w:type="dxa"/>
              <w:left w:w="85" w:type="dxa"/>
              <w:bottom w:w="85" w:type="dxa"/>
              <w:right w:w="85" w:type="dxa"/>
            </w:tcMar>
          </w:tcPr>
          <w:p w14:paraId="09019933"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1D5EEC08" w14:textId="77777777" w:rsidR="00342C07" w:rsidRPr="00630129" w:rsidRDefault="00342C07" w:rsidP="00F60AD8">
            <w:pPr>
              <w:spacing w:after="120"/>
              <w:rPr>
                <w:sz w:val="22"/>
                <w:szCs w:val="22"/>
              </w:rPr>
            </w:pPr>
            <w:r w:rsidRPr="00630129">
              <w:rPr>
                <w:sz w:val="22"/>
                <w:szCs w:val="22"/>
              </w:rPr>
              <w:t>The amount determined in accordance with Section M1.2.3.</w:t>
            </w:r>
          </w:p>
          <w:p w14:paraId="5D91B2B7" w14:textId="77777777" w:rsidR="00342C07" w:rsidRPr="00630129" w:rsidRDefault="00342C07" w:rsidP="00F60AD8">
            <w:pPr>
              <w:rPr>
                <w:i/>
                <w:sz w:val="22"/>
                <w:szCs w:val="22"/>
              </w:rPr>
            </w:pPr>
            <w:r w:rsidRPr="00630129">
              <w:rPr>
                <w:i/>
                <w:sz w:val="22"/>
                <w:szCs w:val="22"/>
              </w:rPr>
              <w:t xml:space="preserve">The Credit Assessment Credited Energy Volume is the contribution to a Trading Party’s Credit Assessment Energy Indebtedness from BM Unit </w:t>
            </w:r>
            <w:proofErr w:type="spellStart"/>
            <w:r w:rsidRPr="00630129">
              <w:rPr>
                <w:i/>
                <w:sz w:val="22"/>
                <w:szCs w:val="22"/>
              </w:rPr>
              <w:t>i</w:t>
            </w:r>
            <w:proofErr w:type="spellEnd"/>
            <w:r w:rsidRPr="00630129">
              <w:rPr>
                <w:i/>
                <w:sz w:val="22"/>
                <w:szCs w:val="22"/>
              </w:rPr>
              <w:t xml:space="preserve"> and Energy Account a in Settlement Period j.</w:t>
            </w:r>
          </w:p>
        </w:tc>
      </w:tr>
      <w:tr w:rsidR="00342C07" w:rsidRPr="00630129" w14:paraId="4657FEAE" w14:textId="77777777" w:rsidTr="00A63BA8">
        <w:trPr>
          <w:cantSplit/>
        </w:trPr>
        <w:tc>
          <w:tcPr>
            <w:tcW w:w="994" w:type="pct"/>
            <w:tcMar>
              <w:top w:w="85" w:type="dxa"/>
              <w:left w:w="85" w:type="dxa"/>
              <w:bottom w:w="85" w:type="dxa"/>
              <w:right w:w="85" w:type="dxa"/>
            </w:tcMar>
          </w:tcPr>
          <w:p w14:paraId="4B2391FC" w14:textId="77777777" w:rsidR="00342C07" w:rsidRPr="00630129" w:rsidRDefault="00342C07" w:rsidP="00F60AD8">
            <w:pPr>
              <w:rPr>
                <w:sz w:val="22"/>
                <w:szCs w:val="22"/>
              </w:rPr>
            </w:pPr>
            <w:r w:rsidRPr="00630129">
              <w:rPr>
                <w:sz w:val="22"/>
                <w:szCs w:val="22"/>
              </w:rPr>
              <w:t>Credit Assessment Energy Indebtedness</w:t>
            </w:r>
          </w:p>
        </w:tc>
        <w:tc>
          <w:tcPr>
            <w:tcW w:w="974" w:type="pct"/>
            <w:tcMar>
              <w:top w:w="85" w:type="dxa"/>
              <w:left w:w="85" w:type="dxa"/>
              <w:bottom w:w="85" w:type="dxa"/>
              <w:right w:w="85" w:type="dxa"/>
            </w:tcMar>
          </w:tcPr>
          <w:p w14:paraId="2EA443B8" w14:textId="77777777" w:rsidR="00342C07" w:rsidRPr="00630129" w:rsidRDefault="00342C07" w:rsidP="00F60AD8">
            <w:pPr>
              <w:rPr>
                <w:sz w:val="22"/>
                <w:szCs w:val="22"/>
                <w:vertAlign w:val="subscript"/>
              </w:rPr>
            </w:pPr>
            <w:proofErr w:type="spellStart"/>
            <w:r w:rsidRPr="00630129">
              <w:rPr>
                <w:sz w:val="22"/>
                <w:szCs w:val="22"/>
              </w:rPr>
              <w:t>CEI</w:t>
            </w:r>
            <w:r w:rsidRPr="00630129">
              <w:rPr>
                <w:sz w:val="22"/>
                <w:szCs w:val="22"/>
                <w:vertAlign w:val="subscript"/>
              </w:rPr>
              <w:t>pj</w:t>
            </w:r>
            <w:proofErr w:type="spellEnd"/>
          </w:p>
        </w:tc>
        <w:tc>
          <w:tcPr>
            <w:tcW w:w="492" w:type="pct"/>
            <w:tcMar>
              <w:top w:w="85" w:type="dxa"/>
              <w:left w:w="85" w:type="dxa"/>
              <w:bottom w:w="85" w:type="dxa"/>
              <w:right w:w="85" w:type="dxa"/>
            </w:tcMar>
          </w:tcPr>
          <w:p w14:paraId="6EC6B525"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58203B56" w14:textId="77777777" w:rsidR="00342C07" w:rsidRPr="00630129" w:rsidRDefault="00342C07" w:rsidP="00F60AD8">
            <w:pPr>
              <w:spacing w:after="120"/>
              <w:rPr>
                <w:sz w:val="22"/>
                <w:szCs w:val="22"/>
              </w:rPr>
            </w:pPr>
            <w:r w:rsidRPr="00630129">
              <w:rPr>
                <w:sz w:val="22"/>
                <w:szCs w:val="22"/>
              </w:rPr>
              <w:t>The amount determined as such in accordance with Section M1.2.2.</w:t>
            </w:r>
          </w:p>
          <w:p w14:paraId="6791257C" w14:textId="77777777" w:rsidR="00342C07" w:rsidRPr="00630129" w:rsidRDefault="00342C07" w:rsidP="00F60AD8">
            <w:pPr>
              <w:rPr>
                <w:i/>
                <w:sz w:val="22"/>
                <w:szCs w:val="22"/>
              </w:rPr>
            </w:pPr>
            <w:r w:rsidRPr="00630129">
              <w:rPr>
                <w:i/>
                <w:sz w:val="22"/>
                <w:szCs w:val="22"/>
              </w:rPr>
              <w:t>The Credit Assessment Energy Indebtedness is the net energy contribution determined to be allocated to a Trading Party for Settlement Periods as defined in Section M1.2.1.</w:t>
            </w:r>
          </w:p>
        </w:tc>
      </w:tr>
      <w:tr w:rsidR="00342C07" w:rsidRPr="00630129" w14:paraId="109B3894" w14:textId="77777777" w:rsidTr="00A63BA8">
        <w:trPr>
          <w:cantSplit/>
        </w:trPr>
        <w:tc>
          <w:tcPr>
            <w:tcW w:w="994" w:type="pct"/>
            <w:tcMar>
              <w:top w:w="85" w:type="dxa"/>
              <w:left w:w="85" w:type="dxa"/>
              <w:bottom w:w="85" w:type="dxa"/>
              <w:right w:w="85" w:type="dxa"/>
            </w:tcMar>
          </w:tcPr>
          <w:p w14:paraId="38D243FC" w14:textId="77777777" w:rsidR="00342C07" w:rsidRPr="00630129" w:rsidRDefault="00342C07" w:rsidP="00F60AD8">
            <w:pPr>
              <w:rPr>
                <w:sz w:val="22"/>
                <w:szCs w:val="22"/>
              </w:rPr>
            </w:pPr>
            <w:r w:rsidRPr="00630129">
              <w:rPr>
                <w:sz w:val="22"/>
                <w:szCs w:val="22"/>
              </w:rPr>
              <w:t>Credit Cover</w:t>
            </w:r>
          </w:p>
        </w:tc>
        <w:tc>
          <w:tcPr>
            <w:tcW w:w="974" w:type="pct"/>
            <w:tcMar>
              <w:top w:w="85" w:type="dxa"/>
              <w:left w:w="85" w:type="dxa"/>
              <w:bottom w:w="85" w:type="dxa"/>
              <w:right w:w="85" w:type="dxa"/>
            </w:tcMar>
          </w:tcPr>
          <w:p w14:paraId="7586EE2A" w14:textId="77777777" w:rsidR="00342C07" w:rsidRPr="00630129" w:rsidRDefault="00342C07" w:rsidP="00F60AD8">
            <w:pPr>
              <w:rPr>
                <w:sz w:val="22"/>
                <w:szCs w:val="22"/>
                <w:vertAlign w:val="subscript"/>
              </w:rPr>
            </w:pPr>
            <w:proofErr w:type="spellStart"/>
            <w:r w:rsidRPr="00630129">
              <w:rPr>
                <w:sz w:val="22"/>
                <w:szCs w:val="22"/>
              </w:rPr>
              <w:t>CC</w:t>
            </w:r>
            <w:r w:rsidRPr="00630129">
              <w:rPr>
                <w:sz w:val="22"/>
                <w:szCs w:val="22"/>
                <w:vertAlign w:val="subscript"/>
              </w:rPr>
              <w:t>p</w:t>
            </w:r>
            <w:proofErr w:type="spellEnd"/>
          </w:p>
        </w:tc>
        <w:tc>
          <w:tcPr>
            <w:tcW w:w="492" w:type="pct"/>
            <w:tcMar>
              <w:top w:w="85" w:type="dxa"/>
              <w:left w:w="85" w:type="dxa"/>
              <w:bottom w:w="85" w:type="dxa"/>
              <w:right w:w="85" w:type="dxa"/>
            </w:tcMar>
          </w:tcPr>
          <w:p w14:paraId="546BB65F"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434030C1" w14:textId="77777777" w:rsidR="00342C07" w:rsidRPr="00630129" w:rsidRDefault="00342C07" w:rsidP="00F60AD8">
            <w:pPr>
              <w:rPr>
                <w:sz w:val="22"/>
                <w:szCs w:val="22"/>
              </w:rPr>
            </w:pPr>
            <w:r w:rsidRPr="00630129">
              <w:rPr>
                <w:sz w:val="22"/>
                <w:szCs w:val="22"/>
              </w:rPr>
              <w:t>Is defined in Annex X-1</w:t>
            </w:r>
          </w:p>
        </w:tc>
      </w:tr>
      <w:tr w:rsidR="00342C07" w:rsidRPr="00630129" w14:paraId="326BD27B" w14:textId="77777777" w:rsidTr="00A63BA8">
        <w:trPr>
          <w:cantSplit/>
        </w:trPr>
        <w:tc>
          <w:tcPr>
            <w:tcW w:w="994" w:type="pct"/>
            <w:tcMar>
              <w:top w:w="85" w:type="dxa"/>
              <w:left w:w="85" w:type="dxa"/>
              <w:bottom w:w="85" w:type="dxa"/>
              <w:right w:w="85" w:type="dxa"/>
            </w:tcMar>
          </w:tcPr>
          <w:p w14:paraId="2DD63ECA" w14:textId="77777777" w:rsidR="00342C07" w:rsidRPr="00630129" w:rsidRDefault="00342C07" w:rsidP="00F60AD8">
            <w:pPr>
              <w:rPr>
                <w:sz w:val="22"/>
                <w:szCs w:val="22"/>
              </w:rPr>
            </w:pPr>
            <w:r w:rsidRPr="00630129">
              <w:rPr>
                <w:sz w:val="22"/>
                <w:szCs w:val="22"/>
              </w:rPr>
              <w:t>Credit Cover Error Compensation</w:t>
            </w:r>
          </w:p>
        </w:tc>
        <w:tc>
          <w:tcPr>
            <w:tcW w:w="974" w:type="pct"/>
            <w:tcMar>
              <w:top w:w="85" w:type="dxa"/>
              <w:left w:w="85" w:type="dxa"/>
              <w:bottom w:w="85" w:type="dxa"/>
              <w:right w:w="85" w:type="dxa"/>
            </w:tcMar>
          </w:tcPr>
          <w:p w14:paraId="0F3387A1" w14:textId="77777777" w:rsidR="00342C07" w:rsidRPr="00630129" w:rsidRDefault="00342C07" w:rsidP="00F60AD8">
            <w:pPr>
              <w:rPr>
                <w:sz w:val="22"/>
                <w:szCs w:val="22"/>
              </w:rPr>
            </w:pPr>
            <w:proofErr w:type="spellStart"/>
            <w:r w:rsidRPr="00630129">
              <w:rPr>
                <w:sz w:val="22"/>
                <w:szCs w:val="22"/>
              </w:rPr>
              <w:t>CCEC</w:t>
            </w:r>
            <w:r w:rsidRPr="00630129">
              <w:rPr>
                <w:sz w:val="22"/>
                <w:szCs w:val="22"/>
                <w:vertAlign w:val="subscript"/>
              </w:rPr>
              <w:t>p</w:t>
            </w:r>
            <w:proofErr w:type="spellEnd"/>
          </w:p>
        </w:tc>
        <w:tc>
          <w:tcPr>
            <w:tcW w:w="492" w:type="pct"/>
            <w:tcMar>
              <w:top w:w="85" w:type="dxa"/>
              <w:left w:w="85" w:type="dxa"/>
              <w:bottom w:w="85" w:type="dxa"/>
              <w:right w:w="85" w:type="dxa"/>
            </w:tcMar>
          </w:tcPr>
          <w:p w14:paraId="46E6E076"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223DF8D1" w14:textId="77777777" w:rsidR="00342C07" w:rsidRPr="00630129" w:rsidRDefault="00342C07" w:rsidP="00F60AD8">
            <w:pPr>
              <w:spacing w:after="120"/>
              <w:rPr>
                <w:sz w:val="22"/>
                <w:szCs w:val="22"/>
              </w:rPr>
            </w:pPr>
            <w:r w:rsidRPr="00630129">
              <w:rPr>
                <w:sz w:val="22"/>
                <w:szCs w:val="22"/>
              </w:rPr>
              <w:t>Has the meaning given to that term in Section M4.1.1.</w:t>
            </w:r>
          </w:p>
          <w:p w14:paraId="3E7F3D9F" w14:textId="77777777" w:rsidR="00342C07" w:rsidRPr="00630129" w:rsidRDefault="00342C07" w:rsidP="00F60AD8">
            <w:pPr>
              <w:rPr>
                <w:i/>
                <w:sz w:val="22"/>
                <w:szCs w:val="22"/>
              </w:rPr>
            </w:pPr>
            <w:r w:rsidRPr="00630129">
              <w:rPr>
                <w:i/>
                <w:sz w:val="22"/>
                <w:szCs w:val="22"/>
              </w:rPr>
              <w:t>The Credit Cover Error Compensation is the aggregate payment that may be made to a Trading Party in relation to a Credit Cover Error.</w:t>
            </w:r>
          </w:p>
        </w:tc>
      </w:tr>
      <w:tr w:rsidR="00342C07" w:rsidRPr="00630129" w14:paraId="7026BEF4" w14:textId="77777777" w:rsidTr="00A63BA8">
        <w:trPr>
          <w:cantSplit/>
        </w:trPr>
        <w:tc>
          <w:tcPr>
            <w:tcW w:w="994" w:type="pct"/>
            <w:tcMar>
              <w:top w:w="85" w:type="dxa"/>
              <w:left w:w="85" w:type="dxa"/>
              <w:bottom w:w="85" w:type="dxa"/>
              <w:right w:w="85" w:type="dxa"/>
            </w:tcMar>
          </w:tcPr>
          <w:p w14:paraId="6D768ABA" w14:textId="77777777" w:rsidR="00342C07" w:rsidRPr="00630129" w:rsidRDefault="00342C07" w:rsidP="00F60AD8">
            <w:pPr>
              <w:rPr>
                <w:sz w:val="22"/>
                <w:szCs w:val="22"/>
              </w:rPr>
            </w:pPr>
            <w:r w:rsidRPr="00630129">
              <w:rPr>
                <w:sz w:val="22"/>
                <w:szCs w:val="22"/>
              </w:rPr>
              <w:lastRenderedPageBreak/>
              <w:t>Credit Cover Error Erroneous Rejection Flag</w:t>
            </w:r>
          </w:p>
        </w:tc>
        <w:tc>
          <w:tcPr>
            <w:tcW w:w="974" w:type="pct"/>
            <w:tcMar>
              <w:top w:w="85" w:type="dxa"/>
              <w:left w:w="85" w:type="dxa"/>
              <w:bottom w:w="85" w:type="dxa"/>
              <w:right w:w="85" w:type="dxa"/>
            </w:tcMar>
          </w:tcPr>
          <w:p w14:paraId="77B4FDCC" w14:textId="77777777" w:rsidR="00342C07" w:rsidRPr="00630129" w:rsidRDefault="00342C07" w:rsidP="00F60AD8">
            <w:pPr>
              <w:rPr>
                <w:sz w:val="22"/>
                <w:szCs w:val="22"/>
                <w:vertAlign w:val="subscript"/>
              </w:rPr>
            </w:pPr>
            <w:proofErr w:type="spellStart"/>
            <w:r w:rsidRPr="00630129">
              <w:rPr>
                <w:sz w:val="22"/>
                <w:szCs w:val="22"/>
              </w:rPr>
              <w:t>FLAG</w:t>
            </w:r>
            <w:r w:rsidRPr="00630129">
              <w:rPr>
                <w:sz w:val="22"/>
                <w:szCs w:val="22"/>
                <w:vertAlign w:val="subscript"/>
              </w:rPr>
              <w:t>pj</w:t>
            </w:r>
            <w:proofErr w:type="spellEnd"/>
          </w:p>
        </w:tc>
        <w:tc>
          <w:tcPr>
            <w:tcW w:w="492" w:type="pct"/>
            <w:tcMar>
              <w:top w:w="85" w:type="dxa"/>
              <w:left w:w="85" w:type="dxa"/>
              <w:bottom w:w="85" w:type="dxa"/>
              <w:right w:w="85" w:type="dxa"/>
            </w:tcMar>
          </w:tcPr>
          <w:p w14:paraId="7579819A"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516DF2F2" w14:textId="77777777" w:rsidR="00342C07" w:rsidRPr="00630129" w:rsidRDefault="00342C07" w:rsidP="00F60AD8">
            <w:pPr>
              <w:spacing w:after="120"/>
              <w:rPr>
                <w:sz w:val="22"/>
                <w:szCs w:val="22"/>
              </w:rPr>
            </w:pPr>
            <w:r w:rsidRPr="00630129">
              <w:rPr>
                <w:sz w:val="22"/>
                <w:szCs w:val="22"/>
              </w:rPr>
              <w:t>Has the value determined in accordance with Section M4.2.3.</w:t>
            </w:r>
          </w:p>
          <w:p w14:paraId="020E0D74" w14:textId="77777777" w:rsidR="00342C07" w:rsidRPr="00630129" w:rsidRDefault="00342C07" w:rsidP="00F60AD8">
            <w:pPr>
              <w:pStyle w:val="Heading9"/>
              <w:keepNext w:val="0"/>
              <w:jc w:val="left"/>
              <w:rPr>
                <w:szCs w:val="22"/>
              </w:rPr>
            </w:pPr>
            <w:r w:rsidRPr="00630129">
              <w:rPr>
                <w:szCs w:val="22"/>
              </w:rPr>
              <w:t>The Credit Cover Error Erroneous Rejection Flag is a flag indicating whether Settlement Period j was determined erroneously to fall within a Credit Default Rejection Period for Trading Party p.</w:t>
            </w:r>
          </w:p>
        </w:tc>
      </w:tr>
      <w:tr w:rsidR="00342C07" w:rsidRPr="00630129" w14:paraId="5E84FBAD" w14:textId="77777777" w:rsidTr="00A63BA8">
        <w:trPr>
          <w:cantSplit/>
        </w:trPr>
        <w:tc>
          <w:tcPr>
            <w:tcW w:w="994" w:type="pct"/>
            <w:tcMar>
              <w:top w:w="85" w:type="dxa"/>
              <w:left w:w="85" w:type="dxa"/>
              <w:bottom w:w="85" w:type="dxa"/>
              <w:right w:w="85" w:type="dxa"/>
            </w:tcMar>
          </w:tcPr>
          <w:p w14:paraId="1978901B" w14:textId="77777777" w:rsidR="00342C07" w:rsidRPr="00630129" w:rsidRDefault="00342C07" w:rsidP="00F60AD8">
            <w:pPr>
              <w:rPr>
                <w:sz w:val="22"/>
                <w:szCs w:val="22"/>
              </w:rPr>
            </w:pPr>
            <w:r w:rsidRPr="00630129">
              <w:rPr>
                <w:sz w:val="22"/>
                <w:szCs w:val="22"/>
              </w:rPr>
              <w:t>Credit Cover Error Imbalance Amount</w:t>
            </w:r>
          </w:p>
        </w:tc>
        <w:tc>
          <w:tcPr>
            <w:tcW w:w="974" w:type="pct"/>
            <w:tcMar>
              <w:top w:w="85" w:type="dxa"/>
              <w:left w:w="85" w:type="dxa"/>
              <w:bottom w:w="85" w:type="dxa"/>
              <w:right w:w="85" w:type="dxa"/>
            </w:tcMar>
          </w:tcPr>
          <w:p w14:paraId="413D10C8" w14:textId="77777777" w:rsidR="00342C07" w:rsidRPr="00630129" w:rsidRDefault="00342C07" w:rsidP="00F60AD8">
            <w:pPr>
              <w:rPr>
                <w:sz w:val="22"/>
                <w:szCs w:val="22"/>
              </w:rPr>
            </w:pPr>
            <w:proofErr w:type="spellStart"/>
            <w:r w:rsidRPr="00630129">
              <w:rPr>
                <w:sz w:val="22"/>
                <w:szCs w:val="22"/>
              </w:rPr>
              <w:t>ECB</w:t>
            </w:r>
            <w:r w:rsidRPr="00630129">
              <w:rPr>
                <w:sz w:val="22"/>
                <w:szCs w:val="22"/>
                <w:vertAlign w:val="subscript"/>
              </w:rPr>
              <w:t>pj</w:t>
            </w:r>
            <w:proofErr w:type="spellEnd"/>
          </w:p>
        </w:tc>
        <w:tc>
          <w:tcPr>
            <w:tcW w:w="492" w:type="pct"/>
            <w:tcMar>
              <w:top w:w="85" w:type="dxa"/>
              <w:left w:w="85" w:type="dxa"/>
              <w:bottom w:w="85" w:type="dxa"/>
              <w:right w:w="85" w:type="dxa"/>
            </w:tcMar>
          </w:tcPr>
          <w:p w14:paraId="5EB9B29A"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1505B802" w14:textId="77777777" w:rsidR="00342C07" w:rsidRPr="00630129" w:rsidRDefault="00342C07" w:rsidP="00F60AD8">
            <w:pPr>
              <w:spacing w:after="120"/>
              <w:rPr>
                <w:sz w:val="22"/>
                <w:szCs w:val="22"/>
              </w:rPr>
            </w:pPr>
            <w:r w:rsidRPr="00630129">
              <w:rPr>
                <w:sz w:val="22"/>
                <w:szCs w:val="22"/>
              </w:rPr>
              <w:t>The amount determined as such in accordance with Section M4.2.3.</w:t>
            </w:r>
          </w:p>
          <w:p w14:paraId="1770D416" w14:textId="77777777" w:rsidR="00342C07" w:rsidRPr="00630129" w:rsidRDefault="00342C07" w:rsidP="00F60AD8">
            <w:pPr>
              <w:rPr>
                <w:i/>
                <w:sz w:val="22"/>
                <w:szCs w:val="22"/>
              </w:rPr>
            </w:pPr>
            <w:r w:rsidRPr="00630129">
              <w:rPr>
                <w:i/>
                <w:sz w:val="22"/>
                <w:szCs w:val="22"/>
              </w:rPr>
              <w:t>The Credit Cover Error Imbalance Amount represents the Energy Imbalance related compensation that may be paid to a Trading Party in relation to Settlement Period j, as a consequence of a Credit Cover Error.</w:t>
            </w:r>
          </w:p>
        </w:tc>
      </w:tr>
      <w:tr w:rsidR="00342C07" w:rsidRPr="00630129" w14:paraId="668BCEE6" w14:textId="77777777" w:rsidTr="00A63BA8">
        <w:trPr>
          <w:cantSplit/>
        </w:trPr>
        <w:tc>
          <w:tcPr>
            <w:tcW w:w="994" w:type="pct"/>
            <w:tcMar>
              <w:top w:w="85" w:type="dxa"/>
              <w:left w:w="85" w:type="dxa"/>
              <w:bottom w:w="85" w:type="dxa"/>
              <w:right w:w="85" w:type="dxa"/>
            </w:tcMar>
          </w:tcPr>
          <w:p w14:paraId="2EB7F1B8" w14:textId="77777777" w:rsidR="00342C07" w:rsidRPr="00630129" w:rsidRDefault="00342C07" w:rsidP="00F60AD8">
            <w:pPr>
              <w:rPr>
                <w:sz w:val="22"/>
                <w:szCs w:val="22"/>
              </w:rPr>
            </w:pPr>
            <w:r w:rsidRPr="00630129">
              <w:rPr>
                <w:sz w:val="22"/>
                <w:szCs w:val="22"/>
              </w:rPr>
              <w:t>Credit Cover Error Interest Amount</w:t>
            </w:r>
          </w:p>
        </w:tc>
        <w:tc>
          <w:tcPr>
            <w:tcW w:w="974" w:type="pct"/>
            <w:tcMar>
              <w:top w:w="85" w:type="dxa"/>
              <w:left w:w="85" w:type="dxa"/>
              <w:bottom w:w="85" w:type="dxa"/>
              <w:right w:w="85" w:type="dxa"/>
            </w:tcMar>
          </w:tcPr>
          <w:p w14:paraId="61C0D976" w14:textId="77777777" w:rsidR="00342C07" w:rsidRPr="00630129" w:rsidRDefault="00342C07" w:rsidP="00F60AD8">
            <w:pPr>
              <w:rPr>
                <w:sz w:val="22"/>
                <w:szCs w:val="22"/>
              </w:rPr>
            </w:pPr>
            <w:proofErr w:type="spellStart"/>
            <w:r w:rsidRPr="00630129">
              <w:rPr>
                <w:sz w:val="22"/>
                <w:szCs w:val="22"/>
              </w:rPr>
              <w:t>ECA</w:t>
            </w:r>
            <w:r w:rsidRPr="00630129">
              <w:rPr>
                <w:sz w:val="22"/>
                <w:szCs w:val="22"/>
                <w:vertAlign w:val="subscript"/>
              </w:rPr>
              <w:t>pj</w:t>
            </w:r>
            <w:proofErr w:type="spellEnd"/>
          </w:p>
        </w:tc>
        <w:tc>
          <w:tcPr>
            <w:tcW w:w="492" w:type="pct"/>
            <w:tcMar>
              <w:top w:w="85" w:type="dxa"/>
              <w:left w:w="85" w:type="dxa"/>
              <w:bottom w:w="85" w:type="dxa"/>
              <w:right w:w="85" w:type="dxa"/>
            </w:tcMar>
          </w:tcPr>
          <w:p w14:paraId="3E6377DB"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08F9ED4B" w14:textId="77777777" w:rsidR="00342C07" w:rsidRPr="00630129" w:rsidRDefault="00342C07" w:rsidP="00F60AD8">
            <w:pPr>
              <w:spacing w:after="120"/>
              <w:rPr>
                <w:sz w:val="22"/>
                <w:szCs w:val="22"/>
              </w:rPr>
            </w:pPr>
            <w:r w:rsidRPr="00630129">
              <w:rPr>
                <w:sz w:val="22"/>
                <w:szCs w:val="22"/>
              </w:rPr>
              <w:t>The amount determined as such in accordance with Section M4.2.2.</w:t>
            </w:r>
          </w:p>
          <w:p w14:paraId="77111CD3" w14:textId="77777777" w:rsidR="00342C07" w:rsidRPr="00630129" w:rsidRDefault="00342C07" w:rsidP="00F60AD8">
            <w:pPr>
              <w:rPr>
                <w:i/>
                <w:sz w:val="22"/>
                <w:szCs w:val="22"/>
              </w:rPr>
            </w:pPr>
            <w:r w:rsidRPr="00630129">
              <w:rPr>
                <w:i/>
                <w:sz w:val="22"/>
                <w:szCs w:val="22"/>
              </w:rPr>
              <w:t>The Credit Cover Error Interest Amount represents the interest related compensation that may be paid to a Trading Party in relation to Settlement Period j, as a consequence of a Credit Cover Error.</w:t>
            </w:r>
          </w:p>
        </w:tc>
      </w:tr>
      <w:tr w:rsidR="00342C07" w:rsidRPr="00630129" w14:paraId="591FFCC5" w14:textId="77777777" w:rsidTr="00A63BA8">
        <w:trPr>
          <w:cantSplit/>
        </w:trPr>
        <w:tc>
          <w:tcPr>
            <w:tcW w:w="994" w:type="pct"/>
            <w:tcMar>
              <w:top w:w="85" w:type="dxa"/>
              <w:left w:w="85" w:type="dxa"/>
              <w:bottom w:w="85" w:type="dxa"/>
              <w:right w:w="85" w:type="dxa"/>
            </w:tcMar>
          </w:tcPr>
          <w:p w14:paraId="1C8D3E53" w14:textId="77777777" w:rsidR="00342C07" w:rsidRPr="00630129" w:rsidRDefault="00342C07" w:rsidP="00F60AD8">
            <w:pPr>
              <w:rPr>
                <w:sz w:val="22"/>
                <w:szCs w:val="22"/>
              </w:rPr>
            </w:pPr>
            <w:r w:rsidRPr="00630129">
              <w:rPr>
                <w:sz w:val="22"/>
                <w:szCs w:val="22"/>
              </w:rPr>
              <w:t>Credit Cover Error Rejection Volume</w:t>
            </w:r>
          </w:p>
        </w:tc>
        <w:tc>
          <w:tcPr>
            <w:tcW w:w="974" w:type="pct"/>
            <w:tcMar>
              <w:top w:w="85" w:type="dxa"/>
              <w:left w:w="85" w:type="dxa"/>
              <w:bottom w:w="85" w:type="dxa"/>
              <w:right w:w="85" w:type="dxa"/>
            </w:tcMar>
          </w:tcPr>
          <w:p w14:paraId="719CB7C9" w14:textId="77777777" w:rsidR="00342C07" w:rsidRPr="00630129" w:rsidRDefault="00342C07" w:rsidP="00F60AD8">
            <w:pPr>
              <w:rPr>
                <w:sz w:val="22"/>
                <w:szCs w:val="22"/>
                <w:vertAlign w:val="subscript"/>
              </w:rPr>
            </w:pPr>
            <w:proofErr w:type="spellStart"/>
            <w:r w:rsidRPr="00630129">
              <w:rPr>
                <w:sz w:val="22"/>
                <w:szCs w:val="22"/>
              </w:rPr>
              <w:t>REJ</w:t>
            </w:r>
            <w:r w:rsidRPr="00630129">
              <w:rPr>
                <w:sz w:val="22"/>
                <w:szCs w:val="22"/>
                <w:vertAlign w:val="subscript"/>
              </w:rPr>
              <w:t>aj</w:t>
            </w:r>
            <w:proofErr w:type="spellEnd"/>
          </w:p>
        </w:tc>
        <w:tc>
          <w:tcPr>
            <w:tcW w:w="492" w:type="pct"/>
            <w:tcMar>
              <w:top w:w="85" w:type="dxa"/>
              <w:left w:w="85" w:type="dxa"/>
              <w:bottom w:w="85" w:type="dxa"/>
              <w:right w:w="85" w:type="dxa"/>
            </w:tcMar>
          </w:tcPr>
          <w:p w14:paraId="24439EB8"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512CC6B2" w14:textId="77777777" w:rsidR="00342C07" w:rsidRPr="00630129" w:rsidRDefault="00342C07" w:rsidP="00F60AD8">
            <w:pPr>
              <w:spacing w:after="120"/>
              <w:rPr>
                <w:sz w:val="22"/>
                <w:szCs w:val="22"/>
              </w:rPr>
            </w:pPr>
            <w:r w:rsidRPr="00630129">
              <w:rPr>
                <w:sz w:val="22"/>
                <w:szCs w:val="22"/>
              </w:rPr>
              <w:t>The quantity determined in accordance with Section M4.2.3.</w:t>
            </w:r>
          </w:p>
          <w:p w14:paraId="3DCF69F0" w14:textId="77777777" w:rsidR="00342C07" w:rsidRPr="00630129" w:rsidRDefault="00342C07" w:rsidP="00F60AD8">
            <w:pPr>
              <w:rPr>
                <w:i/>
                <w:sz w:val="22"/>
                <w:szCs w:val="22"/>
              </w:rPr>
            </w:pPr>
            <w:r w:rsidRPr="00630129">
              <w:rPr>
                <w:i/>
                <w:sz w:val="22"/>
                <w:szCs w:val="22"/>
              </w:rPr>
              <w:t>The Credit Cover Error Rejection Volume represents an assessment of the change (whether positive or negative) in the quantity of energy that would have been allocated to Energy Account a, of Trading Party P, in Settlement Period j, had Energy Contract Volume Notifications and Data relating to Metered Volume Reallocation Notifications not been rejected in accordance with Sections P2.5.2, and P3.5.2, by virtue of Trading Party P being in Level 2 Credit Default.</w:t>
            </w:r>
          </w:p>
        </w:tc>
      </w:tr>
      <w:tr w:rsidR="00342C07" w:rsidRPr="00630129" w14:paraId="4C556310" w14:textId="77777777" w:rsidTr="00A63BA8">
        <w:trPr>
          <w:cantSplit/>
        </w:trPr>
        <w:tc>
          <w:tcPr>
            <w:tcW w:w="994" w:type="pct"/>
            <w:tcMar>
              <w:top w:w="85" w:type="dxa"/>
              <w:left w:w="85" w:type="dxa"/>
              <w:bottom w:w="85" w:type="dxa"/>
              <w:right w:w="85" w:type="dxa"/>
            </w:tcMar>
          </w:tcPr>
          <w:p w14:paraId="3B30F093" w14:textId="77777777" w:rsidR="00342C07" w:rsidRPr="00630129" w:rsidRDefault="00342C07" w:rsidP="00F60AD8">
            <w:pPr>
              <w:rPr>
                <w:sz w:val="22"/>
                <w:szCs w:val="22"/>
              </w:rPr>
            </w:pPr>
            <w:r w:rsidRPr="00630129">
              <w:rPr>
                <w:sz w:val="22"/>
                <w:szCs w:val="22"/>
              </w:rPr>
              <w:t>Credit Cover Percentage</w:t>
            </w:r>
          </w:p>
        </w:tc>
        <w:tc>
          <w:tcPr>
            <w:tcW w:w="974" w:type="pct"/>
            <w:tcMar>
              <w:top w:w="85" w:type="dxa"/>
              <w:left w:w="85" w:type="dxa"/>
              <w:bottom w:w="85" w:type="dxa"/>
              <w:right w:w="85" w:type="dxa"/>
            </w:tcMar>
          </w:tcPr>
          <w:p w14:paraId="5F8A1D87" w14:textId="77777777" w:rsidR="00342C07" w:rsidRPr="00630129" w:rsidRDefault="00342C07" w:rsidP="00F60AD8">
            <w:pPr>
              <w:rPr>
                <w:sz w:val="22"/>
                <w:szCs w:val="22"/>
                <w:vertAlign w:val="subscript"/>
              </w:rPr>
            </w:pPr>
            <w:proofErr w:type="spellStart"/>
            <w:r w:rsidRPr="00630129">
              <w:rPr>
                <w:sz w:val="22"/>
                <w:szCs w:val="22"/>
              </w:rPr>
              <w:t>CCP</w:t>
            </w:r>
            <w:r w:rsidRPr="00630129">
              <w:rPr>
                <w:sz w:val="22"/>
                <w:szCs w:val="22"/>
                <w:vertAlign w:val="subscript"/>
              </w:rPr>
              <w:t>pj</w:t>
            </w:r>
            <w:proofErr w:type="spellEnd"/>
          </w:p>
        </w:tc>
        <w:tc>
          <w:tcPr>
            <w:tcW w:w="492" w:type="pct"/>
            <w:tcMar>
              <w:top w:w="85" w:type="dxa"/>
              <w:left w:w="85" w:type="dxa"/>
              <w:bottom w:w="85" w:type="dxa"/>
              <w:right w:w="85" w:type="dxa"/>
            </w:tcMar>
          </w:tcPr>
          <w:p w14:paraId="509BB3FC"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0054B2A0" w14:textId="77777777" w:rsidR="00342C07" w:rsidRPr="00630129" w:rsidRDefault="00342C07" w:rsidP="00F60AD8">
            <w:pPr>
              <w:rPr>
                <w:sz w:val="22"/>
                <w:szCs w:val="22"/>
              </w:rPr>
            </w:pPr>
            <w:r w:rsidRPr="00630129">
              <w:rPr>
                <w:sz w:val="22"/>
                <w:szCs w:val="22"/>
              </w:rPr>
              <w:t>Has the meaning given to that term in Section M3.1.1.</w:t>
            </w:r>
          </w:p>
        </w:tc>
      </w:tr>
      <w:tr w:rsidR="00342C07" w:rsidRPr="00630129" w14:paraId="1B2B667B" w14:textId="77777777" w:rsidTr="00A63BA8">
        <w:trPr>
          <w:cantSplit/>
        </w:trPr>
        <w:tc>
          <w:tcPr>
            <w:tcW w:w="994" w:type="pct"/>
            <w:tcMar>
              <w:top w:w="85" w:type="dxa"/>
              <w:left w:w="85" w:type="dxa"/>
              <w:bottom w:w="85" w:type="dxa"/>
              <w:right w:w="85" w:type="dxa"/>
            </w:tcMar>
          </w:tcPr>
          <w:p w14:paraId="02C64CD6" w14:textId="77777777" w:rsidR="00342C07" w:rsidRPr="00630129" w:rsidRDefault="00342C07" w:rsidP="00F60AD8">
            <w:pPr>
              <w:rPr>
                <w:sz w:val="22"/>
                <w:szCs w:val="22"/>
              </w:rPr>
            </w:pPr>
            <w:r w:rsidRPr="00630129">
              <w:rPr>
                <w:sz w:val="22"/>
                <w:szCs w:val="22"/>
              </w:rPr>
              <w:t>Credited Energy Volume</w:t>
            </w:r>
          </w:p>
        </w:tc>
        <w:tc>
          <w:tcPr>
            <w:tcW w:w="974" w:type="pct"/>
            <w:tcMar>
              <w:top w:w="85" w:type="dxa"/>
              <w:left w:w="85" w:type="dxa"/>
              <w:bottom w:w="85" w:type="dxa"/>
              <w:right w:w="85" w:type="dxa"/>
            </w:tcMar>
          </w:tcPr>
          <w:p w14:paraId="0C7E5E73" w14:textId="77777777" w:rsidR="00342C07" w:rsidRPr="00630129" w:rsidRDefault="00342C07" w:rsidP="00F60AD8">
            <w:pPr>
              <w:rPr>
                <w:sz w:val="22"/>
                <w:szCs w:val="22"/>
              </w:rPr>
            </w:pPr>
            <w:proofErr w:type="spellStart"/>
            <w:r w:rsidRPr="00630129">
              <w:rPr>
                <w:sz w:val="22"/>
                <w:szCs w:val="22"/>
              </w:rPr>
              <w:t>QCE</w:t>
            </w:r>
            <w:r w:rsidRPr="00630129">
              <w:rPr>
                <w:sz w:val="22"/>
                <w:szCs w:val="22"/>
                <w:vertAlign w:val="subscript"/>
              </w:rPr>
              <w:t>iaj</w:t>
            </w:r>
            <w:proofErr w:type="spellEnd"/>
          </w:p>
        </w:tc>
        <w:tc>
          <w:tcPr>
            <w:tcW w:w="492" w:type="pct"/>
            <w:tcMar>
              <w:top w:w="85" w:type="dxa"/>
              <w:left w:w="85" w:type="dxa"/>
              <w:bottom w:w="85" w:type="dxa"/>
              <w:right w:w="85" w:type="dxa"/>
            </w:tcMar>
          </w:tcPr>
          <w:p w14:paraId="66FA17CD"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237002E2" w14:textId="77777777" w:rsidR="00342C07" w:rsidRPr="00630129" w:rsidRDefault="00342C07" w:rsidP="00F60AD8">
            <w:pPr>
              <w:rPr>
                <w:sz w:val="22"/>
                <w:szCs w:val="22"/>
              </w:rPr>
            </w:pPr>
            <w:r w:rsidRPr="00630129">
              <w:rPr>
                <w:sz w:val="22"/>
                <w:szCs w:val="22"/>
              </w:rPr>
              <w:t>The quantity determined in accordance with Section T4.5.1.</w:t>
            </w:r>
          </w:p>
        </w:tc>
      </w:tr>
      <w:tr w:rsidR="00342C07" w:rsidRPr="00630129" w14:paraId="49F1706F" w14:textId="77777777" w:rsidTr="00A63BA8">
        <w:trPr>
          <w:cantSplit/>
        </w:trPr>
        <w:tc>
          <w:tcPr>
            <w:tcW w:w="994" w:type="pct"/>
            <w:tcMar>
              <w:top w:w="85" w:type="dxa"/>
              <w:left w:w="85" w:type="dxa"/>
              <w:bottom w:w="85" w:type="dxa"/>
              <w:right w:w="85" w:type="dxa"/>
            </w:tcMar>
          </w:tcPr>
          <w:p w14:paraId="6B073002" w14:textId="77777777" w:rsidR="00342C07" w:rsidRPr="00630129" w:rsidRDefault="00342C07" w:rsidP="00F60AD8">
            <w:pPr>
              <w:rPr>
                <w:sz w:val="22"/>
                <w:szCs w:val="22"/>
              </w:rPr>
            </w:pPr>
            <w:r w:rsidRPr="00630129">
              <w:rPr>
                <w:sz w:val="22"/>
                <w:szCs w:val="22"/>
              </w:rPr>
              <w:t xml:space="preserve">Daily Party BM Unit </w:t>
            </w:r>
            <w:proofErr w:type="spellStart"/>
            <w:r w:rsidRPr="00630129">
              <w:rPr>
                <w:sz w:val="22"/>
                <w:szCs w:val="22"/>
              </w:rPr>
              <w:t>Cashflow</w:t>
            </w:r>
            <w:proofErr w:type="spellEnd"/>
          </w:p>
        </w:tc>
        <w:tc>
          <w:tcPr>
            <w:tcW w:w="974" w:type="pct"/>
            <w:tcMar>
              <w:top w:w="85" w:type="dxa"/>
              <w:left w:w="85" w:type="dxa"/>
              <w:bottom w:w="85" w:type="dxa"/>
              <w:right w:w="85" w:type="dxa"/>
            </w:tcMar>
          </w:tcPr>
          <w:p w14:paraId="0DC9A6D4" w14:textId="77777777" w:rsidR="00342C07" w:rsidRPr="00630129" w:rsidRDefault="00342C07" w:rsidP="00F60AD8">
            <w:pPr>
              <w:rPr>
                <w:sz w:val="22"/>
                <w:szCs w:val="22"/>
              </w:rPr>
            </w:pPr>
            <w:proofErr w:type="spellStart"/>
            <w:r w:rsidRPr="00630129">
              <w:rPr>
                <w:sz w:val="22"/>
                <w:szCs w:val="22"/>
              </w:rPr>
              <w:t>CBM</w:t>
            </w:r>
            <w:r w:rsidRPr="00630129">
              <w:rPr>
                <w:sz w:val="22"/>
                <w:szCs w:val="22"/>
                <w:vertAlign w:val="subscript"/>
              </w:rPr>
              <w:t>p</w:t>
            </w:r>
            <w:proofErr w:type="spellEnd"/>
          </w:p>
        </w:tc>
        <w:tc>
          <w:tcPr>
            <w:tcW w:w="492" w:type="pct"/>
            <w:tcMar>
              <w:top w:w="85" w:type="dxa"/>
              <w:left w:w="85" w:type="dxa"/>
              <w:bottom w:w="85" w:type="dxa"/>
              <w:right w:w="85" w:type="dxa"/>
            </w:tcMar>
          </w:tcPr>
          <w:p w14:paraId="0C11CE4A"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222393FF" w14:textId="77777777" w:rsidR="00342C07" w:rsidRPr="00630129" w:rsidRDefault="00342C07" w:rsidP="00F60AD8">
            <w:pPr>
              <w:rPr>
                <w:sz w:val="22"/>
                <w:szCs w:val="22"/>
              </w:rPr>
            </w:pPr>
            <w:r w:rsidRPr="00630129">
              <w:rPr>
                <w:sz w:val="22"/>
                <w:szCs w:val="22"/>
              </w:rPr>
              <w:t>The amount determined in accordance with Section T3.12.2.</w:t>
            </w:r>
          </w:p>
        </w:tc>
      </w:tr>
      <w:tr w:rsidR="00342C07" w:rsidRPr="00630129" w14:paraId="3F0497BF" w14:textId="77777777" w:rsidTr="00A63BA8">
        <w:trPr>
          <w:cantSplit/>
        </w:trPr>
        <w:tc>
          <w:tcPr>
            <w:tcW w:w="994" w:type="pct"/>
            <w:tcMar>
              <w:top w:w="85" w:type="dxa"/>
              <w:left w:w="85" w:type="dxa"/>
              <w:bottom w:w="85" w:type="dxa"/>
              <w:right w:w="85" w:type="dxa"/>
            </w:tcMar>
          </w:tcPr>
          <w:p w14:paraId="4E732126" w14:textId="77777777" w:rsidR="00342C07" w:rsidRPr="00630129" w:rsidRDefault="00342C07" w:rsidP="00F60AD8">
            <w:pPr>
              <w:rPr>
                <w:sz w:val="22"/>
                <w:szCs w:val="22"/>
              </w:rPr>
            </w:pPr>
            <w:r w:rsidRPr="00630129">
              <w:rPr>
                <w:sz w:val="22"/>
                <w:szCs w:val="22"/>
              </w:rPr>
              <w:t xml:space="preserve">Daily Party Energy Imbalance </w:t>
            </w:r>
            <w:proofErr w:type="spellStart"/>
            <w:r w:rsidRPr="00630129">
              <w:rPr>
                <w:sz w:val="22"/>
                <w:szCs w:val="22"/>
              </w:rPr>
              <w:t>Cashflow</w:t>
            </w:r>
            <w:proofErr w:type="spellEnd"/>
          </w:p>
        </w:tc>
        <w:tc>
          <w:tcPr>
            <w:tcW w:w="974" w:type="pct"/>
            <w:tcMar>
              <w:top w:w="85" w:type="dxa"/>
              <w:left w:w="85" w:type="dxa"/>
              <w:bottom w:w="85" w:type="dxa"/>
              <w:right w:w="85" w:type="dxa"/>
            </w:tcMar>
          </w:tcPr>
          <w:p w14:paraId="31CB8BF1" w14:textId="77777777" w:rsidR="00342C07" w:rsidRPr="00630129" w:rsidRDefault="00342C07" w:rsidP="00F60AD8">
            <w:pPr>
              <w:rPr>
                <w:sz w:val="22"/>
                <w:szCs w:val="22"/>
              </w:rPr>
            </w:pPr>
            <w:proofErr w:type="spellStart"/>
            <w:r w:rsidRPr="00630129">
              <w:rPr>
                <w:sz w:val="22"/>
                <w:szCs w:val="22"/>
              </w:rPr>
              <w:t>CAEI</w:t>
            </w:r>
            <w:r w:rsidRPr="00630129">
              <w:rPr>
                <w:sz w:val="22"/>
                <w:szCs w:val="22"/>
                <w:vertAlign w:val="subscript"/>
              </w:rPr>
              <w:t>p</w:t>
            </w:r>
            <w:proofErr w:type="spellEnd"/>
          </w:p>
        </w:tc>
        <w:tc>
          <w:tcPr>
            <w:tcW w:w="492" w:type="pct"/>
            <w:tcMar>
              <w:top w:w="85" w:type="dxa"/>
              <w:left w:w="85" w:type="dxa"/>
              <w:bottom w:w="85" w:type="dxa"/>
              <w:right w:w="85" w:type="dxa"/>
            </w:tcMar>
          </w:tcPr>
          <w:p w14:paraId="68C46DEC"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52B9DA9D" w14:textId="77777777" w:rsidR="00342C07" w:rsidRPr="00630129" w:rsidRDefault="00342C07" w:rsidP="00F60AD8">
            <w:pPr>
              <w:rPr>
                <w:sz w:val="22"/>
                <w:szCs w:val="22"/>
              </w:rPr>
            </w:pPr>
            <w:r w:rsidRPr="00630129">
              <w:rPr>
                <w:sz w:val="22"/>
                <w:szCs w:val="22"/>
              </w:rPr>
              <w:t>The amount determined in accordance with Section T4.7.3.</w:t>
            </w:r>
          </w:p>
        </w:tc>
      </w:tr>
      <w:tr w:rsidR="00342C07" w:rsidRPr="00630129" w14:paraId="26AB6B4D" w14:textId="77777777" w:rsidTr="00A63BA8">
        <w:trPr>
          <w:cantSplit/>
        </w:trPr>
        <w:tc>
          <w:tcPr>
            <w:tcW w:w="994" w:type="pct"/>
            <w:tcMar>
              <w:top w:w="85" w:type="dxa"/>
              <w:left w:w="85" w:type="dxa"/>
              <w:bottom w:w="85" w:type="dxa"/>
              <w:right w:w="85" w:type="dxa"/>
            </w:tcMar>
          </w:tcPr>
          <w:p w14:paraId="2E3E44A4" w14:textId="77777777" w:rsidR="00342C07" w:rsidRPr="00630129" w:rsidRDefault="00342C07" w:rsidP="00F60AD8">
            <w:pPr>
              <w:rPr>
                <w:sz w:val="22"/>
                <w:szCs w:val="22"/>
              </w:rPr>
            </w:pPr>
            <w:r w:rsidRPr="00630129">
              <w:rPr>
                <w:sz w:val="22"/>
                <w:szCs w:val="22"/>
              </w:rPr>
              <w:t>Daily Party Information Imbalance Charge</w:t>
            </w:r>
          </w:p>
        </w:tc>
        <w:tc>
          <w:tcPr>
            <w:tcW w:w="974" w:type="pct"/>
            <w:tcMar>
              <w:top w:w="85" w:type="dxa"/>
              <w:left w:w="85" w:type="dxa"/>
              <w:bottom w:w="85" w:type="dxa"/>
              <w:right w:w="85" w:type="dxa"/>
            </w:tcMar>
          </w:tcPr>
          <w:p w14:paraId="25DC21A5" w14:textId="77777777" w:rsidR="00342C07" w:rsidRPr="00630129" w:rsidRDefault="00342C07" w:rsidP="00F60AD8">
            <w:pPr>
              <w:rPr>
                <w:sz w:val="22"/>
                <w:szCs w:val="22"/>
                <w:vertAlign w:val="subscript"/>
              </w:rPr>
            </w:pPr>
            <w:proofErr w:type="spellStart"/>
            <w:r w:rsidRPr="00630129">
              <w:rPr>
                <w:sz w:val="22"/>
                <w:szCs w:val="22"/>
              </w:rPr>
              <w:t>CII</w:t>
            </w:r>
            <w:r w:rsidRPr="00630129">
              <w:rPr>
                <w:sz w:val="22"/>
                <w:szCs w:val="22"/>
                <w:vertAlign w:val="subscript"/>
              </w:rPr>
              <w:t>p</w:t>
            </w:r>
            <w:proofErr w:type="spellEnd"/>
          </w:p>
        </w:tc>
        <w:tc>
          <w:tcPr>
            <w:tcW w:w="492" w:type="pct"/>
            <w:tcMar>
              <w:top w:w="85" w:type="dxa"/>
              <w:left w:w="85" w:type="dxa"/>
              <w:bottom w:w="85" w:type="dxa"/>
              <w:right w:w="85" w:type="dxa"/>
            </w:tcMar>
          </w:tcPr>
          <w:p w14:paraId="09037729"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64FF068E" w14:textId="77777777" w:rsidR="00342C07" w:rsidRPr="00630129" w:rsidRDefault="00342C07" w:rsidP="00F60AD8">
            <w:pPr>
              <w:rPr>
                <w:sz w:val="22"/>
                <w:szCs w:val="22"/>
              </w:rPr>
            </w:pPr>
            <w:r w:rsidRPr="00630129">
              <w:rPr>
                <w:sz w:val="22"/>
                <w:szCs w:val="22"/>
              </w:rPr>
              <w:t>The amount determined in accordance with Section T4.3.8.</w:t>
            </w:r>
          </w:p>
        </w:tc>
      </w:tr>
      <w:tr w:rsidR="00342C07" w:rsidRPr="00630129" w14:paraId="55F7C21C" w14:textId="77777777" w:rsidTr="00A63BA8">
        <w:trPr>
          <w:cantSplit/>
        </w:trPr>
        <w:tc>
          <w:tcPr>
            <w:tcW w:w="994" w:type="pct"/>
            <w:tcMar>
              <w:top w:w="85" w:type="dxa"/>
              <w:left w:w="85" w:type="dxa"/>
              <w:bottom w:w="85" w:type="dxa"/>
              <w:right w:w="85" w:type="dxa"/>
            </w:tcMar>
          </w:tcPr>
          <w:p w14:paraId="19402A2A" w14:textId="77777777" w:rsidR="00342C07" w:rsidRPr="00630129" w:rsidRDefault="00342C07" w:rsidP="00F60AD8">
            <w:pPr>
              <w:rPr>
                <w:sz w:val="22"/>
                <w:szCs w:val="22"/>
              </w:rPr>
            </w:pPr>
            <w:r w:rsidRPr="00630129">
              <w:rPr>
                <w:sz w:val="22"/>
                <w:szCs w:val="22"/>
              </w:rPr>
              <w:lastRenderedPageBreak/>
              <w:t>Daily Party Non-Delivery Charge</w:t>
            </w:r>
          </w:p>
        </w:tc>
        <w:tc>
          <w:tcPr>
            <w:tcW w:w="974" w:type="pct"/>
            <w:tcMar>
              <w:top w:w="85" w:type="dxa"/>
              <w:left w:w="85" w:type="dxa"/>
              <w:bottom w:w="85" w:type="dxa"/>
              <w:right w:w="85" w:type="dxa"/>
            </w:tcMar>
          </w:tcPr>
          <w:p w14:paraId="4D9E41C8" w14:textId="77777777" w:rsidR="00342C07" w:rsidRPr="00630129" w:rsidRDefault="00342C07" w:rsidP="00F60AD8">
            <w:pPr>
              <w:rPr>
                <w:sz w:val="22"/>
                <w:szCs w:val="22"/>
              </w:rPr>
            </w:pPr>
            <w:proofErr w:type="spellStart"/>
            <w:r w:rsidRPr="00630129">
              <w:rPr>
                <w:sz w:val="22"/>
                <w:szCs w:val="22"/>
              </w:rPr>
              <w:t>CND</w:t>
            </w:r>
            <w:r w:rsidRPr="00630129">
              <w:rPr>
                <w:sz w:val="22"/>
                <w:szCs w:val="22"/>
                <w:vertAlign w:val="subscript"/>
              </w:rPr>
              <w:t>p</w:t>
            </w:r>
            <w:proofErr w:type="spellEnd"/>
          </w:p>
        </w:tc>
        <w:tc>
          <w:tcPr>
            <w:tcW w:w="492" w:type="pct"/>
            <w:tcMar>
              <w:top w:w="85" w:type="dxa"/>
              <w:left w:w="85" w:type="dxa"/>
              <w:bottom w:w="85" w:type="dxa"/>
              <w:right w:w="85" w:type="dxa"/>
            </w:tcMar>
          </w:tcPr>
          <w:p w14:paraId="4B4E7C28"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1CFDF6F4" w14:textId="77777777" w:rsidR="00342C07" w:rsidRPr="00630129" w:rsidRDefault="00342C07" w:rsidP="00F60AD8">
            <w:pPr>
              <w:rPr>
                <w:sz w:val="22"/>
                <w:szCs w:val="22"/>
              </w:rPr>
            </w:pPr>
            <w:r w:rsidRPr="00630129">
              <w:rPr>
                <w:sz w:val="22"/>
                <w:szCs w:val="22"/>
              </w:rPr>
              <w:t>The amount determined in accordance with Section T4.8.15</w:t>
            </w:r>
          </w:p>
        </w:tc>
      </w:tr>
      <w:tr w:rsidR="00342C07" w:rsidRPr="00630129" w14:paraId="5FA0ABD4" w14:textId="77777777" w:rsidTr="00A63BA8">
        <w:trPr>
          <w:cantSplit/>
        </w:trPr>
        <w:tc>
          <w:tcPr>
            <w:tcW w:w="994" w:type="pct"/>
            <w:tcMar>
              <w:top w:w="85" w:type="dxa"/>
              <w:left w:w="85" w:type="dxa"/>
              <w:bottom w:w="85" w:type="dxa"/>
              <w:right w:w="85" w:type="dxa"/>
            </w:tcMar>
          </w:tcPr>
          <w:p w14:paraId="1CDE935A" w14:textId="77777777" w:rsidR="00342C07" w:rsidRPr="00630129" w:rsidRDefault="00342C07" w:rsidP="00F60AD8">
            <w:pPr>
              <w:rPr>
                <w:sz w:val="22"/>
                <w:szCs w:val="22"/>
              </w:rPr>
            </w:pPr>
            <w:r w:rsidRPr="00630129">
              <w:rPr>
                <w:sz w:val="22"/>
                <w:szCs w:val="22"/>
              </w:rPr>
              <w:t xml:space="preserve">Daily Party Residual Settlement </w:t>
            </w:r>
            <w:proofErr w:type="spellStart"/>
            <w:r w:rsidRPr="00630129">
              <w:rPr>
                <w:sz w:val="22"/>
                <w:szCs w:val="22"/>
              </w:rPr>
              <w:t>Cashflow</w:t>
            </w:r>
            <w:proofErr w:type="spellEnd"/>
          </w:p>
        </w:tc>
        <w:tc>
          <w:tcPr>
            <w:tcW w:w="974" w:type="pct"/>
            <w:tcMar>
              <w:top w:w="85" w:type="dxa"/>
              <w:left w:w="85" w:type="dxa"/>
              <w:bottom w:w="85" w:type="dxa"/>
              <w:right w:w="85" w:type="dxa"/>
            </w:tcMar>
          </w:tcPr>
          <w:p w14:paraId="21C79BBE" w14:textId="77777777" w:rsidR="00342C07" w:rsidRPr="00630129" w:rsidRDefault="00342C07" w:rsidP="00F60AD8">
            <w:pPr>
              <w:rPr>
                <w:sz w:val="22"/>
                <w:szCs w:val="22"/>
              </w:rPr>
            </w:pPr>
            <w:proofErr w:type="spellStart"/>
            <w:r w:rsidRPr="00630129">
              <w:rPr>
                <w:sz w:val="22"/>
                <w:szCs w:val="22"/>
              </w:rPr>
              <w:t>RCRC</w:t>
            </w:r>
            <w:r w:rsidRPr="00630129">
              <w:rPr>
                <w:sz w:val="22"/>
                <w:szCs w:val="22"/>
                <w:vertAlign w:val="subscript"/>
              </w:rPr>
              <w:t>p</w:t>
            </w:r>
            <w:proofErr w:type="spellEnd"/>
          </w:p>
        </w:tc>
        <w:tc>
          <w:tcPr>
            <w:tcW w:w="492" w:type="pct"/>
            <w:tcMar>
              <w:top w:w="85" w:type="dxa"/>
              <w:left w:w="85" w:type="dxa"/>
              <w:bottom w:w="85" w:type="dxa"/>
              <w:right w:w="85" w:type="dxa"/>
            </w:tcMar>
          </w:tcPr>
          <w:p w14:paraId="01AE9CC5"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22C0F5C1" w14:textId="77777777" w:rsidR="00342C07" w:rsidRPr="00630129" w:rsidRDefault="00342C07" w:rsidP="00F60AD8">
            <w:pPr>
              <w:rPr>
                <w:sz w:val="22"/>
                <w:szCs w:val="22"/>
              </w:rPr>
            </w:pPr>
            <w:r w:rsidRPr="00630129">
              <w:rPr>
                <w:sz w:val="22"/>
                <w:szCs w:val="22"/>
              </w:rPr>
              <w:t>The amount determined in accordance with Section T4.10.4.</w:t>
            </w:r>
          </w:p>
        </w:tc>
      </w:tr>
      <w:tr w:rsidR="00342C07" w:rsidRPr="00630129" w14:paraId="376EFF0C" w14:textId="77777777" w:rsidTr="00A63BA8">
        <w:trPr>
          <w:cantSplit/>
        </w:trPr>
        <w:tc>
          <w:tcPr>
            <w:tcW w:w="994" w:type="pct"/>
            <w:tcMar>
              <w:top w:w="85" w:type="dxa"/>
              <w:left w:w="85" w:type="dxa"/>
              <w:bottom w:w="85" w:type="dxa"/>
              <w:right w:w="85" w:type="dxa"/>
            </w:tcMar>
          </w:tcPr>
          <w:p w14:paraId="31ECD622" w14:textId="77777777" w:rsidR="00342C07" w:rsidRPr="00630129" w:rsidRDefault="00342C07" w:rsidP="00F60AD8">
            <w:pPr>
              <w:rPr>
                <w:sz w:val="22"/>
                <w:szCs w:val="22"/>
              </w:rPr>
            </w:pPr>
            <w:r w:rsidRPr="00630129">
              <w:rPr>
                <w:sz w:val="22"/>
                <w:szCs w:val="22"/>
              </w:rPr>
              <w:t xml:space="preserve">Daily Party RR </w:t>
            </w:r>
            <w:proofErr w:type="spellStart"/>
            <w:r w:rsidRPr="00630129">
              <w:rPr>
                <w:sz w:val="22"/>
                <w:szCs w:val="22"/>
              </w:rPr>
              <w:t>Cashflow</w:t>
            </w:r>
            <w:proofErr w:type="spellEnd"/>
          </w:p>
        </w:tc>
        <w:tc>
          <w:tcPr>
            <w:tcW w:w="974" w:type="pct"/>
            <w:tcMar>
              <w:top w:w="85" w:type="dxa"/>
              <w:left w:w="85" w:type="dxa"/>
              <w:bottom w:w="85" w:type="dxa"/>
              <w:right w:w="85" w:type="dxa"/>
            </w:tcMar>
          </w:tcPr>
          <w:p w14:paraId="65DFA254" w14:textId="77777777" w:rsidR="00342C07" w:rsidRPr="00630129" w:rsidRDefault="00342C07" w:rsidP="00F60AD8">
            <w:pPr>
              <w:rPr>
                <w:sz w:val="22"/>
                <w:szCs w:val="22"/>
              </w:rPr>
            </w:pPr>
            <w:proofErr w:type="spellStart"/>
            <w:r w:rsidRPr="00630129">
              <w:rPr>
                <w:sz w:val="22"/>
                <w:szCs w:val="22"/>
              </w:rPr>
              <w:t>CRR</w:t>
            </w:r>
            <w:r w:rsidRPr="00630129">
              <w:rPr>
                <w:sz w:val="22"/>
                <w:szCs w:val="22"/>
                <w:vertAlign w:val="subscript"/>
              </w:rPr>
              <w:t>p</w:t>
            </w:r>
            <w:proofErr w:type="spellEnd"/>
          </w:p>
        </w:tc>
        <w:tc>
          <w:tcPr>
            <w:tcW w:w="492" w:type="pct"/>
            <w:tcMar>
              <w:top w:w="85" w:type="dxa"/>
              <w:left w:w="85" w:type="dxa"/>
              <w:bottom w:w="85" w:type="dxa"/>
              <w:right w:w="85" w:type="dxa"/>
            </w:tcMar>
          </w:tcPr>
          <w:p w14:paraId="4F635166"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30368A93" w14:textId="77777777" w:rsidR="00342C07" w:rsidRPr="00630129" w:rsidRDefault="00342C07" w:rsidP="00F60AD8">
            <w:pPr>
              <w:rPr>
                <w:sz w:val="22"/>
                <w:szCs w:val="22"/>
              </w:rPr>
            </w:pPr>
            <w:r w:rsidRPr="00630129">
              <w:rPr>
                <w:sz w:val="22"/>
                <w:szCs w:val="22"/>
              </w:rPr>
              <w:t>The amount determined in accordance with T3.25.2.</w:t>
            </w:r>
          </w:p>
        </w:tc>
      </w:tr>
      <w:tr w:rsidR="00342C07" w:rsidRPr="00630129" w14:paraId="5148DAA5" w14:textId="77777777" w:rsidTr="00A63BA8">
        <w:trPr>
          <w:cantSplit/>
        </w:trPr>
        <w:tc>
          <w:tcPr>
            <w:tcW w:w="994" w:type="pct"/>
            <w:tcMar>
              <w:top w:w="85" w:type="dxa"/>
              <w:left w:w="85" w:type="dxa"/>
              <w:bottom w:w="85" w:type="dxa"/>
              <w:right w:w="85" w:type="dxa"/>
            </w:tcMar>
          </w:tcPr>
          <w:p w14:paraId="383B3A70" w14:textId="77777777" w:rsidR="00342C07" w:rsidRPr="00630129" w:rsidRDefault="00342C07" w:rsidP="00F60AD8">
            <w:pPr>
              <w:rPr>
                <w:sz w:val="22"/>
                <w:szCs w:val="22"/>
              </w:rPr>
            </w:pPr>
            <w:r w:rsidRPr="00630129">
              <w:rPr>
                <w:sz w:val="22"/>
                <w:szCs w:val="22"/>
              </w:rPr>
              <w:t xml:space="preserve">Daily Party RR Instruction Deviation </w:t>
            </w:r>
            <w:proofErr w:type="spellStart"/>
            <w:r w:rsidRPr="00630129">
              <w:rPr>
                <w:sz w:val="22"/>
                <w:szCs w:val="22"/>
              </w:rPr>
              <w:t>Cashflow</w:t>
            </w:r>
            <w:proofErr w:type="spellEnd"/>
          </w:p>
        </w:tc>
        <w:tc>
          <w:tcPr>
            <w:tcW w:w="974" w:type="pct"/>
            <w:tcMar>
              <w:top w:w="85" w:type="dxa"/>
              <w:left w:w="85" w:type="dxa"/>
              <w:bottom w:w="85" w:type="dxa"/>
              <w:right w:w="85" w:type="dxa"/>
            </w:tcMar>
          </w:tcPr>
          <w:p w14:paraId="533DB4AD" w14:textId="77777777" w:rsidR="00342C07" w:rsidRPr="00630129" w:rsidRDefault="00342C07" w:rsidP="00F60AD8">
            <w:pPr>
              <w:rPr>
                <w:sz w:val="22"/>
                <w:szCs w:val="22"/>
              </w:rPr>
            </w:pPr>
            <w:proofErr w:type="spellStart"/>
            <w:r w:rsidRPr="00630129">
              <w:rPr>
                <w:sz w:val="22"/>
              </w:rPr>
              <w:t>CDR</w:t>
            </w:r>
            <w:r w:rsidRPr="00630129">
              <w:rPr>
                <w:sz w:val="22"/>
                <w:vertAlign w:val="subscript"/>
              </w:rPr>
              <w:t>p</w:t>
            </w:r>
            <w:proofErr w:type="spellEnd"/>
          </w:p>
        </w:tc>
        <w:tc>
          <w:tcPr>
            <w:tcW w:w="492" w:type="pct"/>
            <w:tcMar>
              <w:top w:w="85" w:type="dxa"/>
              <w:left w:w="85" w:type="dxa"/>
              <w:bottom w:w="85" w:type="dxa"/>
              <w:right w:w="85" w:type="dxa"/>
            </w:tcMar>
          </w:tcPr>
          <w:p w14:paraId="01493076"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6FD4C9A6" w14:textId="77777777" w:rsidR="00342C07" w:rsidRPr="00630129" w:rsidRDefault="00342C07" w:rsidP="00F60AD8">
            <w:pPr>
              <w:rPr>
                <w:sz w:val="22"/>
                <w:szCs w:val="22"/>
              </w:rPr>
            </w:pPr>
            <w:r w:rsidRPr="00630129">
              <w:rPr>
                <w:sz w:val="22"/>
                <w:szCs w:val="22"/>
              </w:rPr>
              <w:t>The amount determined in accordance with T3.25.3.</w:t>
            </w:r>
          </w:p>
        </w:tc>
      </w:tr>
      <w:tr w:rsidR="00342C07" w:rsidRPr="00630129" w14:paraId="7E226387" w14:textId="77777777" w:rsidTr="00A63BA8">
        <w:trPr>
          <w:cantSplit/>
        </w:trPr>
        <w:tc>
          <w:tcPr>
            <w:tcW w:w="994" w:type="pct"/>
            <w:tcMar>
              <w:top w:w="85" w:type="dxa"/>
              <w:left w:w="85" w:type="dxa"/>
              <w:bottom w:w="85" w:type="dxa"/>
              <w:right w:w="85" w:type="dxa"/>
            </w:tcMar>
          </w:tcPr>
          <w:p w14:paraId="72F8BC30" w14:textId="77777777" w:rsidR="00342C07" w:rsidRPr="00630129" w:rsidRDefault="00342C07" w:rsidP="00F60AD8">
            <w:pPr>
              <w:rPr>
                <w:sz w:val="22"/>
                <w:szCs w:val="22"/>
              </w:rPr>
            </w:pPr>
            <w:r w:rsidRPr="00630129">
              <w:rPr>
                <w:sz w:val="22"/>
                <w:szCs w:val="22"/>
              </w:rPr>
              <w:t xml:space="preserve">Daily System Operator </w:t>
            </w:r>
            <w:proofErr w:type="spellStart"/>
            <w:r w:rsidRPr="00630129">
              <w:rPr>
                <w:sz w:val="22"/>
                <w:szCs w:val="22"/>
              </w:rPr>
              <w:t>Cashflow</w:t>
            </w:r>
            <w:proofErr w:type="spellEnd"/>
          </w:p>
        </w:tc>
        <w:tc>
          <w:tcPr>
            <w:tcW w:w="974" w:type="pct"/>
            <w:tcMar>
              <w:top w:w="85" w:type="dxa"/>
              <w:left w:w="85" w:type="dxa"/>
              <w:bottom w:w="85" w:type="dxa"/>
              <w:right w:w="85" w:type="dxa"/>
            </w:tcMar>
          </w:tcPr>
          <w:p w14:paraId="4B586BE2" w14:textId="77777777" w:rsidR="00342C07" w:rsidRPr="00630129" w:rsidRDefault="00342C07" w:rsidP="00F60AD8">
            <w:pPr>
              <w:rPr>
                <w:sz w:val="22"/>
                <w:szCs w:val="22"/>
              </w:rPr>
            </w:pPr>
            <w:r w:rsidRPr="00630129">
              <w:rPr>
                <w:sz w:val="22"/>
                <w:szCs w:val="22"/>
              </w:rPr>
              <w:t>CSO</w:t>
            </w:r>
          </w:p>
        </w:tc>
        <w:tc>
          <w:tcPr>
            <w:tcW w:w="492" w:type="pct"/>
            <w:tcMar>
              <w:top w:w="85" w:type="dxa"/>
              <w:left w:w="85" w:type="dxa"/>
              <w:bottom w:w="85" w:type="dxa"/>
              <w:right w:w="85" w:type="dxa"/>
            </w:tcMar>
          </w:tcPr>
          <w:p w14:paraId="1A2F8D0D"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2D42FE4C" w14:textId="77777777" w:rsidR="00342C07" w:rsidRPr="00630129" w:rsidRDefault="00342C07" w:rsidP="00F60AD8">
            <w:pPr>
              <w:rPr>
                <w:sz w:val="22"/>
                <w:szCs w:val="22"/>
              </w:rPr>
            </w:pPr>
            <w:r w:rsidRPr="00630129">
              <w:rPr>
                <w:sz w:val="22"/>
                <w:szCs w:val="22"/>
              </w:rPr>
              <w:t>The amount determined in accordance with Section T4.9.2.</w:t>
            </w:r>
          </w:p>
        </w:tc>
      </w:tr>
      <w:tr w:rsidR="00342C07" w:rsidRPr="00630129" w14:paraId="0CD6C455" w14:textId="77777777" w:rsidTr="00A63BA8">
        <w:trPr>
          <w:cantSplit/>
        </w:trPr>
        <w:tc>
          <w:tcPr>
            <w:tcW w:w="994" w:type="pct"/>
            <w:tcMar>
              <w:top w:w="85" w:type="dxa"/>
              <w:left w:w="85" w:type="dxa"/>
              <w:bottom w:w="85" w:type="dxa"/>
              <w:right w:w="85" w:type="dxa"/>
            </w:tcMar>
          </w:tcPr>
          <w:p w14:paraId="08511B8C" w14:textId="77777777" w:rsidR="00342C07" w:rsidRPr="00630129" w:rsidRDefault="00342C07" w:rsidP="00F60AD8">
            <w:pPr>
              <w:rPr>
                <w:sz w:val="22"/>
                <w:szCs w:val="22"/>
              </w:rPr>
            </w:pPr>
            <w:r w:rsidRPr="00630129">
              <w:rPr>
                <w:sz w:val="22"/>
                <w:szCs w:val="22"/>
              </w:rPr>
              <w:t>DC Limits</w:t>
            </w:r>
          </w:p>
        </w:tc>
        <w:tc>
          <w:tcPr>
            <w:tcW w:w="974" w:type="pct"/>
            <w:tcMar>
              <w:top w:w="85" w:type="dxa"/>
              <w:left w:w="85" w:type="dxa"/>
              <w:bottom w:w="85" w:type="dxa"/>
              <w:right w:w="85" w:type="dxa"/>
            </w:tcMar>
          </w:tcPr>
          <w:p w14:paraId="2A9A73BF"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02572E79" w14:textId="77777777" w:rsidR="00342C07" w:rsidRPr="00630129" w:rsidRDefault="00342C07" w:rsidP="00F60AD8">
            <w:pPr>
              <w:rPr>
                <w:sz w:val="22"/>
                <w:szCs w:val="22"/>
              </w:rPr>
            </w:pPr>
            <w:r w:rsidRPr="00630129">
              <w:rPr>
                <w:sz w:val="22"/>
                <w:szCs w:val="22"/>
              </w:rPr>
              <w:t>MW and/or %</w:t>
            </w:r>
          </w:p>
        </w:tc>
        <w:tc>
          <w:tcPr>
            <w:tcW w:w="2540" w:type="pct"/>
            <w:tcMar>
              <w:top w:w="85" w:type="dxa"/>
              <w:left w:w="85" w:type="dxa"/>
              <w:bottom w:w="85" w:type="dxa"/>
              <w:right w:w="85" w:type="dxa"/>
            </w:tcMar>
          </w:tcPr>
          <w:p w14:paraId="659E8164" w14:textId="77777777" w:rsidR="00342C07" w:rsidRPr="00630129" w:rsidRDefault="00342C07" w:rsidP="00F60AD8">
            <w:pPr>
              <w:rPr>
                <w:sz w:val="22"/>
                <w:szCs w:val="22"/>
              </w:rPr>
            </w:pPr>
            <w:r w:rsidRPr="00630129">
              <w:rPr>
                <w:sz w:val="22"/>
                <w:szCs w:val="22"/>
              </w:rPr>
              <w:t>Is defined in Section X-1.</w:t>
            </w:r>
          </w:p>
        </w:tc>
      </w:tr>
      <w:tr w:rsidR="00342C07" w:rsidRPr="00630129" w14:paraId="544987AB" w14:textId="77777777" w:rsidTr="00A63BA8">
        <w:trPr>
          <w:cantSplit/>
        </w:trPr>
        <w:tc>
          <w:tcPr>
            <w:tcW w:w="994" w:type="pct"/>
            <w:tcMar>
              <w:top w:w="85" w:type="dxa"/>
              <w:left w:w="85" w:type="dxa"/>
              <w:bottom w:w="85" w:type="dxa"/>
              <w:right w:w="85" w:type="dxa"/>
            </w:tcMar>
          </w:tcPr>
          <w:p w14:paraId="2636A3AF" w14:textId="77777777" w:rsidR="00342C07" w:rsidRPr="00630129" w:rsidRDefault="00342C07" w:rsidP="00F60AD8">
            <w:pPr>
              <w:rPr>
                <w:sz w:val="22"/>
                <w:szCs w:val="22"/>
              </w:rPr>
            </w:pPr>
            <w:r w:rsidRPr="00630129">
              <w:rPr>
                <w:sz w:val="22"/>
                <w:szCs w:val="22"/>
              </w:rPr>
              <w:t>De Minimis Acceptance Threshold</w:t>
            </w:r>
          </w:p>
        </w:tc>
        <w:tc>
          <w:tcPr>
            <w:tcW w:w="974" w:type="pct"/>
            <w:tcMar>
              <w:top w:w="85" w:type="dxa"/>
              <w:left w:w="85" w:type="dxa"/>
              <w:bottom w:w="85" w:type="dxa"/>
              <w:right w:w="85" w:type="dxa"/>
            </w:tcMar>
          </w:tcPr>
          <w:p w14:paraId="193229E6" w14:textId="77777777" w:rsidR="00342C07" w:rsidRPr="00630129" w:rsidRDefault="00342C07" w:rsidP="00F60AD8">
            <w:pPr>
              <w:rPr>
                <w:sz w:val="22"/>
                <w:szCs w:val="22"/>
              </w:rPr>
            </w:pPr>
            <w:r w:rsidRPr="00630129">
              <w:rPr>
                <w:sz w:val="22"/>
                <w:szCs w:val="22"/>
              </w:rPr>
              <w:t>DMAT</w:t>
            </w:r>
          </w:p>
        </w:tc>
        <w:tc>
          <w:tcPr>
            <w:tcW w:w="492" w:type="pct"/>
            <w:tcMar>
              <w:top w:w="85" w:type="dxa"/>
              <w:left w:w="85" w:type="dxa"/>
              <w:bottom w:w="85" w:type="dxa"/>
              <w:right w:w="85" w:type="dxa"/>
            </w:tcMar>
          </w:tcPr>
          <w:p w14:paraId="347E0E4F"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62F7B78D" w14:textId="77777777" w:rsidR="00342C07" w:rsidRPr="00630129" w:rsidRDefault="00342C07" w:rsidP="00F60AD8">
            <w:pPr>
              <w:rPr>
                <w:sz w:val="22"/>
                <w:szCs w:val="22"/>
              </w:rPr>
            </w:pPr>
            <w:r w:rsidRPr="00630129">
              <w:rPr>
                <w:sz w:val="22"/>
                <w:szCs w:val="22"/>
              </w:rPr>
              <w:t>The value established and from time to time revised and approved in accordance with Section T1.8.</w:t>
            </w:r>
          </w:p>
        </w:tc>
      </w:tr>
      <w:tr w:rsidR="00342C07" w:rsidRPr="00630129" w14:paraId="1CD16CFC" w14:textId="77777777" w:rsidTr="00A63BA8">
        <w:trPr>
          <w:cantSplit/>
        </w:trPr>
        <w:tc>
          <w:tcPr>
            <w:tcW w:w="994" w:type="pct"/>
            <w:tcMar>
              <w:top w:w="85" w:type="dxa"/>
              <w:left w:w="85" w:type="dxa"/>
              <w:bottom w:w="85" w:type="dxa"/>
              <w:right w:w="85" w:type="dxa"/>
            </w:tcMar>
          </w:tcPr>
          <w:p w14:paraId="23E69718" w14:textId="77777777" w:rsidR="00342C07" w:rsidRPr="00630129" w:rsidRDefault="00342C07" w:rsidP="00F60AD8">
            <w:pPr>
              <w:rPr>
                <w:sz w:val="22"/>
                <w:szCs w:val="22"/>
              </w:rPr>
            </w:pPr>
            <w:r w:rsidRPr="00630129">
              <w:rPr>
                <w:sz w:val="22"/>
                <w:szCs w:val="22"/>
              </w:rPr>
              <w:t>De Minimis Tagged</w:t>
            </w:r>
          </w:p>
        </w:tc>
        <w:tc>
          <w:tcPr>
            <w:tcW w:w="974" w:type="pct"/>
            <w:tcMar>
              <w:top w:w="85" w:type="dxa"/>
              <w:left w:w="85" w:type="dxa"/>
              <w:bottom w:w="85" w:type="dxa"/>
              <w:right w:w="85" w:type="dxa"/>
            </w:tcMar>
          </w:tcPr>
          <w:p w14:paraId="603F43BE"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7616A98F"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5E73D579" w14:textId="77777777" w:rsidR="00342C07" w:rsidRPr="00630129" w:rsidRDefault="00342C07" w:rsidP="00F60AD8">
            <w:pPr>
              <w:rPr>
                <w:sz w:val="22"/>
                <w:szCs w:val="22"/>
              </w:rPr>
            </w:pPr>
            <w:r w:rsidRPr="00630129">
              <w:rPr>
                <w:sz w:val="22"/>
                <w:szCs w:val="22"/>
              </w:rPr>
              <w:t>De Minimis Tagged as provided in paragraph 6 of Part 1 of Annex T-1.</w:t>
            </w:r>
          </w:p>
        </w:tc>
      </w:tr>
      <w:tr w:rsidR="00342C07" w:rsidRPr="00630129" w14:paraId="3728F988" w14:textId="77777777" w:rsidTr="00A63BA8">
        <w:trPr>
          <w:cantSplit/>
        </w:trPr>
        <w:tc>
          <w:tcPr>
            <w:tcW w:w="994" w:type="pct"/>
            <w:tcMar>
              <w:top w:w="85" w:type="dxa"/>
              <w:left w:w="85" w:type="dxa"/>
              <w:bottom w:w="85" w:type="dxa"/>
              <w:right w:w="85" w:type="dxa"/>
            </w:tcMar>
          </w:tcPr>
          <w:p w14:paraId="294EB3D9" w14:textId="77777777" w:rsidR="00342C07" w:rsidRPr="00630129" w:rsidRDefault="00342C07" w:rsidP="00F60AD8">
            <w:pPr>
              <w:rPr>
                <w:sz w:val="22"/>
              </w:rPr>
            </w:pPr>
            <w:r w:rsidRPr="00630129">
              <w:rPr>
                <w:sz w:val="22"/>
              </w:rPr>
              <w:t>Deemed Standard Product Bid Volume</w:t>
            </w:r>
          </w:p>
        </w:tc>
        <w:tc>
          <w:tcPr>
            <w:tcW w:w="974" w:type="pct"/>
            <w:tcMar>
              <w:top w:w="85" w:type="dxa"/>
              <w:left w:w="85" w:type="dxa"/>
              <w:bottom w:w="85" w:type="dxa"/>
              <w:right w:w="85" w:type="dxa"/>
            </w:tcMar>
          </w:tcPr>
          <w:p w14:paraId="4B565D6E" w14:textId="77777777" w:rsidR="00342C07" w:rsidRPr="00630129" w:rsidRDefault="00342C07" w:rsidP="00F60AD8">
            <w:pPr>
              <w:rPr>
                <w:sz w:val="22"/>
              </w:rPr>
            </w:pPr>
            <w:proofErr w:type="spellStart"/>
            <w:r w:rsidRPr="00630129">
              <w:rPr>
                <w:sz w:val="22"/>
              </w:rPr>
              <w:t>qDSPB</w:t>
            </w:r>
            <w:r w:rsidRPr="00630129">
              <w:rPr>
                <w:sz w:val="22"/>
                <w:vertAlign w:val="superscript"/>
              </w:rPr>
              <w:t>J</w:t>
            </w:r>
            <w:r w:rsidRPr="00630129">
              <w:rPr>
                <w:sz w:val="22"/>
                <w:vertAlign w:val="subscript"/>
              </w:rPr>
              <w:t>ij</w:t>
            </w:r>
            <w:proofErr w:type="spellEnd"/>
            <w:r w:rsidRPr="00630129">
              <w:rPr>
                <w:sz w:val="22"/>
              </w:rPr>
              <w:t>(t)</w:t>
            </w:r>
          </w:p>
        </w:tc>
        <w:tc>
          <w:tcPr>
            <w:tcW w:w="492" w:type="pct"/>
            <w:tcMar>
              <w:top w:w="85" w:type="dxa"/>
              <w:left w:w="85" w:type="dxa"/>
              <w:bottom w:w="85" w:type="dxa"/>
              <w:right w:w="85" w:type="dxa"/>
            </w:tcMar>
          </w:tcPr>
          <w:p w14:paraId="4B4B1762"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1ACCDCF3" w14:textId="77777777" w:rsidR="00342C07" w:rsidRPr="00630129" w:rsidRDefault="00342C07" w:rsidP="00F60AD8">
            <w:pPr>
              <w:spacing w:after="120"/>
              <w:rPr>
                <w:sz w:val="22"/>
                <w:szCs w:val="22"/>
              </w:rPr>
            </w:pPr>
            <w:r w:rsidRPr="00630129">
              <w:rPr>
                <w:sz w:val="22"/>
                <w:szCs w:val="22"/>
              </w:rPr>
              <w:t>The quantity established in accordance with Section T3.19.2.</w:t>
            </w:r>
          </w:p>
          <w:p w14:paraId="404521A8" w14:textId="77777777" w:rsidR="00342C07" w:rsidRPr="00630129" w:rsidRDefault="00342C07" w:rsidP="00F60AD8">
            <w:pPr>
              <w:rPr>
                <w:sz w:val="22"/>
                <w:szCs w:val="22"/>
              </w:rPr>
            </w:pPr>
            <w:r w:rsidRPr="00630129">
              <w:rPr>
                <w:i/>
                <w:sz w:val="22"/>
                <w:szCs w:val="22"/>
              </w:rPr>
              <w:t xml:space="preserve">The Deemed Standard Product Bid Volume is the quantity of Bid being the negative part of the Deemed Standard Product Volume created as a result of a Quarter Hour RR Activation from BM Unit </w:t>
            </w:r>
            <w:proofErr w:type="spellStart"/>
            <w:r w:rsidRPr="00630129">
              <w:rPr>
                <w:i/>
                <w:sz w:val="22"/>
                <w:szCs w:val="22"/>
              </w:rPr>
              <w:t>i</w:t>
            </w:r>
            <w:proofErr w:type="spellEnd"/>
            <w:r w:rsidRPr="00630129">
              <w:rPr>
                <w:i/>
                <w:sz w:val="22"/>
                <w:szCs w:val="22"/>
              </w:rPr>
              <w:t xml:space="preserve"> at spot times t in Quarter Hour J</w:t>
            </w:r>
            <w:r w:rsidRPr="00630129">
              <w:rPr>
                <w:sz w:val="22"/>
                <w:szCs w:val="22"/>
              </w:rPr>
              <w:t>.</w:t>
            </w:r>
          </w:p>
        </w:tc>
      </w:tr>
      <w:tr w:rsidR="00342C07" w:rsidRPr="00630129" w14:paraId="3FA503B5" w14:textId="77777777" w:rsidTr="00A63BA8">
        <w:trPr>
          <w:cantSplit/>
        </w:trPr>
        <w:tc>
          <w:tcPr>
            <w:tcW w:w="994" w:type="pct"/>
            <w:tcMar>
              <w:top w:w="85" w:type="dxa"/>
              <w:left w:w="85" w:type="dxa"/>
              <w:bottom w:w="85" w:type="dxa"/>
              <w:right w:w="85" w:type="dxa"/>
            </w:tcMar>
          </w:tcPr>
          <w:p w14:paraId="39F9A588" w14:textId="77777777" w:rsidR="00342C07" w:rsidRPr="00630129" w:rsidRDefault="00342C07" w:rsidP="00F60AD8">
            <w:pPr>
              <w:rPr>
                <w:sz w:val="22"/>
              </w:rPr>
            </w:pPr>
            <w:r w:rsidRPr="00630129">
              <w:rPr>
                <w:sz w:val="22"/>
              </w:rPr>
              <w:t>Deemed Standard Product Offer Volume</w:t>
            </w:r>
          </w:p>
        </w:tc>
        <w:tc>
          <w:tcPr>
            <w:tcW w:w="974" w:type="pct"/>
            <w:tcMar>
              <w:top w:w="85" w:type="dxa"/>
              <w:left w:w="85" w:type="dxa"/>
              <w:bottom w:w="85" w:type="dxa"/>
              <w:right w:w="85" w:type="dxa"/>
            </w:tcMar>
          </w:tcPr>
          <w:p w14:paraId="3950250E" w14:textId="77777777" w:rsidR="00342C07" w:rsidRPr="00630129" w:rsidRDefault="00342C07" w:rsidP="00F60AD8">
            <w:pPr>
              <w:rPr>
                <w:sz w:val="22"/>
              </w:rPr>
            </w:pPr>
            <w:proofErr w:type="spellStart"/>
            <w:r w:rsidRPr="00630129">
              <w:rPr>
                <w:sz w:val="22"/>
              </w:rPr>
              <w:t>qDSPO</w:t>
            </w:r>
            <w:r w:rsidRPr="00630129">
              <w:rPr>
                <w:sz w:val="22"/>
                <w:vertAlign w:val="superscript"/>
              </w:rPr>
              <w:t>J</w:t>
            </w:r>
            <w:r w:rsidRPr="00630129">
              <w:rPr>
                <w:sz w:val="22"/>
                <w:vertAlign w:val="subscript"/>
              </w:rPr>
              <w:t>ij</w:t>
            </w:r>
            <w:proofErr w:type="spellEnd"/>
            <w:r w:rsidRPr="00630129">
              <w:rPr>
                <w:sz w:val="22"/>
              </w:rPr>
              <w:t>(t)</w:t>
            </w:r>
          </w:p>
        </w:tc>
        <w:tc>
          <w:tcPr>
            <w:tcW w:w="492" w:type="pct"/>
            <w:tcMar>
              <w:top w:w="85" w:type="dxa"/>
              <w:left w:w="85" w:type="dxa"/>
              <w:bottom w:w="85" w:type="dxa"/>
              <w:right w:w="85" w:type="dxa"/>
            </w:tcMar>
          </w:tcPr>
          <w:p w14:paraId="52AA4AF9"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6A0B17D5" w14:textId="77777777" w:rsidR="00342C07" w:rsidRPr="00630129" w:rsidRDefault="00342C07" w:rsidP="00F60AD8">
            <w:pPr>
              <w:spacing w:after="120"/>
              <w:rPr>
                <w:sz w:val="22"/>
                <w:szCs w:val="22"/>
              </w:rPr>
            </w:pPr>
            <w:r w:rsidRPr="00630129">
              <w:rPr>
                <w:sz w:val="22"/>
                <w:szCs w:val="22"/>
              </w:rPr>
              <w:t>The quantity established in accordance with Section T3.19.1.</w:t>
            </w:r>
          </w:p>
          <w:p w14:paraId="469E3D5D" w14:textId="77777777" w:rsidR="00342C07" w:rsidRPr="00630129" w:rsidRDefault="00342C07" w:rsidP="00F60AD8">
            <w:pPr>
              <w:rPr>
                <w:sz w:val="22"/>
                <w:szCs w:val="22"/>
              </w:rPr>
            </w:pPr>
            <w:r w:rsidRPr="00630129">
              <w:rPr>
                <w:i/>
                <w:sz w:val="22"/>
                <w:szCs w:val="22"/>
              </w:rPr>
              <w:t xml:space="preserve">The </w:t>
            </w:r>
            <w:r w:rsidRPr="00630129">
              <w:rPr>
                <w:i/>
                <w:sz w:val="22"/>
              </w:rPr>
              <w:t>Deemed Standard Product Offer Volume</w:t>
            </w:r>
            <w:r w:rsidRPr="00630129">
              <w:rPr>
                <w:i/>
                <w:sz w:val="22"/>
                <w:szCs w:val="22"/>
              </w:rPr>
              <w:t xml:space="preserve"> is the quantity of Offer being the positive part of the </w:t>
            </w:r>
            <w:r w:rsidRPr="00630129">
              <w:rPr>
                <w:i/>
                <w:sz w:val="22"/>
              </w:rPr>
              <w:t>Deemed Standard Product Volume</w:t>
            </w:r>
            <w:r w:rsidRPr="00630129">
              <w:rPr>
                <w:i/>
                <w:sz w:val="22"/>
                <w:szCs w:val="22"/>
              </w:rPr>
              <w:t xml:space="preserve"> created as a result of a Quarter Hour RR Activation from BM Unit </w:t>
            </w:r>
            <w:proofErr w:type="spellStart"/>
            <w:r w:rsidRPr="00630129">
              <w:rPr>
                <w:i/>
                <w:sz w:val="22"/>
                <w:szCs w:val="22"/>
              </w:rPr>
              <w:t>i</w:t>
            </w:r>
            <w:proofErr w:type="spellEnd"/>
            <w:r w:rsidRPr="00630129">
              <w:rPr>
                <w:i/>
                <w:sz w:val="22"/>
                <w:szCs w:val="22"/>
              </w:rPr>
              <w:t xml:space="preserve"> at spot times t in Quarter Hour</w:t>
            </w:r>
            <w:r w:rsidRPr="00630129">
              <w:rPr>
                <w:sz w:val="22"/>
                <w:szCs w:val="22"/>
              </w:rPr>
              <w:t xml:space="preserve"> </w:t>
            </w:r>
            <w:r w:rsidRPr="00630129">
              <w:rPr>
                <w:i/>
                <w:sz w:val="22"/>
                <w:szCs w:val="22"/>
              </w:rPr>
              <w:t>J.</w:t>
            </w:r>
          </w:p>
        </w:tc>
      </w:tr>
      <w:tr w:rsidR="00342C07" w:rsidRPr="00630129" w14:paraId="13ABDD3D" w14:textId="77777777" w:rsidTr="00A63BA8">
        <w:trPr>
          <w:cantSplit/>
        </w:trPr>
        <w:tc>
          <w:tcPr>
            <w:tcW w:w="994" w:type="pct"/>
            <w:tcMar>
              <w:top w:w="85" w:type="dxa"/>
              <w:left w:w="85" w:type="dxa"/>
              <w:bottom w:w="85" w:type="dxa"/>
              <w:right w:w="85" w:type="dxa"/>
            </w:tcMar>
          </w:tcPr>
          <w:p w14:paraId="388C1850" w14:textId="77777777" w:rsidR="00342C07" w:rsidRPr="00630129" w:rsidRDefault="00342C07" w:rsidP="00F60AD8">
            <w:pPr>
              <w:rPr>
                <w:sz w:val="22"/>
                <w:szCs w:val="22"/>
              </w:rPr>
            </w:pPr>
            <w:r w:rsidRPr="00630129">
              <w:rPr>
                <w:sz w:val="22"/>
              </w:rPr>
              <w:t>Deemed Standard Product Point Variables</w:t>
            </w:r>
          </w:p>
        </w:tc>
        <w:tc>
          <w:tcPr>
            <w:tcW w:w="974" w:type="pct"/>
            <w:tcMar>
              <w:top w:w="85" w:type="dxa"/>
              <w:left w:w="85" w:type="dxa"/>
              <w:bottom w:w="85" w:type="dxa"/>
              <w:right w:w="85" w:type="dxa"/>
            </w:tcMar>
          </w:tcPr>
          <w:p w14:paraId="718D7B91" w14:textId="77777777" w:rsidR="00342C07" w:rsidRPr="00630129" w:rsidRDefault="00342C07" w:rsidP="00F60AD8">
            <w:pPr>
              <w:rPr>
                <w:sz w:val="22"/>
                <w:szCs w:val="22"/>
              </w:rPr>
            </w:pPr>
            <w:proofErr w:type="spellStart"/>
            <w:r w:rsidRPr="00630129">
              <w:rPr>
                <w:sz w:val="22"/>
              </w:rPr>
              <w:t>qDSP</w:t>
            </w:r>
            <w:r w:rsidRPr="00630129">
              <w:rPr>
                <w:sz w:val="22"/>
                <w:vertAlign w:val="superscript"/>
              </w:rPr>
              <w:t>J</w:t>
            </w:r>
            <w:r w:rsidRPr="00630129">
              <w:rPr>
                <w:sz w:val="22"/>
                <w:vertAlign w:val="subscript"/>
              </w:rPr>
              <w:t>ijt</w:t>
            </w:r>
            <w:proofErr w:type="spellEnd"/>
          </w:p>
        </w:tc>
        <w:tc>
          <w:tcPr>
            <w:tcW w:w="492" w:type="pct"/>
            <w:tcMar>
              <w:top w:w="85" w:type="dxa"/>
              <w:left w:w="85" w:type="dxa"/>
              <w:bottom w:w="85" w:type="dxa"/>
              <w:right w:w="85" w:type="dxa"/>
            </w:tcMar>
          </w:tcPr>
          <w:p w14:paraId="5BCA66F4"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7EDC9373" w14:textId="77777777" w:rsidR="00342C07" w:rsidRPr="00630129" w:rsidRDefault="00342C07" w:rsidP="00F60AD8">
            <w:pPr>
              <w:spacing w:after="120"/>
              <w:rPr>
                <w:sz w:val="22"/>
                <w:szCs w:val="22"/>
              </w:rPr>
            </w:pPr>
            <w:r w:rsidRPr="00630129">
              <w:rPr>
                <w:sz w:val="22"/>
                <w:szCs w:val="22"/>
              </w:rPr>
              <w:t>A MW level and associated time created in accordance with Section T3.1.5(c).</w:t>
            </w:r>
          </w:p>
          <w:p w14:paraId="6F11A9CC" w14:textId="77777777" w:rsidR="00342C07" w:rsidRPr="00630129" w:rsidRDefault="00342C07" w:rsidP="00F60AD8">
            <w:pPr>
              <w:rPr>
                <w:sz w:val="22"/>
                <w:szCs w:val="22"/>
              </w:rPr>
            </w:pPr>
            <w:r w:rsidRPr="00630129">
              <w:rPr>
                <w:i/>
                <w:sz w:val="22"/>
                <w:szCs w:val="22"/>
              </w:rPr>
              <w:t xml:space="preserve">A Point Acceptance Volume, created from Quarter Hour RR Activation Data, is a level in absolute MW for spot time t and BM Unit </w:t>
            </w:r>
            <w:proofErr w:type="spellStart"/>
            <w:r w:rsidRPr="00630129">
              <w:rPr>
                <w:i/>
                <w:sz w:val="22"/>
                <w:szCs w:val="22"/>
              </w:rPr>
              <w:t>i</w:t>
            </w:r>
            <w:proofErr w:type="spellEnd"/>
            <w:r w:rsidRPr="00630129">
              <w:rPr>
                <w:i/>
                <w:sz w:val="22"/>
                <w:szCs w:val="22"/>
              </w:rPr>
              <w:t>, used to imply the acceptance of one or more Replacement Reserve Bids.</w:t>
            </w:r>
          </w:p>
        </w:tc>
      </w:tr>
      <w:tr w:rsidR="00342C07" w:rsidRPr="00630129" w14:paraId="05503C4B" w14:textId="77777777" w:rsidTr="00A63BA8">
        <w:trPr>
          <w:cantSplit/>
        </w:trPr>
        <w:tc>
          <w:tcPr>
            <w:tcW w:w="994" w:type="pct"/>
            <w:tcMar>
              <w:top w:w="85" w:type="dxa"/>
              <w:left w:w="85" w:type="dxa"/>
              <w:bottom w:w="85" w:type="dxa"/>
              <w:right w:w="85" w:type="dxa"/>
            </w:tcMar>
          </w:tcPr>
          <w:p w14:paraId="435336D1" w14:textId="77777777" w:rsidR="00342C07" w:rsidRPr="00630129" w:rsidRDefault="00342C07" w:rsidP="00F60AD8">
            <w:pPr>
              <w:rPr>
                <w:sz w:val="22"/>
                <w:szCs w:val="22"/>
              </w:rPr>
            </w:pPr>
            <w:r w:rsidRPr="00630129">
              <w:rPr>
                <w:sz w:val="22"/>
              </w:rPr>
              <w:lastRenderedPageBreak/>
              <w:t>Deemed Standard Product Shape</w:t>
            </w:r>
          </w:p>
        </w:tc>
        <w:tc>
          <w:tcPr>
            <w:tcW w:w="974" w:type="pct"/>
            <w:tcMar>
              <w:top w:w="85" w:type="dxa"/>
              <w:left w:w="85" w:type="dxa"/>
              <w:bottom w:w="85" w:type="dxa"/>
              <w:right w:w="85" w:type="dxa"/>
            </w:tcMar>
          </w:tcPr>
          <w:p w14:paraId="6A6AB89B" w14:textId="77777777" w:rsidR="00342C07" w:rsidRPr="00630129" w:rsidRDefault="00342C07" w:rsidP="00F60AD8">
            <w:pPr>
              <w:rPr>
                <w:sz w:val="22"/>
                <w:szCs w:val="22"/>
              </w:rPr>
            </w:pPr>
            <w:proofErr w:type="spellStart"/>
            <w:r w:rsidRPr="00630129">
              <w:rPr>
                <w:sz w:val="22"/>
              </w:rPr>
              <w:t>qDSP</w:t>
            </w:r>
            <w:r w:rsidRPr="00630129">
              <w:rPr>
                <w:sz w:val="22"/>
                <w:vertAlign w:val="superscript"/>
              </w:rPr>
              <w:t>J</w:t>
            </w:r>
            <w:r w:rsidRPr="00630129">
              <w:rPr>
                <w:sz w:val="22"/>
                <w:vertAlign w:val="subscript"/>
              </w:rPr>
              <w:t>ij</w:t>
            </w:r>
            <w:proofErr w:type="spellEnd"/>
            <w:r w:rsidRPr="00630129">
              <w:rPr>
                <w:sz w:val="22"/>
              </w:rPr>
              <w:t>(t)</w:t>
            </w:r>
          </w:p>
        </w:tc>
        <w:tc>
          <w:tcPr>
            <w:tcW w:w="492" w:type="pct"/>
            <w:tcMar>
              <w:top w:w="85" w:type="dxa"/>
              <w:left w:w="85" w:type="dxa"/>
              <w:bottom w:w="85" w:type="dxa"/>
              <w:right w:w="85" w:type="dxa"/>
            </w:tcMar>
          </w:tcPr>
          <w:p w14:paraId="1B38F37E"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72E1F2CD" w14:textId="77777777" w:rsidR="00342C07" w:rsidRPr="00630129" w:rsidRDefault="00342C07" w:rsidP="00F60AD8">
            <w:pPr>
              <w:spacing w:after="120"/>
              <w:rPr>
                <w:sz w:val="22"/>
                <w:szCs w:val="22"/>
              </w:rPr>
            </w:pPr>
            <w:r w:rsidRPr="00630129">
              <w:rPr>
                <w:sz w:val="22"/>
                <w:szCs w:val="22"/>
              </w:rPr>
              <w:t>The quantity established in accordance with Section T3.17.1.</w:t>
            </w:r>
          </w:p>
          <w:p w14:paraId="612C8DFE" w14:textId="77777777" w:rsidR="00342C07" w:rsidRPr="00630129" w:rsidRDefault="00342C07" w:rsidP="00F60AD8">
            <w:pPr>
              <w:rPr>
                <w:sz w:val="22"/>
                <w:szCs w:val="22"/>
              </w:rPr>
            </w:pPr>
            <w:r w:rsidRPr="00630129">
              <w:rPr>
                <w:i/>
                <w:sz w:val="22"/>
                <w:szCs w:val="22"/>
              </w:rPr>
              <w:t xml:space="preserve">The </w:t>
            </w:r>
            <w:r w:rsidRPr="00630129">
              <w:rPr>
                <w:i/>
                <w:sz w:val="22"/>
              </w:rPr>
              <w:t>Deemed Standard Product Shape</w:t>
            </w:r>
            <w:r w:rsidRPr="00630129">
              <w:rPr>
                <w:i/>
                <w:sz w:val="22"/>
                <w:szCs w:val="22"/>
              </w:rPr>
              <w:t xml:space="preserve"> is a quantity of absolute MW for any spot time t obtained by interpolating between </w:t>
            </w:r>
            <w:r w:rsidRPr="00630129">
              <w:rPr>
                <w:i/>
                <w:sz w:val="22"/>
              </w:rPr>
              <w:t>Deemed Standard Product Point Variables</w:t>
            </w:r>
            <w:r w:rsidRPr="00630129">
              <w:rPr>
                <w:i/>
                <w:sz w:val="22"/>
                <w:szCs w:val="22"/>
              </w:rPr>
              <w:t xml:space="preserve">, </w:t>
            </w:r>
            <w:proofErr w:type="spellStart"/>
            <w:r w:rsidRPr="00630129">
              <w:rPr>
                <w:i/>
                <w:sz w:val="22"/>
              </w:rPr>
              <w:t>qDSP</w:t>
            </w:r>
            <w:r w:rsidRPr="00630129">
              <w:rPr>
                <w:i/>
                <w:sz w:val="22"/>
                <w:vertAlign w:val="superscript"/>
              </w:rPr>
              <w:t>J</w:t>
            </w:r>
            <w:r w:rsidRPr="00630129">
              <w:rPr>
                <w:i/>
                <w:sz w:val="22"/>
                <w:vertAlign w:val="subscript"/>
              </w:rPr>
              <w:t>ijt</w:t>
            </w:r>
            <w:proofErr w:type="spellEnd"/>
            <w:r w:rsidRPr="00630129">
              <w:rPr>
                <w:i/>
                <w:sz w:val="22"/>
                <w:szCs w:val="22"/>
              </w:rPr>
              <w:t>, derived from the Quarter Hour RR Activation Data submitted as part of the Quarter Hour Auction Result Data for an Replacement Reserve Auction Period</w:t>
            </w:r>
          </w:p>
        </w:tc>
      </w:tr>
      <w:tr w:rsidR="00342C07" w:rsidRPr="00630129" w14:paraId="35C78A2E" w14:textId="77777777" w:rsidTr="00A63BA8">
        <w:trPr>
          <w:cantSplit/>
        </w:trPr>
        <w:tc>
          <w:tcPr>
            <w:tcW w:w="994" w:type="pct"/>
            <w:tcMar>
              <w:top w:w="85" w:type="dxa"/>
              <w:left w:w="85" w:type="dxa"/>
              <w:bottom w:w="85" w:type="dxa"/>
              <w:right w:w="85" w:type="dxa"/>
            </w:tcMar>
          </w:tcPr>
          <w:p w14:paraId="7225B5C0" w14:textId="77777777" w:rsidR="00342C07" w:rsidRPr="00630129" w:rsidRDefault="00342C07" w:rsidP="00F60AD8">
            <w:pPr>
              <w:rPr>
                <w:sz w:val="22"/>
              </w:rPr>
            </w:pPr>
            <w:r w:rsidRPr="00630129">
              <w:rPr>
                <w:sz w:val="22"/>
              </w:rPr>
              <w:t>Deemed Standard Product Volume</w:t>
            </w:r>
          </w:p>
        </w:tc>
        <w:tc>
          <w:tcPr>
            <w:tcW w:w="974" w:type="pct"/>
            <w:tcMar>
              <w:top w:w="85" w:type="dxa"/>
              <w:left w:w="85" w:type="dxa"/>
              <w:bottom w:w="85" w:type="dxa"/>
              <w:right w:w="85" w:type="dxa"/>
            </w:tcMar>
          </w:tcPr>
          <w:p w14:paraId="2BBA82E8" w14:textId="77777777" w:rsidR="00342C07" w:rsidRPr="00630129" w:rsidRDefault="00342C07" w:rsidP="00F60AD8">
            <w:pPr>
              <w:rPr>
                <w:sz w:val="22"/>
              </w:rPr>
            </w:pPr>
            <w:proofErr w:type="spellStart"/>
            <w:r w:rsidRPr="00630129">
              <w:rPr>
                <w:sz w:val="22"/>
              </w:rPr>
              <w:t>qDSPV</w:t>
            </w:r>
            <w:r w:rsidRPr="00630129">
              <w:rPr>
                <w:sz w:val="22"/>
                <w:vertAlign w:val="superscript"/>
              </w:rPr>
              <w:t>J</w:t>
            </w:r>
            <w:r w:rsidRPr="00630129">
              <w:rPr>
                <w:sz w:val="22"/>
                <w:vertAlign w:val="subscript"/>
              </w:rPr>
              <w:t>ij</w:t>
            </w:r>
            <w:proofErr w:type="spellEnd"/>
            <w:r w:rsidRPr="00630129">
              <w:rPr>
                <w:sz w:val="22"/>
              </w:rPr>
              <w:t>(t)</w:t>
            </w:r>
          </w:p>
        </w:tc>
        <w:tc>
          <w:tcPr>
            <w:tcW w:w="492" w:type="pct"/>
            <w:tcMar>
              <w:top w:w="85" w:type="dxa"/>
              <w:left w:w="85" w:type="dxa"/>
              <w:bottom w:w="85" w:type="dxa"/>
              <w:right w:w="85" w:type="dxa"/>
            </w:tcMar>
          </w:tcPr>
          <w:p w14:paraId="2D3CD75F"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121F303B" w14:textId="77777777" w:rsidR="00342C07" w:rsidRPr="00630129" w:rsidRDefault="00342C07" w:rsidP="00F60AD8">
            <w:pPr>
              <w:spacing w:after="120"/>
              <w:rPr>
                <w:sz w:val="22"/>
                <w:szCs w:val="22"/>
              </w:rPr>
            </w:pPr>
            <w:r w:rsidRPr="00630129">
              <w:rPr>
                <w:sz w:val="22"/>
                <w:szCs w:val="22"/>
              </w:rPr>
              <w:t>The quantity established in accordance with Section T3.18.1.</w:t>
            </w:r>
          </w:p>
          <w:p w14:paraId="5189FD4E" w14:textId="77777777" w:rsidR="00342C07" w:rsidRPr="00630129" w:rsidRDefault="00342C07" w:rsidP="00F60AD8">
            <w:pPr>
              <w:rPr>
                <w:sz w:val="22"/>
                <w:szCs w:val="22"/>
              </w:rPr>
            </w:pPr>
            <w:r w:rsidRPr="00630129">
              <w:rPr>
                <w:i/>
                <w:sz w:val="22"/>
                <w:szCs w:val="22"/>
              </w:rPr>
              <w:t xml:space="preserve">The </w:t>
            </w:r>
            <w:r w:rsidRPr="00630129">
              <w:rPr>
                <w:i/>
                <w:sz w:val="22"/>
              </w:rPr>
              <w:t>Deemed Standard Product Volume</w:t>
            </w:r>
            <w:r w:rsidRPr="00630129">
              <w:rPr>
                <w:i/>
                <w:sz w:val="22"/>
                <w:szCs w:val="22"/>
              </w:rPr>
              <w:t xml:space="preserve"> is the quantity of Bid or Offer accepted as a result of a Quarter Hour RR Activation from BM Unit </w:t>
            </w:r>
            <w:proofErr w:type="spellStart"/>
            <w:r w:rsidRPr="00630129">
              <w:rPr>
                <w:i/>
                <w:sz w:val="22"/>
                <w:szCs w:val="22"/>
              </w:rPr>
              <w:t>i</w:t>
            </w:r>
            <w:proofErr w:type="spellEnd"/>
            <w:r w:rsidRPr="00630129">
              <w:rPr>
                <w:i/>
                <w:sz w:val="22"/>
                <w:szCs w:val="22"/>
              </w:rPr>
              <w:t xml:space="preserve"> at spot times t in Quarter Hour</w:t>
            </w:r>
            <w:r w:rsidRPr="00630129">
              <w:rPr>
                <w:sz w:val="22"/>
                <w:szCs w:val="22"/>
              </w:rPr>
              <w:t xml:space="preserve"> </w:t>
            </w:r>
            <w:r w:rsidRPr="00630129">
              <w:rPr>
                <w:i/>
                <w:sz w:val="22"/>
                <w:szCs w:val="22"/>
              </w:rPr>
              <w:t>J.</w:t>
            </w:r>
          </w:p>
        </w:tc>
      </w:tr>
      <w:tr w:rsidR="00342C07" w:rsidRPr="00630129" w14:paraId="27CEDDF2" w14:textId="77777777" w:rsidTr="00A63BA8">
        <w:trPr>
          <w:cantSplit/>
        </w:trPr>
        <w:tc>
          <w:tcPr>
            <w:tcW w:w="994" w:type="pct"/>
            <w:tcMar>
              <w:top w:w="85" w:type="dxa"/>
              <w:left w:w="85" w:type="dxa"/>
              <w:bottom w:w="85" w:type="dxa"/>
              <w:right w:w="85" w:type="dxa"/>
            </w:tcMar>
          </w:tcPr>
          <w:p w14:paraId="430CCF51" w14:textId="77777777" w:rsidR="00342C07" w:rsidRPr="00630129" w:rsidRDefault="00342C07" w:rsidP="00F60AD8">
            <w:pPr>
              <w:rPr>
                <w:sz w:val="22"/>
                <w:szCs w:val="22"/>
              </w:rPr>
            </w:pPr>
            <w:r w:rsidRPr="00630129">
              <w:rPr>
                <w:sz w:val="22"/>
                <w:szCs w:val="22"/>
              </w:rPr>
              <w:t>Default Funding Share</w:t>
            </w:r>
          </w:p>
        </w:tc>
        <w:tc>
          <w:tcPr>
            <w:tcW w:w="974" w:type="pct"/>
            <w:tcMar>
              <w:top w:w="85" w:type="dxa"/>
              <w:left w:w="85" w:type="dxa"/>
              <w:bottom w:w="85" w:type="dxa"/>
              <w:right w:w="85" w:type="dxa"/>
            </w:tcMar>
          </w:tcPr>
          <w:p w14:paraId="5D7A30A3" w14:textId="77777777" w:rsidR="00342C07" w:rsidRPr="00630129" w:rsidRDefault="00342C07" w:rsidP="00F60AD8">
            <w:pPr>
              <w:rPr>
                <w:sz w:val="22"/>
                <w:szCs w:val="22"/>
              </w:rPr>
            </w:pPr>
            <w:proofErr w:type="spellStart"/>
            <w:r w:rsidRPr="00630129">
              <w:rPr>
                <w:sz w:val="22"/>
                <w:szCs w:val="22"/>
              </w:rPr>
              <w:t>FSD</w:t>
            </w:r>
            <w:r w:rsidRPr="00630129">
              <w:rPr>
                <w:sz w:val="22"/>
                <w:szCs w:val="22"/>
                <w:vertAlign w:val="subscript"/>
              </w:rPr>
              <w:t>pm</w:t>
            </w:r>
            <w:proofErr w:type="spellEnd"/>
          </w:p>
        </w:tc>
        <w:tc>
          <w:tcPr>
            <w:tcW w:w="492" w:type="pct"/>
            <w:tcMar>
              <w:top w:w="85" w:type="dxa"/>
              <w:left w:w="85" w:type="dxa"/>
              <w:bottom w:w="85" w:type="dxa"/>
              <w:right w:w="85" w:type="dxa"/>
            </w:tcMar>
          </w:tcPr>
          <w:p w14:paraId="33A8D1BB"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6E82B7B7" w14:textId="77777777" w:rsidR="00342C07" w:rsidRPr="00630129" w:rsidRDefault="00342C07" w:rsidP="00F60AD8">
            <w:pPr>
              <w:rPr>
                <w:sz w:val="22"/>
                <w:szCs w:val="22"/>
              </w:rPr>
            </w:pPr>
            <w:r w:rsidRPr="00630129">
              <w:rPr>
                <w:sz w:val="22"/>
                <w:szCs w:val="22"/>
              </w:rPr>
              <w:t>Has the meaning given to that term in Section D1.3.1(b).</w:t>
            </w:r>
          </w:p>
        </w:tc>
      </w:tr>
      <w:tr w:rsidR="00342C07" w:rsidRPr="00630129" w14:paraId="450D872A" w14:textId="77777777" w:rsidTr="00A63BA8">
        <w:trPr>
          <w:cantSplit/>
        </w:trPr>
        <w:tc>
          <w:tcPr>
            <w:tcW w:w="994" w:type="pct"/>
            <w:tcMar>
              <w:top w:w="85" w:type="dxa"/>
              <w:left w:w="85" w:type="dxa"/>
              <w:bottom w:w="85" w:type="dxa"/>
              <w:right w:w="85" w:type="dxa"/>
            </w:tcMar>
          </w:tcPr>
          <w:p w14:paraId="46254722" w14:textId="77777777" w:rsidR="00342C07" w:rsidRPr="00630129" w:rsidRDefault="00342C07" w:rsidP="00F60AD8">
            <w:pPr>
              <w:rPr>
                <w:sz w:val="22"/>
                <w:szCs w:val="22"/>
              </w:rPr>
            </w:pPr>
            <w:r w:rsidRPr="00630129">
              <w:rPr>
                <w:sz w:val="22"/>
                <w:szCs w:val="22"/>
              </w:rPr>
              <w:t>Delivering Transmission Losses Adjustment.</w:t>
            </w:r>
          </w:p>
        </w:tc>
        <w:tc>
          <w:tcPr>
            <w:tcW w:w="974" w:type="pct"/>
            <w:tcMar>
              <w:top w:w="85" w:type="dxa"/>
              <w:left w:w="85" w:type="dxa"/>
              <w:bottom w:w="85" w:type="dxa"/>
              <w:right w:w="85" w:type="dxa"/>
            </w:tcMar>
          </w:tcPr>
          <w:p w14:paraId="1F26C25D" w14:textId="77777777" w:rsidR="00342C07" w:rsidRPr="00630129" w:rsidRDefault="00342C07" w:rsidP="00F60AD8">
            <w:pPr>
              <w:rPr>
                <w:sz w:val="22"/>
                <w:szCs w:val="22"/>
              </w:rPr>
            </w:pPr>
            <w:proofErr w:type="spellStart"/>
            <w:r w:rsidRPr="00630129">
              <w:rPr>
                <w:sz w:val="22"/>
                <w:szCs w:val="22"/>
              </w:rPr>
              <w:t>TLMO</w:t>
            </w:r>
            <w:r w:rsidRPr="00630129">
              <w:rPr>
                <w:szCs w:val="22"/>
                <w:vertAlign w:val="superscript"/>
              </w:rPr>
              <w:t>+</w:t>
            </w:r>
            <w:r w:rsidRPr="00630129">
              <w:rPr>
                <w:sz w:val="22"/>
                <w:szCs w:val="22"/>
                <w:vertAlign w:val="subscript"/>
              </w:rPr>
              <w:t>j</w:t>
            </w:r>
            <w:proofErr w:type="spellEnd"/>
          </w:p>
        </w:tc>
        <w:tc>
          <w:tcPr>
            <w:tcW w:w="492" w:type="pct"/>
            <w:tcMar>
              <w:top w:w="85" w:type="dxa"/>
              <w:left w:w="85" w:type="dxa"/>
              <w:bottom w:w="85" w:type="dxa"/>
              <w:right w:w="85" w:type="dxa"/>
            </w:tcMar>
          </w:tcPr>
          <w:p w14:paraId="2CFB298D"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3A75CFCE" w14:textId="77777777" w:rsidR="00342C07" w:rsidRPr="00630129" w:rsidRDefault="00342C07" w:rsidP="00F60AD8">
            <w:pPr>
              <w:spacing w:after="120"/>
              <w:rPr>
                <w:sz w:val="22"/>
                <w:szCs w:val="22"/>
              </w:rPr>
            </w:pPr>
            <w:r w:rsidRPr="00630129">
              <w:rPr>
                <w:sz w:val="22"/>
                <w:szCs w:val="22"/>
              </w:rPr>
              <w:t>The factor determined as such in accordance with Section T2.3.1.</w:t>
            </w:r>
          </w:p>
          <w:p w14:paraId="54B1D38C" w14:textId="77777777" w:rsidR="00342C07" w:rsidRPr="00630129" w:rsidRDefault="00342C07" w:rsidP="00F60AD8">
            <w:pPr>
              <w:rPr>
                <w:i/>
                <w:sz w:val="22"/>
                <w:szCs w:val="22"/>
              </w:rPr>
            </w:pPr>
            <w:r w:rsidRPr="00630129">
              <w:rPr>
                <w:i/>
                <w:sz w:val="22"/>
                <w:szCs w:val="22"/>
              </w:rPr>
              <w:t>The factor used in the determination of the Transmission Loss Multiplier for BM Units in Delivering Trading Units in Settlement Period j</w:t>
            </w:r>
          </w:p>
        </w:tc>
      </w:tr>
      <w:tr w:rsidR="00342C07" w:rsidRPr="00630129" w14:paraId="7D76EA67"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3071FEA" w14:textId="77777777" w:rsidR="00342C07" w:rsidRPr="00630129" w:rsidRDefault="00342C07" w:rsidP="00F60AD8">
            <w:pPr>
              <w:rPr>
                <w:sz w:val="22"/>
                <w:szCs w:val="22"/>
              </w:rPr>
            </w:pPr>
            <w:r w:rsidRPr="00630129">
              <w:rPr>
                <w:sz w:val="22"/>
                <w:szCs w:val="22"/>
              </w:rPr>
              <w:t>De-Rated Margin Forecast</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3601CB0" w14:textId="77777777" w:rsidR="00342C07" w:rsidRPr="00630129" w:rsidRDefault="00342C07" w:rsidP="00F60AD8">
            <w:pPr>
              <w:rPr>
                <w:sz w:val="22"/>
                <w:szCs w:val="22"/>
              </w:rPr>
            </w:pPr>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9396D20" w14:textId="77777777" w:rsidR="00342C07" w:rsidRPr="00630129" w:rsidRDefault="00342C07" w:rsidP="00F60AD8">
            <w:pPr>
              <w:rPr>
                <w:sz w:val="22"/>
                <w:szCs w:val="22"/>
              </w:rPr>
            </w:pPr>
            <w:r w:rsidRPr="00630129">
              <w:rPr>
                <w:sz w:val="22"/>
                <w:szCs w:val="22"/>
              </w:rPr>
              <w:t>MWh</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B1C084A" w14:textId="77777777" w:rsidR="00342C07" w:rsidRPr="00630129" w:rsidRDefault="00342C07" w:rsidP="00F60AD8">
            <w:pPr>
              <w:rPr>
                <w:sz w:val="22"/>
                <w:szCs w:val="22"/>
              </w:rPr>
            </w:pPr>
            <w:r w:rsidRPr="00630129">
              <w:rPr>
                <w:sz w:val="22"/>
                <w:szCs w:val="22"/>
              </w:rPr>
              <w:t>The forecast submitted in accordance with Section Q6.1.25.</w:t>
            </w:r>
          </w:p>
        </w:tc>
      </w:tr>
      <w:tr w:rsidR="00342C07" w:rsidRPr="00630129" w14:paraId="5A7B49C4" w14:textId="77777777" w:rsidTr="00A63BA8">
        <w:trPr>
          <w:cantSplit/>
        </w:trPr>
        <w:tc>
          <w:tcPr>
            <w:tcW w:w="994" w:type="pct"/>
            <w:tcMar>
              <w:top w:w="85" w:type="dxa"/>
              <w:left w:w="85" w:type="dxa"/>
              <w:bottom w:w="85" w:type="dxa"/>
              <w:right w:w="85" w:type="dxa"/>
            </w:tcMar>
          </w:tcPr>
          <w:p w14:paraId="560B646F" w14:textId="77777777" w:rsidR="00342C07" w:rsidRPr="00630129" w:rsidRDefault="00342C07" w:rsidP="00F60AD8">
            <w:pPr>
              <w:rPr>
                <w:sz w:val="22"/>
                <w:szCs w:val="22"/>
              </w:rPr>
            </w:pPr>
            <w:r w:rsidRPr="00630129">
              <w:rPr>
                <w:sz w:val="22"/>
                <w:szCs w:val="22"/>
              </w:rPr>
              <w:t>Emergency Acceptance</w:t>
            </w:r>
          </w:p>
        </w:tc>
        <w:tc>
          <w:tcPr>
            <w:tcW w:w="974" w:type="pct"/>
            <w:tcMar>
              <w:top w:w="85" w:type="dxa"/>
              <w:left w:w="85" w:type="dxa"/>
              <w:bottom w:w="85" w:type="dxa"/>
              <w:right w:w="85" w:type="dxa"/>
            </w:tcMar>
          </w:tcPr>
          <w:p w14:paraId="0E18C946"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67EE38D3"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3906F1E9" w14:textId="77777777" w:rsidR="00342C07" w:rsidRPr="00630129" w:rsidRDefault="00342C07" w:rsidP="00F60AD8">
            <w:pPr>
              <w:rPr>
                <w:sz w:val="22"/>
                <w:szCs w:val="22"/>
              </w:rPr>
            </w:pPr>
            <w:r w:rsidRPr="00630129">
              <w:rPr>
                <w:sz w:val="22"/>
                <w:szCs w:val="22"/>
              </w:rPr>
              <w:t>An Acceptance which falls within Section Q5.1.3(b).</w:t>
            </w:r>
          </w:p>
        </w:tc>
      </w:tr>
      <w:tr w:rsidR="00342C07" w:rsidRPr="00630129" w14:paraId="6E808970" w14:textId="77777777" w:rsidTr="00A63BA8">
        <w:trPr>
          <w:cantSplit/>
        </w:trPr>
        <w:tc>
          <w:tcPr>
            <w:tcW w:w="994" w:type="pct"/>
            <w:tcMar>
              <w:top w:w="85" w:type="dxa"/>
              <w:left w:w="85" w:type="dxa"/>
              <w:bottom w:w="85" w:type="dxa"/>
              <w:right w:w="85" w:type="dxa"/>
            </w:tcMar>
          </w:tcPr>
          <w:p w14:paraId="46C9C10A" w14:textId="77777777" w:rsidR="00342C07" w:rsidRPr="00630129" w:rsidRDefault="00342C07" w:rsidP="00F60AD8">
            <w:pPr>
              <w:rPr>
                <w:sz w:val="22"/>
                <w:szCs w:val="22"/>
              </w:rPr>
            </w:pPr>
            <w:r w:rsidRPr="00630129">
              <w:rPr>
                <w:sz w:val="22"/>
                <w:szCs w:val="22"/>
              </w:rPr>
              <w:t xml:space="preserve">Emergency Flagged Ranked Set </w:t>
            </w:r>
          </w:p>
        </w:tc>
        <w:tc>
          <w:tcPr>
            <w:tcW w:w="974" w:type="pct"/>
            <w:tcMar>
              <w:top w:w="85" w:type="dxa"/>
              <w:left w:w="85" w:type="dxa"/>
              <w:bottom w:w="85" w:type="dxa"/>
              <w:right w:w="85" w:type="dxa"/>
            </w:tcMar>
          </w:tcPr>
          <w:p w14:paraId="44FF787F"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17BE6E24"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7F9411EC" w14:textId="77777777" w:rsidR="00342C07" w:rsidRPr="00630129" w:rsidRDefault="00342C07" w:rsidP="00F60AD8">
            <w:pPr>
              <w:rPr>
                <w:sz w:val="22"/>
                <w:szCs w:val="22"/>
              </w:rPr>
            </w:pPr>
            <w:r w:rsidRPr="00630129">
              <w:rPr>
                <w:sz w:val="22"/>
                <w:szCs w:val="22"/>
              </w:rPr>
              <w:t>One of the Emergency Flagged Ranked Sets as provided in paragraph 5 of Part 1 of Annex T-1.</w:t>
            </w:r>
          </w:p>
        </w:tc>
      </w:tr>
      <w:tr w:rsidR="00342C07" w:rsidRPr="00630129" w14:paraId="5174C2A2"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4256D85" w14:textId="77777777" w:rsidR="00342C07" w:rsidRPr="00630129" w:rsidRDefault="00342C07" w:rsidP="00F60AD8">
            <w:pPr>
              <w:rPr>
                <w:sz w:val="22"/>
                <w:szCs w:val="22"/>
              </w:rPr>
            </w:pPr>
            <w:r w:rsidRPr="00630129">
              <w:rPr>
                <w:sz w:val="22"/>
                <w:szCs w:val="22"/>
              </w:rPr>
              <w:t>End Point Demand Control Level</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AE76D72" w14:textId="77777777" w:rsidR="00342C07" w:rsidRPr="00630129" w:rsidRDefault="00342C07" w:rsidP="00F60AD8">
            <w:pPr>
              <w:rPr>
                <w:sz w:val="22"/>
                <w:szCs w:val="22"/>
              </w:rPr>
            </w:pPr>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B5E77FE" w14:textId="77777777" w:rsidR="00342C07" w:rsidRPr="00630129" w:rsidRDefault="00342C07" w:rsidP="00F60AD8">
            <w:pPr>
              <w:rPr>
                <w:sz w:val="22"/>
                <w:szCs w:val="22"/>
              </w:rPr>
            </w:pPr>
            <w:r w:rsidRPr="00630129">
              <w:rPr>
                <w:sz w:val="22"/>
                <w:szCs w:val="22"/>
              </w:rPr>
              <w:t>MW</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22E3359" w14:textId="77777777" w:rsidR="00342C07" w:rsidRPr="00630129" w:rsidRDefault="00342C07" w:rsidP="00F60AD8">
            <w:pPr>
              <w:rPr>
                <w:sz w:val="22"/>
                <w:szCs w:val="22"/>
              </w:rPr>
            </w:pPr>
            <w:r w:rsidRPr="00630129">
              <w:rPr>
                <w:sz w:val="22"/>
                <w:szCs w:val="22"/>
              </w:rPr>
              <w:t>Has the meaning given to that term in Section T3.15(b).</w:t>
            </w:r>
          </w:p>
        </w:tc>
      </w:tr>
      <w:tr w:rsidR="00342C07" w:rsidRPr="00630129" w14:paraId="6DF3D56C" w14:textId="77777777" w:rsidTr="00A63BA8">
        <w:trPr>
          <w:cantSplit/>
        </w:trPr>
        <w:tc>
          <w:tcPr>
            <w:tcW w:w="994" w:type="pct"/>
            <w:tcMar>
              <w:top w:w="85" w:type="dxa"/>
              <w:left w:w="85" w:type="dxa"/>
              <w:bottom w:w="85" w:type="dxa"/>
              <w:right w:w="85" w:type="dxa"/>
            </w:tcMar>
          </w:tcPr>
          <w:p w14:paraId="075BB0E0" w14:textId="77777777" w:rsidR="00342C07" w:rsidRPr="00630129" w:rsidRDefault="00342C07" w:rsidP="00F60AD8">
            <w:pPr>
              <w:rPr>
                <w:sz w:val="22"/>
                <w:szCs w:val="22"/>
              </w:rPr>
            </w:pPr>
            <w:r w:rsidRPr="00630129">
              <w:rPr>
                <w:sz w:val="22"/>
                <w:szCs w:val="22"/>
              </w:rPr>
              <w:t>Energy Contract Volume</w:t>
            </w:r>
          </w:p>
        </w:tc>
        <w:tc>
          <w:tcPr>
            <w:tcW w:w="974" w:type="pct"/>
            <w:tcMar>
              <w:top w:w="85" w:type="dxa"/>
              <w:left w:w="85" w:type="dxa"/>
              <w:bottom w:w="85" w:type="dxa"/>
              <w:right w:w="85" w:type="dxa"/>
            </w:tcMar>
          </w:tcPr>
          <w:p w14:paraId="639D23B1" w14:textId="77777777" w:rsidR="00342C07" w:rsidRPr="00630129" w:rsidRDefault="00342C07" w:rsidP="00F60AD8">
            <w:pPr>
              <w:rPr>
                <w:sz w:val="22"/>
                <w:szCs w:val="22"/>
              </w:rPr>
            </w:pPr>
            <w:proofErr w:type="spellStart"/>
            <w:r w:rsidRPr="00630129">
              <w:rPr>
                <w:sz w:val="22"/>
                <w:szCs w:val="22"/>
              </w:rPr>
              <w:t>ECQ</w:t>
            </w:r>
            <w:r w:rsidRPr="00630129">
              <w:rPr>
                <w:sz w:val="22"/>
                <w:szCs w:val="22"/>
                <w:vertAlign w:val="subscript"/>
              </w:rPr>
              <w:t>zabj</w:t>
            </w:r>
            <w:proofErr w:type="spellEnd"/>
          </w:p>
        </w:tc>
        <w:tc>
          <w:tcPr>
            <w:tcW w:w="492" w:type="pct"/>
            <w:tcMar>
              <w:top w:w="85" w:type="dxa"/>
              <w:left w:w="85" w:type="dxa"/>
              <w:bottom w:w="85" w:type="dxa"/>
              <w:right w:w="85" w:type="dxa"/>
            </w:tcMar>
          </w:tcPr>
          <w:p w14:paraId="1E6F1E7C"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27F14514" w14:textId="77777777" w:rsidR="00342C07" w:rsidRPr="00630129" w:rsidRDefault="00342C07" w:rsidP="00F60AD8">
            <w:pPr>
              <w:rPr>
                <w:sz w:val="22"/>
                <w:szCs w:val="22"/>
              </w:rPr>
            </w:pPr>
            <w:r w:rsidRPr="00630129">
              <w:rPr>
                <w:sz w:val="22"/>
                <w:szCs w:val="22"/>
              </w:rPr>
              <w:t>An Active Energy value in accordance with Section P2.6.1.</w:t>
            </w:r>
          </w:p>
        </w:tc>
      </w:tr>
      <w:tr w:rsidR="00342C07" w:rsidRPr="00630129" w14:paraId="39CA023B" w14:textId="77777777" w:rsidTr="00A63BA8">
        <w:trPr>
          <w:cantSplit/>
        </w:trPr>
        <w:tc>
          <w:tcPr>
            <w:tcW w:w="994" w:type="pct"/>
            <w:tcMar>
              <w:top w:w="85" w:type="dxa"/>
              <w:left w:w="85" w:type="dxa"/>
              <w:bottom w:w="85" w:type="dxa"/>
              <w:right w:w="85" w:type="dxa"/>
            </w:tcMar>
          </w:tcPr>
          <w:p w14:paraId="3E4F832D" w14:textId="77777777" w:rsidR="00342C07" w:rsidRPr="00630129" w:rsidRDefault="00342C07" w:rsidP="00F60AD8">
            <w:pPr>
              <w:rPr>
                <w:sz w:val="22"/>
                <w:szCs w:val="22"/>
              </w:rPr>
            </w:pPr>
            <w:r w:rsidRPr="00630129">
              <w:rPr>
                <w:sz w:val="22"/>
                <w:szCs w:val="22"/>
              </w:rPr>
              <w:t>Energy Credit Cover</w:t>
            </w:r>
          </w:p>
        </w:tc>
        <w:tc>
          <w:tcPr>
            <w:tcW w:w="974" w:type="pct"/>
            <w:tcMar>
              <w:top w:w="85" w:type="dxa"/>
              <w:left w:w="85" w:type="dxa"/>
              <w:bottom w:w="85" w:type="dxa"/>
              <w:right w:w="85" w:type="dxa"/>
            </w:tcMar>
          </w:tcPr>
          <w:p w14:paraId="0B682167" w14:textId="77777777" w:rsidR="00342C07" w:rsidRPr="00630129" w:rsidRDefault="00342C07" w:rsidP="00F60AD8">
            <w:pPr>
              <w:rPr>
                <w:sz w:val="22"/>
                <w:szCs w:val="22"/>
              </w:rPr>
            </w:pPr>
            <w:proofErr w:type="spellStart"/>
            <w:r w:rsidRPr="00630129">
              <w:rPr>
                <w:sz w:val="22"/>
                <w:szCs w:val="22"/>
              </w:rPr>
              <w:t>ECC</w:t>
            </w:r>
            <w:r w:rsidRPr="00630129">
              <w:rPr>
                <w:sz w:val="22"/>
                <w:szCs w:val="22"/>
                <w:vertAlign w:val="subscript"/>
              </w:rPr>
              <w:t>p</w:t>
            </w:r>
            <w:proofErr w:type="spellEnd"/>
          </w:p>
        </w:tc>
        <w:tc>
          <w:tcPr>
            <w:tcW w:w="492" w:type="pct"/>
            <w:tcMar>
              <w:top w:w="85" w:type="dxa"/>
              <w:left w:w="85" w:type="dxa"/>
              <w:bottom w:w="85" w:type="dxa"/>
              <w:right w:w="85" w:type="dxa"/>
            </w:tcMar>
          </w:tcPr>
          <w:p w14:paraId="34D62DE8"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17ABEDAF" w14:textId="77777777" w:rsidR="00342C07" w:rsidRPr="00630129" w:rsidRDefault="00342C07" w:rsidP="00F60AD8">
            <w:pPr>
              <w:rPr>
                <w:i/>
                <w:sz w:val="22"/>
                <w:szCs w:val="22"/>
              </w:rPr>
            </w:pPr>
            <w:r w:rsidRPr="00630129">
              <w:rPr>
                <w:sz w:val="22"/>
                <w:szCs w:val="22"/>
              </w:rPr>
              <w:t>Has the meaning given to that term in Section M2.4.1.</w:t>
            </w:r>
          </w:p>
        </w:tc>
      </w:tr>
      <w:tr w:rsidR="00342C07" w:rsidRPr="00630129" w14:paraId="374BC6D0" w14:textId="77777777" w:rsidTr="00A63BA8">
        <w:trPr>
          <w:cantSplit/>
        </w:trPr>
        <w:tc>
          <w:tcPr>
            <w:tcW w:w="994" w:type="pct"/>
            <w:tcMar>
              <w:top w:w="85" w:type="dxa"/>
              <w:left w:w="85" w:type="dxa"/>
              <w:bottom w:w="85" w:type="dxa"/>
              <w:right w:w="85" w:type="dxa"/>
            </w:tcMar>
          </w:tcPr>
          <w:p w14:paraId="15C458FE" w14:textId="77777777" w:rsidR="00342C07" w:rsidRPr="00630129" w:rsidRDefault="00342C07" w:rsidP="00F60AD8">
            <w:pPr>
              <w:rPr>
                <w:sz w:val="22"/>
                <w:szCs w:val="22"/>
              </w:rPr>
            </w:pPr>
            <w:r w:rsidRPr="00630129">
              <w:rPr>
                <w:sz w:val="22"/>
                <w:szCs w:val="22"/>
              </w:rPr>
              <w:t>Energy Indebtedness</w:t>
            </w:r>
          </w:p>
        </w:tc>
        <w:tc>
          <w:tcPr>
            <w:tcW w:w="974" w:type="pct"/>
            <w:tcMar>
              <w:top w:w="85" w:type="dxa"/>
              <w:left w:w="85" w:type="dxa"/>
              <w:bottom w:w="85" w:type="dxa"/>
              <w:right w:w="85" w:type="dxa"/>
            </w:tcMar>
          </w:tcPr>
          <w:p w14:paraId="2896CDA9" w14:textId="77777777" w:rsidR="00342C07" w:rsidRPr="00630129" w:rsidRDefault="00342C07" w:rsidP="00F60AD8">
            <w:pPr>
              <w:rPr>
                <w:sz w:val="22"/>
                <w:szCs w:val="22"/>
              </w:rPr>
            </w:pPr>
            <w:proofErr w:type="spellStart"/>
            <w:r w:rsidRPr="00630129">
              <w:rPr>
                <w:sz w:val="22"/>
                <w:szCs w:val="22"/>
              </w:rPr>
              <w:t>EI</w:t>
            </w:r>
            <w:r w:rsidRPr="00630129">
              <w:rPr>
                <w:sz w:val="22"/>
                <w:szCs w:val="22"/>
                <w:vertAlign w:val="subscript"/>
              </w:rPr>
              <w:t>pj</w:t>
            </w:r>
            <w:proofErr w:type="spellEnd"/>
          </w:p>
        </w:tc>
        <w:tc>
          <w:tcPr>
            <w:tcW w:w="492" w:type="pct"/>
            <w:tcMar>
              <w:top w:w="85" w:type="dxa"/>
              <w:left w:w="85" w:type="dxa"/>
              <w:bottom w:w="85" w:type="dxa"/>
              <w:right w:w="85" w:type="dxa"/>
            </w:tcMar>
          </w:tcPr>
          <w:p w14:paraId="3C5C8783"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44C7927E" w14:textId="77777777" w:rsidR="00342C07" w:rsidRPr="00630129" w:rsidRDefault="00342C07" w:rsidP="00F60AD8">
            <w:pPr>
              <w:rPr>
                <w:sz w:val="22"/>
                <w:szCs w:val="22"/>
              </w:rPr>
            </w:pPr>
            <w:r w:rsidRPr="00630129">
              <w:rPr>
                <w:sz w:val="22"/>
                <w:szCs w:val="22"/>
              </w:rPr>
              <w:t>Has the meaning given to that term in Section M1.2.1.</w:t>
            </w:r>
          </w:p>
        </w:tc>
      </w:tr>
      <w:tr w:rsidR="00342C07" w:rsidRPr="00630129" w14:paraId="1DF23741" w14:textId="77777777" w:rsidTr="00A63BA8">
        <w:trPr>
          <w:cantSplit/>
        </w:trPr>
        <w:tc>
          <w:tcPr>
            <w:tcW w:w="994" w:type="pct"/>
            <w:tcMar>
              <w:top w:w="85" w:type="dxa"/>
              <w:left w:w="85" w:type="dxa"/>
              <w:bottom w:w="85" w:type="dxa"/>
              <w:right w:w="85" w:type="dxa"/>
            </w:tcMar>
          </w:tcPr>
          <w:p w14:paraId="7116E7A3" w14:textId="77777777" w:rsidR="00342C07" w:rsidRPr="00630129" w:rsidRDefault="00342C07" w:rsidP="00F60AD8">
            <w:pPr>
              <w:pStyle w:val="Text"/>
              <w:spacing w:after="0"/>
              <w:rPr>
                <w:szCs w:val="22"/>
              </w:rPr>
            </w:pPr>
            <w:r w:rsidRPr="00630129">
              <w:rPr>
                <w:szCs w:val="22"/>
              </w:rPr>
              <w:lastRenderedPageBreak/>
              <w:t>Erroneous Energy Indebtedness</w:t>
            </w:r>
          </w:p>
        </w:tc>
        <w:tc>
          <w:tcPr>
            <w:tcW w:w="974" w:type="pct"/>
            <w:tcMar>
              <w:top w:w="85" w:type="dxa"/>
              <w:left w:w="85" w:type="dxa"/>
              <w:bottom w:w="85" w:type="dxa"/>
              <w:right w:w="85" w:type="dxa"/>
            </w:tcMar>
          </w:tcPr>
          <w:p w14:paraId="16C13C66" w14:textId="77777777" w:rsidR="00342C07" w:rsidRPr="00630129" w:rsidRDefault="00342C07" w:rsidP="00F60AD8">
            <w:pPr>
              <w:rPr>
                <w:sz w:val="22"/>
                <w:szCs w:val="22"/>
                <w:vertAlign w:val="subscript"/>
              </w:rPr>
            </w:pPr>
            <w:proofErr w:type="spellStart"/>
            <w:r w:rsidRPr="00630129">
              <w:rPr>
                <w:sz w:val="22"/>
                <w:szCs w:val="22"/>
              </w:rPr>
              <w:t>EEI</w:t>
            </w:r>
            <w:r w:rsidRPr="00630129">
              <w:rPr>
                <w:sz w:val="22"/>
                <w:szCs w:val="22"/>
                <w:vertAlign w:val="subscript"/>
              </w:rPr>
              <w:t>pj</w:t>
            </w:r>
            <w:proofErr w:type="spellEnd"/>
          </w:p>
        </w:tc>
        <w:tc>
          <w:tcPr>
            <w:tcW w:w="492" w:type="pct"/>
            <w:tcMar>
              <w:top w:w="85" w:type="dxa"/>
              <w:left w:w="85" w:type="dxa"/>
              <w:bottom w:w="85" w:type="dxa"/>
              <w:right w:w="85" w:type="dxa"/>
            </w:tcMar>
          </w:tcPr>
          <w:p w14:paraId="0E36C2FD"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65E324A5" w14:textId="77777777" w:rsidR="00342C07" w:rsidRPr="00630129" w:rsidRDefault="00342C07" w:rsidP="00F60AD8">
            <w:pPr>
              <w:spacing w:after="120"/>
              <w:rPr>
                <w:sz w:val="22"/>
                <w:szCs w:val="22"/>
              </w:rPr>
            </w:pPr>
            <w:r w:rsidRPr="00630129">
              <w:rPr>
                <w:sz w:val="22"/>
                <w:szCs w:val="22"/>
              </w:rPr>
              <w:t>The amount determined as such in accordance with Section M4.2.2.</w:t>
            </w:r>
          </w:p>
          <w:p w14:paraId="5601CBBF" w14:textId="77777777" w:rsidR="00342C07" w:rsidRPr="00630129" w:rsidRDefault="00342C07" w:rsidP="00F60AD8">
            <w:pPr>
              <w:pStyle w:val="Heading9"/>
              <w:keepNext w:val="0"/>
              <w:jc w:val="left"/>
              <w:rPr>
                <w:szCs w:val="22"/>
              </w:rPr>
            </w:pPr>
            <w:r w:rsidRPr="00630129">
              <w:rPr>
                <w:szCs w:val="22"/>
              </w:rPr>
              <w:t>The Erroneous Energy Indebtedness represents an assessment of that amount of Energy Credit Cover that a Trading Party would have had to establish in Settlement Period j, in order to avoid being in level 1 credit default based on the erroneous calculation of Energy Indebtedness.</w:t>
            </w:r>
          </w:p>
        </w:tc>
      </w:tr>
      <w:tr w:rsidR="00342C07" w:rsidRPr="00630129" w14:paraId="3C1F34EB"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03E7C6C" w14:textId="77777777" w:rsidR="00342C07" w:rsidRPr="00630129" w:rsidRDefault="00342C07" w:rsidP="00F60AD8">
            <w:pPr>
              <w:rPr>
                <w:sz w:val="22"/>
                <w:szCs w:val="22"/>
              </w:rPr>
            </w:pPr>
            <w:r w:rsidRPr="00630129">
              <w:rPr>
                <w:sz w:val="22"/>
                <w:szCs w:val="22"/>
              </w:rPr>
              <w:t>Final Loss of Load Probability</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83823D6" w14:textId="77777777" w:rsidR="00342C07" w:rsidRPr="00630129" w:rsidRDefault="00342C07" w:rsidP="00F60AD8">
            <w:pPr>
              <w:rPr>
                <w:sz w:val="22"/>
                <w:szCs w:val="22"/>
              </w:rPr>
            </w:pPr>
            <w:proofErr w:type="spellStart"/>
            <w:r w:rsidRPr="00630129">
              <w:rPr>
                <w:sz w:val="22"/>
                <w:szCs w:val="22"/>
              </w:rPr>
              <w:t>LoLP</w:t>
            </w:r>
            <w:r w:rsidRPr="00630129">
              <w:rPr>
                <w:sz w:val="22"/>
                <w:szCs w:val="22"/>
                <w:vertAlign w:val="subscript"/>
              </w:rPr>
              <w:t>j</w:t>
            </w:r>
            <w:proofErr w:type="spellEnd"/>
            <w:r w:rsidRPr="00630129">
              <w:rPr>
                <w:sz w:val="22"/>
                <w:szCs w:val="22"/>
              </w:rPr>
              <w:t xml:space="preserve"> </w:t>
            </w:r>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CC3921A" w14:textId="77777777" w:rsidR="00342C07" w:rsidRPr="00630129" w:rsidRDefault="00342C07" w:rsidP="00F60AD8">
            <w:pPr>
              <w:rPr>
                <w:sz w:val="22"/>
                <w:szCs w:val="22"/>
              </w:rPr>
            </w:pP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45C89C41" w14:textId="77777777" w:rsidR="00342C07" w:rsidRPr="00630129" w:rsidRDefault="00342C07" w:rsidP="00F60AD8">
            <w:pPr>
              <w:rPr>
                <w:sz w:val="22"/>
                <w:szCs w:val="22"/>
              </w:rPr>
            </w:pPr>
            <w:r w:rsidRPr="00630129">
              <w:rPr>
                <w:sz w:val="22"/>
                <w:szCs w:val="22"/>
              </w:rPr>
              <w:t>In relation to a Settlement Period, the final probability to be provided by the NETSO in accordance with the Loss of Load Probability Calculation Statement and Section Q6.7.2 or Q6.8.4, as applicable.</w:t>
            </w:r>
          </w:p>
        </w:tc>
      </w:tr>
      <w:tr w:rsidR="00342C07" w:rsidRPr="00630129" w14:paraId="6B2FE39E" w14:textId="77777777" w:rsidTr="00A63BA8">
        <w:trPr>
          <w:cantSplit/>
        </w:trPr>
        <w:tc>
          <w:tcPr>
            <w:tcW w:w="994" w:type="pct"/>
            <w:tcMar>
              <w:top w:w="85" w:type="dxa"/>
              <w:left w:w="85" w:type="dxa"/>
              <w:bottom w:w="85" w:type="dxa"/>
              <w:right w:w="85" w:type="dxa"/>
            </w:tcMar>
          </w:tcPr>
          <w:p w14:paraId="143DE3E8" w14:textId="77777777" w:rsidR="00342C07" w:rsidRPr="00630129" w:rsidRDefault="00342C07" w:rsidP="00F60AD8">
            <w:pPr>
              <w:pStyle w:val="Text"/>
              <w:spacing w:after="0"/>
              <w:rPr>
                <w:szCs w:val="22"/>
              </w:rPr>
            </w:pPr>
            <w:r w:rsidRPr="00630129">
              <w:rPr>
                <w:szCs w:val="22"/>
              </w:rPr>
              <w:t>Final Ranked Set</w:t>
            </w:r>
          </w:p>
        </w:tc>
        <w:tc>
          <w:tcPr>
            <w:tcW w:w="974" w:type="pct"/>
            <w:tcMar>
              <w:top w:w="85" w:type="dxa"/>
              <w:left w:w="85" w:type="dxa"/>
              <w:bottom w:w="85" w:type="dxa"/>
              <w:right w:w="85" w:type="dxa"/>
            </w:tcMar>
          </w:tcPr>
          <w:p w14:paraId="255CE82A"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78436587"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4C9AD6D1" w14:textId="77777777" w:rsidR="00342C07" w:rsidRPr="00630129" w:rsidRDefault="00342C07" w:rsidP="00F60AD8">
            <w:pPr>
              <w:rPr>
                <w:sz w:val="22"/>
                <w:szCs w:val="22"/>
              </w:rPr>
            </w:pPr>
            <w:r w:rsidRPr="00630129">
              <w:rPr>
                <w:sz w:val="22"/>
                <w:szCs w:val="22"/>
              </w:rPr>
              <w:t>The Final Ranked Set as provided in paragraph 11.3 of Part 1 of Annex T-1.</w:t>
            </w:r>
          </w:p>
        </w:tc>
      </w:tr>
      <w:tr w:rsidR="00342C07" w:rsidRPr="00630129" w14:paraId="3ED9E121" w14:textId="77777777" w:rsidTr="00A63BA8">
        <w:trPr>
          <w:cantSplit/>
        </w:trPr>
        <w:tc>
          <w:tcPr>
            <w:tcW w:w="994" w:type="pct"/>
            <w:tcMar>
              <w:top w:w="85" w:type="dxa"/>
              <w:left w:w="85" w:type="dxa"/>
              <w:bottom w:w="85" w:type="dxa"/>
              <w:right w:w="85" w:type="dxa"/>
            </w:tcMar>
          </w:tcPr>
          <w:p w14:paraId="273C207B" w14:textId="77777777" w:rsidR="00342C07" w:rsidRPr="00630129" w:rsidRDefault="00342C07" w:rsidP="00F60AD8">
            <w:pPr>
              <w:pStyle w:val="Text"/>
              <w:spacing w:after="0"/>
              <w:rPr>
                <w:szCs w:val="22"/>
              </w:rPr>
            </w:pPr>
            <w:r w:rsidRPr="00630129">
              <w:rPr>
                <w:szCs w:val="22"/>
              </w:rPr>
              <w:t>First-Stage Flagged</w:t>
            </w:r>
          </w:p>
        </w:tc>
        <w:tc>
          <w:tcPr>
            <w:tcW w:w="974" w:type="pct"/>
            <w:tcMar>
              <w:top w:w="85" w:type="dxa"/>
              <w:left w:w="85" w:type="dxa"/>
              <w:bottom w:w="85" w:type="dxa"/>
              <w:right w:w="85" w:type="dxa"/>
            </w:tcMar>
          </w:tcPr>
          <w:p w14:paraId="48B6E0BB"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2AD83BCE"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447B0775" w14:textId="77777777" w:rsidR="00342C07" w:rsidRPr="00630129" w:rsidRDefault="00342C07" w:rsidP="00F60AD8">
            <w:pPr>
              <w:rPr>
                <w:sz w:val="22"/>
                <w:szCs w:val="22"/>
              </w:rPr>
            </w:pPr>
            <w:r w:rsidRPr="00630129">
              <w:rPr>
                <w:sz w:val="22"/>
                <w:szCs w:val="22"/>
              </w:rPr>
              <w:t>First-Stage Flagged in accordance with paragraph 3, 4 or 5 of Part 1 of Annex T-1.</w:t>
            </w:r>
          </w:p>
        </w:tc>
      </w:tr>
      <w:tr w:rsidR="00342C07" w:rsidRPr="00630129" w14:paraId="281CB5BA" w14:textId="77777777" w:rsidTr="00A63BA8">
        <w:trPr>
          <w:cantSplit/>
        </w:trPr>
        <w:tc>
          <w:tcPr>
            <w:tcW w:w="994" w:type="pct"/>
            <w:tcMar>
              <w:top w:w="85" w:type="dxa"/>
              <w:left w:w="85" w:type="dxa"/>
              <w:bottom w:w="85" w:type="dxa"/>
              <w:right w:w="85" w:type="dxa"/>
            </w:tcMar>
          </w:tcPr>
          <w:p w14:paraId="479E8FB8" w14:textId="77777777" w:rsidR="00342C07" w:rsidRPr="00630129" w:rsidRDefault="00342C07" w:rsidP="00F60AD8">
            <w:pPr>
              <w:pStyle w:val="Text"/>
              <w:spacing w:after="0"/>
              <w:rPr>
                <w:szCs w:val="22"/>
              </w:rPr>
            </w:pPr>
            <w:r w:rsidRPr="00630129">
              <w:rPr>
                <w:szCs w:val="22"/>
              </w:rPr>
              <w:t xml:space="preserve">Flagged (and </w:t>
            </w:r>
            <w:proofErr w:type="spellStart"/>
            <w:r w:rsidRPr="00630129">
              <w:rPr>
                <w:szCs w:val="22"/>
              </w:rPr>
              <w:t>Unflagged</w:t>
            </w:r>
            <w:proofErr w:type="spellEnd"/>
            <w:r w:rsidRPr="00630129">
              <w:rPr>
                <w:szCs w:val="22"/>
              </w:rPr>
              <w:t>)</w:t>
            </w:r>
          </w:p>
        </w:tc>
        <w:tc>
          <w:tcPr>
            <w:tcW w:w="974" w:type="pct"/>
            <w:tcMar>
              <w:top w:w="85" w:type="dxa"/>
              <w:left w:w="85" w:type="dxa"/>
              <w:bottom w:w="85" w:type="dxa"/>
              <w:right w:w="85" w:type="dxa"/>
            </w:tcMar>
          </w:tcPr>
          <w:p w14:paraId="28FC72CB"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77CC8D44"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7D545A64" w14:textId="77777777" w:rsidR="00342C07" w:rsidRPr="00630129" w:rsidRDefault="00342C07" w:rsidP="00F60AD8">
            <w:pPr>
              <w:rPr>
                <w:sz w:val="22"/>
                <w:szCs w:val="22"/>
              </w:rPr>
            </w:pPr>
            <w:r w:rsidRPr="00630129">
              <w:rPr>
                <w:sz w:val="22"/>
                <w:szCs w:val="22"/>
              </w:rPr>
              <w:t>Have the meanings given to those terms in paragraph 1.4 of Annex T-1.</w:t>
            </w:r>
          </w:p>
        </w:tc>
      </w:tr>
      <w:tr w:rsidR="00342C07" w:rsidRPr="00630129" w14:paraId="67E34568" w14:textId="77777777" w:rsidTr="00A63BA8">
        <w:trPr>
          <w:cantSplit/>
        </w:trPr>
        <w:tc>
          <w:tcPr>
            <w:tcW w:w="994" w:type="pct"/>
            <w:tcMar>
              <w:top w:w="85" w:type="dxa"/>
              <w:left w:w="85" w:type="dxa"/>
              <w:bottom w:w="85" w:type="dxa"/>
              <w:right w:w="85" w:type="dxa"/>
            </w:tcMar>
          </w:tcPr>
          <w:p w14:paraId="70745CBC" w14:textId="77777777" w:rsidR="00342C07" w:rsidRPr="00630129" w:rsidRDefault="00342C07" w:rsidP="00F60AD8">
            <w:pPr>
              <w:pStyle w:val="Text"/>
              <w:spacing w:after="0"/>
              <w:rPr>
                <w:szCs w:val="22"/>
              </w:rPr>
            </w:pPr>
            <w:r w:rsidRPr="00630129">
              <w:rPr>
                <w:szCs w:val="22"/>
              </w:rPr>
              <w:t>Flow Direction</w:t>
            </w:r>
          </w:p>
        </w:tc>
        <w:tc>
          <w:tcPr>
            <w:tcW w:w="974" w:type="pct"/>
            <w:tcMar>
              <w:top w:w="85" w:type="dxa"/>
              <w:left w:w="85" w:type="dxa"/>
              <w:bottom w:w="85" w:type="dxa"/>
              <w:right w:w="85" w:type="dxa"/>
            </w:tcMar>
          </w:tcPr>
          <w:p w14:paraId="3B169308"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6C1361C3"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3E9A5719" w14:textId="77777777" w:rsidR="00342C07" w:rsidRPr="00630129" w:rsidRDefault="00342C07" w:rsidP="00F60AD8">
            <w:pPr>
              <w:spacing w:after="120"/>
              <w:rPr>
                <w:sz w:val="22"/>
                <w:szCs w:val="22"/>
              </w:rPr>
            </w:pPr>
            <w:r w:rsidRPr="00630129">
              <w:rPr>
                <w:sz w:val="22"/>
                <w:szCs w:val="22"/>
              </w:rPr>
              <w:t>Indicates the direction of the flow of energy associated with a Position.</w:t>
            </w:r>
          </w:p>
          <w:p w14:paraId="420C2B3B" w14:textId="77777777" w:rsidR="00342C07" w:rsidRPr="00630129" w:rsidRDefault="00342C07" w:rsidP="00F60AD8">
            <w:pPr>
              <w:rPr>
                <w:sz w:val="22"/>
                <w:szCs w:val="22"/>
              </w:rPr>
            </w:pPr>
            <w:r w:rsidRPr="00630129">
              <w:rPr>
                <w:i/>
                <w:sz w:val="22"/>
                <w:szCs w:val="22"/>
              </w:rPr>
              <w:t xml:space="preserve">Flow Direction forms part of the </w:t>
            </w:r>
            <w:r w:rsidRPr="00630129">
              <w:rPr>
                <w:i/>
                <w:sz w:val="22"/>
              </w:rPr>
              <w:t>Replacement Reserve Activation Data, GB Need Met Data and Interconnector Schedule Data for each Position and is submitted by the NETSO pursuant to Section Q</w:t>
            </w:r>
            <w:r w:rsidRPr="00630129">
              <w:rPr>
                <w:sz w:val="22"/>
                <w:szCs w:val="22"/>
              </w:rPr>
              <w:t>.</w:t>
            </w:r>
          </w:p>
        </w:tc>
      </w:tr>
      <w:tr w:rsidR="00342C07" w:rsidRPr="00630129" w14:paraId="4D68C860" w14:textId="77777777" w:rsidTr="00A63BA8">
        <w:trPr>
          <w:cantSplit/>
        </w:trPr>
        <w:tc>
          <w:tcPr>
            <w:tcW w:w="994" w:type="pct"/>
            <w:tcMar>
              <w:top w:w="85" w:type="dxa"/>
              <w:left w:w="85" w:type="dxa"/>
              <w:bottom w:w="85" w:type="dxa"/>
              <w:right w:w="85" w:type="dxa"/>
            </w:tcMar>
          </w:tcPr>
          <w:p w14:paraId="14EA91DB" w14:textId="77777777" w:rsidR="00342C07" w:rsidRPr="00630129" w:rsidRDefault="00342C07" w:rsidP="00F60AD8">
            <w:pPr>
              <w:pStyle w:val="Text"/>
              <w:spacing w:after="0"/>
              <w:rPr>
                <w:szCs w:val="22"/>
              </w:rPr>
            </w:pPr>
            <w:r w:rsidRPr="00630129">
              <w:rPr>
                <w:szCs w:val="22"/>
              </w:rPr>
              <w:t>Forecast Total Power Park Module Generation</w:t>
            </w:r>
          </w:p>
        </w:tc>
        <w:tc>
          <w:tcPr>
            <w:tcW w:w="974" w:type="pct"/>
            <w:tcMar>
              <w:top w:w="85" w:type="dxa"/>
              <w:left w:w="85" w:type="dxa"/>
              <w:bottom w:w="85" w:type="dxa"/>
              <w:right w:w="85" w:type="dxa"/>
            </w:tcMar>
          </w:tcPr>
          <w:p w14:paraId="05EA47B1"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07CD0F92"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60DB0557" w14:textId="77777777" w:rsidR="00342C07" w:rsidRPr="00630129" w:rsidRDefault="00342C07" w:rsidP="00F60AD8">
            <w:pPr>
              <w:rPr>
                <w:sz w:val="22"/>
                <w:szCs w:val="22"/>
              </w:rPr>
            </w:pPr>
            <w:r w:rsidRPr="00630129">
              <w:rPr>
                <w:sz w:val="22"/>
                <w:szCs w:val="22"/>
              </w:rPr>
              <w:t>The forecast of total generation across all Power Park Modules metered by the NETSO in accordance with CC6.5.6 of the Grid Code.</w:t>
            </w:r>
          </w:p>
        </w:tc>
      </w:tr>
      <w:tr w:rsidR="00342C07" w:rsidRPr="00630129" w14:paraId="7C7FD64D" w14:textId="77777777" w:rsidTr="00A63BA8">
        <w:trPr>
          <w:cantSplit/>
        </w:trPr>
        <w:tc>
          <w:tcPr>
            <w:tcW w:w="994" w:type="pct"/>
            <w:tcMar>
              <w:top w:w="85" w:type="dxa"/>
              <w:left w:w="85" w:type="dxa"/>
              <w:bottom w:w="85" w:type="dxa"/>
              <w:right w:w="85" w:type="dxa"/>
            </w:tcMar>
          </w:tcPr>
          <w:p w14:paraId="47DBE8AF" w14:textId="77777777" w:rsidR="00342C07" w:rsidRPr="00630129" w:rsidRDefault="00342C07" w:rsidP="00F60AD8">
            <w:pPr>
              <w:pStyle w:val="Text"/>
              <w:spacing w:after="0"/>
              <w:rPr>
                <w:szCs w:val="22"/>
              </w:rPr>
            </w:pPr>
            <w:r w:rsidRPr="00630129">
              <w:rPr>
                <w:szCs w:val="22"/>
              </w:rPr>
              <w:t>FPN</w:t>
            </w:r>
          </w:p>
        </w:tc>
        <w:tc>
          <w:tcPr>
            <w:tcW w:w="974" w:type="pct"/>
            <w:tcMar>
              <w:top w:w="85" w:type="dxa"/>
              <w:left w:w="85" w:type="dxa"/>
              <w:bottom w:w="85" w:type="dxa"/>
              <w:right w:w="85" w:type="dxa"/>
            </w:tcMar>
          </w:tcPr>
          <w:p w14:paraId="5A7A6B4C" w14:textId="77777777" w:rsidR="00342C07" w:rsidRPr="00630129" w:rsidRDefault="00342C07" w:rsidP="00F60AD8">
            <w:pPr>
              <w:rPr>
                <w:sz w:val="22"/>
                <w:szCs w:val="22"/>
              </w:rPr>
            </w:pPr>
            <w:proofErr w:type="spellStart"/>
            <w:r w:rsidRPr="00630129">
              <w:rPr>
                <w:sz w:val="22"/>
                <w:szCs w:val="22"/>
              </w:rPr>
              <w:t>FPN</w:t>
            </w:r>
            <w:r w:rsidRPr="00630129">
              <w:rPr>
                <w:sz w:val="22"/>
                <w:szCs w:val="22"/>
                <w:vertAlign w:val="subscript"/>
              </w:rPr>
              <w:t>ij</w:t>
            </w:r>
            <w:proofErr w:type="spellEnd"/>
            <w:r w:rsidRPr="00630129">
              <w:rPr>
                <w:sz w:val="22"/>
                <w:szCs w:val="22"/>
              </w:rPr>
              <w:t>(t)</w:t>
            </w:r>
          </w:p>
        </w:tc>
        <w:tc>
          <w:tcPr>
            <w:tcW w:w="492" w:type="pct"/>
            <w:tcMar>
              <w:top w:w="85" w:type="dxa"/>
              <w:left w:w="85" w:type="dxa"/>
              <w:bottom w:w="85" w:type="dxa"/>
              <w:right w:w="85" w:type="dxa"/>
            </w:tcMar>
          </w:tcPr>
          <w:p w14:paraId="257327C4"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4DC945EC" w14:textId="77777777" w:rsidR="00342C07" w:rsidRPr="00630129" w:rsidRDefault="00342C07" w:rsidP="00F60AD8">
            <w:pPr>
              <w:spacing w:after="120"/>
              <w:rPr>
                <w:sz w:val="22"/>
                <w:szCs w:val="22"/>
              </w:rPr>
            </w:pPr>
            <w:r w:rsidRPr="00630129">
              <w:rPr>
                <w:sz w:val="22"/>
                <w:szCs w:val="22"/>
              </w:rPr>
              <w:t>The quantity established in accordance with Section T3.2.1.</w:t>
            </w:r>
          </w:p>
          <w:p w14:paraId="3D8C3FA8" w14:textId="77777777" w:rsidR="00342C07" w:rsidRPr="00630129" w:rsidRDefault="00342C07" w:rsidP="00F60AD8">
            <w:pPr>
              <w:spacing w:after="120"/>
              <w:rPr>
                <w:i/>
                <w:sz w:val="22"/>
                <w:szCs w:val="22"/>
              </w:rPr>
            </w:pPr>
            <w:r w:rsidRPr="00630129">
              <w:rPr>
                <w:i/>
                <w:sz w:val="22"/>
                <w:szCs w:val="22"/>
              </w:rPr>
              <w:t xml:space="preserve">The final physical notification for BM Unit is the level of import or export (as the case may be) that the Party expects to import or export from BM Unit </w:t>
            </w:r>
            <w:proofErr w:type="spellStart"/>
            <w:r w:rsidRPr="00630129">
              <w:rPr>
                <w:i/>
                <w:sz w:val="22"/>
                <w:szCs w:val="22"/>
              </w:rPr>
              <w:t>i</w:t>
            </w:r>
            <w:proofErr w:type="spellEnd"/>
            <w:r w:rsidRPr="00630129">
              <w:rPr>
                <w:i/>
                <w:sz w:val="22"/>
                <w:szCs w:val="22"/>
              </w:rPr>
              <w:t>, in Settlement Period j, in the absence of any Balancing Mechanism Acceptances from the NETSO.</w:t>
            </w:r>
          </w:p>
          <w:p w14:paraId="4872F077" w14:textId="77777777" w:rsidR="00342C07" w:rsidRPr="00630129" w:rsidRDefault="00342C07" w:rsidP="00F60AD8">
            <w:pPr>
              <w:rPr>
                <w:i/>
                <w:sz w:val="22"/>
                <w:szCs w:val="22"/>
              </w:rPr>
            </w:pPr>
            <w:r w:rsidRPr="00630129">
              <w:rPr>
                <w:i/>
                <w:sz w:val="22"/>
                <w:szCs w:val="22"/>
              </w:rPr>
              <w:t xml:space="preserve">The value of </w:t>
            </w:r>
            <w:proofErr w:type="spellStart"/>
            <w:r w:rsidRPr="00630129">
              <w:rPr>
                <w:i/>
                <w:sz w:val="22"/>
                <w:szCs w:val="22"/>
              </w:rPr>
              <w:t>FPN</w:t>
            </w:r>
            <w:r w:rsidRPr="00630129">
              <w:rPr>
                <w:i/>
                <w:sz w:val="22"/>
                <w:szCs w:val="22"/>
                <w:vertAlign w:val="subscript"/>
              </w:rPr>
              <w:t>ij</w:t>
            </w:r>
            <w:proofErr w:type="spellEnd"/>
            <w:r w:rsidRPr="00630129">
              <w:rPr>
                <w:i/>
                <w:sz w:val="22"/>
                <w:szCs w:val="22"/>
              </w:rPr>
              <w:t>(t) is calculated for spot times t in Settlement Period by linear interpolation from the discrete values of Point FPN submitted.</w:t>
            </w:r>
          </w:p>
        </w:tc>
      </w:tr>
      <w:tr w:rsidR="00342C07" w:rsidRPr="00630129" w14:paraId="245A6CD2" w14:textId="77777777" w:rsidTr="00A63BA8">
        <w:trPr>
          <w:cantSplit/>
        </w:trPr>
        <w:tc>
          <w:tcPr>
            <w:tcW w:w="994" w:type="pct"/>
            <w:tcMar>
              <w:top w:w="85" w:type="dxa"/>
              <w:left w:w="85" w:type="dxa"/>
              <w:bottom w:w="85" w:type="dxa"/>
              <w:right w:w="85" w:type="dxa"/>
            </w:tcMar>
          </w:tcPr>
          <w:p w14:paraId="4F4D3657" w14:textId="77777777" w:rsidR="00342C07" w:rsidRPr="00630129" w:rsidRDefault="00342C07" w:rsidP="00F60AD8">
            <w:pPr>
              <w:pStyle w:val="Text"/>
              <w:spacing w:after="0"/>
              <w:rPr>
                <w:szCs w:val="22"/>
              </w:rPr>
            </w:pPr>
            <w:r w:rsidRPr="00630129">
              <w:rPr>
                <w:szCs w:val="22"/>
              </w:rPr>
              <w:t>GB Need Met Data</w:t>
            </w:r>
          </w:p>
        </w:tc>
        <w:tc>
          <w:tcPr>
            <w:tcW w:w="974" w:type="pct"/>
            <w:tcMar>
              <w:top w:w="85" w:type="dxa"/>
              <w:left w:w="85" w:type="dxa"/>
              <w:bottom w:w="85" w:type="dxa"/>
              <w:right w:w="85" w:type="dxa"/>
            </w:tcMar>
          </w:tcPr>
          <w:p w14:paraId="602A96DF"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5CEADF19"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397DA61D" w14:textId="77777777" w:rsidR="00342C07" w:rsidRPr="00630129" w:rsidRDefault="00342C07" w:rsidP="00F60AD8">
            <w:pPr>
              <w:rPr>
                <w:sz w:val="22"/>
                <w:szCs w:val="22"/>
              </w:rPr>
            </w:pPr>
            <w:r w:rsidRPr="00630129">
              <w:rPr>
                <w:sz w:val="22"/>
                <w:szCs w:val="22"/>
              </w:rPr>
              <w:t>Data (comprising the items set out in Section Q5.6.3) to be submitted by the NETSO pursuant to Section Q6.2C.1(d).</w:t>
            </w:r>
          </w:p>
        </w:tc>
      </w:tr>
      <w:tr w:rsidR="00342C07" w:rsidRPr="00630129" w14:paraId="4C6BF72B" w14:textId="77777777" w:rsidTr="00A63BA8">
        <w:trPr>
          <w:cantSplit/>
        </w:trPr>
        <w:tc>
          <w:tcPr>
            <w:tcW w:w="994" w:type="pct"/>
            <w:tcMar>
              <w:top w:w="85" w:type="dxa"/>
              <w:left w:w="85" w:type="dxa"/>
              <w:bottom w:w="85" w:type="dxa"/>
              <w:right w:w="85" w:type="dxa"/>
            </w:tcMar>
          </w:tcPr>
          <w:p w14:paraId="3C0D764D" w14:textId="77777777" w:rsidR="00342C07" w:rsidRPr="00630129" w:rsidRDefault="00342C07" w:rsidP="00F60AD8">
            <w:pPr>
              <w:pStyle w:val="Text"/>
              <w:spacing w:after="0"/>
              <w:rPr>
                <w:szCs w:val="22"/>
              </w:rPr>
            </w:pPr>
            <w:r w:rsidRPr="00630129">
              <w:rPr>
                <w:szCs w:val="22"/>
              </w:rPr>
              <w:lastRenderedPageBreak/>
              <w:t>GC Limits</w:t>
            </w:r>
          </w:p>
        </w:tc>
        <w:tc>
          <w:tcPr>
            <w:tcW w:w="974" w:type="pct"/>
            <w:tcMar>
              <w:top w:w="85" w:type="dxa"/>
              <w:left w:w="85" w:type="dxa"/>
              <w:bottom w:w="85" w:type="dxa"/>
              <w:right w:w="85" w:type="dxa"/>
            </w:tcMar>
          </w:tcPr>
          <w:p w14:paraId="6B8042C9"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328EF88E" w14:textId="77777777" w:rsidR="00342C07" w:rsidRPr="00630129" w:rsidRDefault="00342C07" w:rsidP="00F60AD8">
            <w:pPr>
              <w:rPr>
                <w:sz w:val="22"/>
                <w:szCs w:val="22"/>
              </w:rPr>
            </w:pPr>
            <w:r w:rsidRPr="00630129">
              <w:rPr>
                <w:sz w:val="22"/>
                <w:szCs w:val="22"/>
              </w:rPr>
              <w:t>MW and/or %</w:t>
            </w:r>
          </w:p>
        </w:tc>
        <w:tc>
          <w:tcPr>
            <w:tcW w:w="2540" w:type="pct"/>
            <w:tcMar>
              <w:top w:w="85" w:type="dxa"/>
              <w:left w:w="85" w:type="dxa"/>
              <w:bottom w:w="85" w:type="dxa"/>
              <w:right w:w="85" w:type="dxa"/>
            </w:tcMar>
          </w:tcPr>
          <w:p w14:paraId="31E229D7" w14:textId="77777777" w:rsidR="00342C07" w:rsidRPr="00630129" w:rsidRDefault="00342C07" w:rsidP="00F60AD8">
            <w:pPr>
              <w:rPr>
                <w:sz w:val="22"/>
                <w:szCs w:val="22"/>
              </w:rPr>
            </w:pPr>
            <w:r w:rsidRPr="00630129">
              <w:rPr>
                <w:sz w:val="22"/>
                <w:szCs w:val="22"/>
              </w:rPr>
              <w:t>Is defined in Section X-1.</w:t>
            </w:r>
          </w:p>
        </w:tc>
      </w:tr>
      <w:tr w:rsidR="00342C07" w:rsidRPr="00630129" w14:paraId="6FFB0657" w14:textId="77777777" w:rsidTr="00A63BA8">
        <w:trPr>
          <w:cantSplit/>
        </w:trPr>
        <w:tc>
          <w:tcPr>
            <w:tcW w:w="994" w:type="pct"/>
            <w:tcMar>
              <w:top w:w="85" w:type="dxa"/>
              <w:left w:w="85" w:type="dxa"/>
              <w:bottom w:w="85" w:type="dxa"/>
              <w:right w:w="85" w:type="dxa"/>
            </w:tcMar>
          </w:tcPr>
          <w:p w14:paraId="64F61332" w14:textId="77777777" w:rsidR="00342C07" w:rsidRPr="00630129" w:rsidRDefault="00342C07" w:rsidP="00F60AD8">
            <w:pPr>
              <w:rPr>
                <w:sz w:val="22"/>
                <w:szCs w:val="22"/>
              </w:rPr>
            </w:pPr>
            <w:r w:rsidRPr="00630129">
              <w:rPr>
                <w:sz w:val="22"/>
                <w:szCs w:val="22"/>
              </w:rPr>
              <w:t>General Funding Share</w:t>
            </w:r>
          </w:p>
        </w:tc>
        <w:tc>
          <w:tcPr>
            <w:tcW w:w="974" w:type="pct"/>
            <w:tcMar>
              <w:top w:w="85" w:type="dxa"/>
              <w:left w:w="85" w:type="dxa"/>
              <w:bottom w:w="85" w:type="dxa"/>
              <w:right w:w="85" w:type="dxa"/>
            </w:tcMar>
          </w:tcPr>
          <w:p w14:paraId="4F4B588E" w14:textId="77777777" w:rsidR="00342C07" w:rsidRPr="00630129" w:rsidRDefault="00342C07" w:rsidP="00F60AD8">
            <w:pPr>
              <w:rPr>
                <w:sz w:val="22"/>
                <w:szCs w:val="22"/>
                <w:vertAlign w:val="subscript"/>
              </w:rPr>
            </w:pPr>
            <w:proofErr w:type="spellStart"/>
            <w:r w:rsidRPr="00630129">
              <w:rPr>
                <w:sz w:val="22"/>
                <w:szCs w:val="22"/>
              </w:rPr>
              <w:t>FSG</w:t>
            </w:r>
            <w:r w:rsidRPr="00630129">
              <w:rPr>
                <w:sz w:val="22"/>
                <w:szCs w:val="22"/>
                <w:vertAlign w:val="subscript"/>
              </w:rPr>
              <w:t>pm</w:t>
            </w:r>
            <w:proofErr w:type="spellEnd"/>
          </w:p>
        </w:tc>
        <w:tc>
          <w:tcPr>
            <w:tcW w:w="492" w:type="pct"/>
            <w:tcMar>
              <w:top w:w="85" w:type="dxa"/>
              <w:left w:w="85" w:type="dxa"/>
              <w:bottom w:w="85" w:type="dxa"/>
              <w:right w:w="85" w:type="dxa"/>
            </w:tcMar>
          </w:tcPr>
          <w:p w14:paraId="18910EF0"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0FF6CE61" w14:textId="77777777" w:rsidR="00342C07" w:rsidRPr="00630129" w:rsidRDefault="00342C07" w:rsidP="00F60AD8">
            <w:pPr>
              <w:spacing w:after="120"/>
              <w:rPr>
                <w:sz w:val="22"/>
                <w:szCs w:val="22"/>
              </w:rPr>
            </w:pPr>
            <w:r w:rsidRPr="00630129">
              <w:rPr>
                <w:sz w:val="22"/>
                <w:szCs w:val="22"/>
              </w:rPr>
              <w:t>Has the meaning given to that term in Section D1.2.1(d).</w:t>
            </w:r>
          </w:p>
          <w:p w14:paraId="0A5813C4" w14:textId="77777777" w:rsidR="00342C07" w:rsidRPr="00630129" w:rsidRDefault="00342C07" w:rsidP="00F60AD8">
            <w:pPr>
              <w:pStyle w:val="Heading9"/>
              <w:keepNext w:val="0"/>
              <w:jc w:val="left"/>
              <w:rPr>
                <w:szCs w:val="22"/>
              </w:rPr>
            </w:pPr>
            <w:r w:rsidRPr="00630129">
              <w:rPr>
                <w:szCs w:val="22"/>
              </w:rPr>
              <w:t xml:space="preserve">In relation to month m, a Trading Party’s General Funding Share reflects its proportionate share of the aggregate of certain </w:t>
            </w:r>
            <w:proofErr w:type="spellStart"/>
            <w:r w:rsidRPr="00630129">
              <w:rPr>
                <w:szCs w:val="22"/>
              </w:rPr>
              <w:t>BSCCo</w:t>
            </w:r>
            <w:proofErr w:type="spellEnd"/>
            <w:r w:rsidRPr="00630129">
              <w:rPr>
                <w:szCs w:val="22"/>
              </w:rPr>
              <w:t xml:space="preserve"> Charges for that month.</w:t>
            </w:r>
          </w:p>
        </w:tc>
      </w:tr>
      <w:tr w:rsidR="00342C07" w:rsidRPr="00630129" w14:paraId="09235E7C" w14:textId="77777777" w:rsidTr="00A63BA8">
        <w:trPr>
          <w:cantSplit/>
        </w:trPr>
        <w:tc>
          <w:tcPr>
            <w:tcW w:w="994" w:type="pct"/>
            <w:tcMar>
              <w:top w:w="85" w:type="dxa"/>
              <w:left w:w="85" w:type="dxa"/>
              <w:bottom w:w="85" w:type="dxa"/>
              <w:right w:w="85" w:type="dxa"/>
            </w:tcMar>
          </w:tcPr>
          <w:p w14:paraId="0C2F2408" w14:textId="77777777" w:rsidR="00342C07" w:rsidRPr="00630129" w:rsidRDefault="00342C07" w:rsidP="00F60AD8">
            <w:pPr>
              <w:rPr>
                <w:sz w:val="22"/>
                <w:szCs w:val="22"/>
              </w:rPr>
            </w:pPr>
            <w:r w:rsidRPr="00630129">
              <w:rPr>
                <w:sz w:val="22"/>
                <w:szCs w:val="22"/>
              </w:rPr>
              <w:t>Generating Plant Demand Margin</w:t>
            </w:r>
          </w:p>
        </w:tc>
        <w:tc>
          <w:tcPr>
            <w:tcW w:w="974" w:type="pct"/>
            <w:tcMar>
              <w:top w:w="85" w:type="dxa"/>
              <w:left w:w="85" w:type="dxa"/>
              <w:bottom w:w="85" w:type="dxa"/>
              <w:right w:w="85" w:type="dxa"/>
            </w:tcMar>
          </w:tcPr>
          <w:p w14:paraId="0785F417" w14:textId="77777777" w:rsidR="00342C07" w:rsidRPr="00630129" w:rsidRDefault="00342C07" w:rsidP="00F60AD8">
            <w:pPr>
              <w:rPr>
                <w:sz w:val="22"/>
                <w:szCs w:val="22"/>
              </w:rPr>
            </w:pPr>
            <w:r w:rsidRPr="00630129">
              <w:rPr>
                <w:sz w:val="22"/>
                <w:szCs w:val="22"/>
              </w:rPr>
              <w:t xml:space="preserve">OCNMFD or OCNMFW </w:t>
            </w:r>
          </w:p>
        </w:tc>
        <w:tc>
          <w:tcPr>
            <w:tcW w:w="492" w:type="pct"/>
            <w:tcMar>
              <w:top w:w="85" w:type="dxa"/>
              <w:left w:w="85" w:type="dxa"/>
              <w:bottom w:w="85" w:type="dxa"/>
              <w:right w:w="85" w:type="dxa"/>
            </w:tcMar>
          </w:tcPr>
          <w:p w14:paraId="38F1DE23"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31E3BF01" w14:textId="77777777" w:rsidR="00342C07" w:rsidRPr="00630129" w:rsidRDefault="00342C07" w:rsidP="00F60AD8">
            <w:pPr>
              <w:rPr>
                <w:sz w:val="22"/>
                <w:szCs w:val="22"/>
              </w:rPr>
            </w:pPr>
            <w:r w:rsidRPr="00630129">
              <w:rPr>
                <w:sz w:val="22"/>
                <w:szCs w:val="22"/>
              </w:rPr>
              <w:t xml:space="preserve">Has the meaning given to that term in OC2 of the Grid Code. </w:t>
            </w:r>
          </w:p>
        </w:tc>
      </w:tr>
      <w:tr w:rsidR="00342C07" w:rsidRPr="00630129" w14:paraId="2026850B" w14:textId="77777777" w:rsidTr="00A63BA8">
        <w:trPr>
          <w:cantSplit/>
        </w:trPr>
        <w:tc>
          <w:tcPr>
            <w:tcW w:w="994" w:type="pct"/>
            <w:tcMar>
              <w:top w:w="85" w:type="dxa"/>
              <w:left w:w="85" w:type="dxa"/>
              <w:bottom w:w="85" w:type="dxa"/>
              <w:right w:w="85" w:type="dxa"/>
            </w:tcMar>
          </w:tcPr>
          <w:p w14:paraId="2CEC7BB6" w14:textId="77777777" w:rsidR="00342C07" w:rsidRPr="00630129" w:rsidRDefault="00342C07" w:rsidP="00F60AD8">
            <w:pPr>
              <w:rPr>
                <w:sz w:val="22"/>
                <w:szCs w:val="22"/>
              </w:rPr>
            </w:pPr>
            <w:r w:rsidRPr="00630129">
              <w:rPr>
                <w:sz w:val="22"/>
                <w:szCs w:val="22"/>
              </w:rPr>
              <w:t>Generic Line Loss Factor</w:t>
            </w:r>
          </w:p>
        </w:tc>
        <w:tc>
          <w:tcPr>
            <w:tcW w:w="974" w:type="pct"/>
            <w:tcMar>
              <w:top w:w="85" w:type="dxa"/>
              <w:left w:w="85" w:type="dxa"/>
              <w:bottom w:w="85" w:type="dxa"/>
              <w:right w:w="85" w:type="dxa"/>
            </w:tcMar>
          </w:tcPr>
          <w:p w14:paraId="0752C598"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0D730ED8"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120D37E8" w14:textId="77777777" w:rsidR="00342C07" w:rsidRPr="00630129" w:rsidRDefault="00342C07" w:rsidP="00F60AD8">
            <w:pPr>
              <w:pStyle w:val="Text"/>
              <w:spacing w:after="0"/>
              <w:rPr>
                <w:szCs w:val="22"/>
              </w:rPr>
            </w:pPr>
            <w:r w:rsidRPr="00630129">
              <w:rPr>
                <w:szCs w:val="22"/>
              </w:rPr>
              <w:t>A Line Loss Factor established for a class of Metering System as provided for in Section K1.7.2.</w:t>
            </w:r>
          </w:p>
        </w:tc>
      </w:tr>
      <w:tr w:rsidR="00342C07" w:rsidRPr="00630129" w14:paraId="69BEB60A" w14:textId="77777777" w:rsidTr="00A63BA8">
        <w:trPr>
          <w:cantSplit/>
        </w:trPr>
        <w:tc>
          <w:tcPr>
            <w:tcW w:w="994" w:type="pct"/>
            <w:tcMar>
              <w:top w:w="85" w:type="dxa"/>
              <w:left w:w="85" w:type="dxa"/>
              <w:bottom w:w="85" w:type="dxa"/>
              <w:right w:w="85" w:type="dxa"/>
            </w:tcMar>
          </w:tcPr>
          <w:p w14:paraId="00CAAE99" w14:textId="77777777" w:rsidR="00342C07" w:rsidRPr="00630129" w:rsidRDefault="00342C07" w:rsidP="00F60AD8">
            <w:pPr>
              <w:rPr>
                <w:sz w:val="22"/>
                <w:szCs w:val="22"/>
              </w:rPr>
            </w:pPr>
            <w:r w:rsidRPr="00630129">
              <w:rPr>
                <w:sz w:val="22"/>
                <w:szCs w:val="22"/>
              </w:rPr>
              <w:t>Gross Contract MWh</w:t>
            </w:r>
          </w:p>
        </w:tc>
        <w:tc>
          <w:tcPr>
            <w:tcW w:w="974" w:type="pct"/>
            <w:tcMar>
              <w:top w:w="85" w:type="dxa"/>
              <w:left w:w="85" w:type="dxa"/>
              <w:bottom w:w="85" w:type="dxa"/>
              <w:right w:w="85" w:type="dxa"/>
            </w:tcMar>
          </w:tcPr>
          <w:p w14:paraId="7A98CE83" w14:textId="77777777" w:rsidR="00342C07" w:rsidRPr="00630129" w:rsidRDefault="00342C07" w:rsidP="00F60AD8">
            <w:pPr>
              <w:rPr>
                <w:sz w:val="22"/>
                <w:szCs w:val="22"/>
                <w:vertAlign w:val="subscript"/>
              </w:rPr>
            </w:pPr>
          </w:p>
        </w:tc>
        <w:tc>
          <w:tcPr>
            <w:tcW w:w="492" w:type="pct"/>
            <w:tcMar>
              <w:top w:w="85" w:type="dxa"/>
              <w:left w:w="85" w:type="dxa"/>
              <w:bottom w:w="85" w:type="dxa"/>
              <w:right w:w="85" w:type="dxa"/>
            </w:tcMar>
          </w:tcPr>
          <w:p w14:paraId="53377ADD"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12715EA8" w14:textId="77777777" w:rsidR="00342C07" w:rsidRPr="00630129" w:rsidRDefault="00342C07" w:rsidP="00F60AD8">
            <w:pPr>
              <w:spacing w:after="120"/>
              <w:rPr>
                <w:sz w:val="22"/>
                <w:szCs w:val="22"/>
              </w:rPr>
            </w:pPr>
            <w:r w:rsidRPr="00630129">
              <w:rPr>
                <w:sz w:val="22"/>
                <w:szCs w:val="22"/>
              </w:rPr>
              <w:t>The value established in accordance with Annex D-3 paragraph 3.2.</w:t>
            </w:r>
          </w:p>
          <w:p w14:paraId="22491BDD" w14:textId="77777777" w:rsidR="00342C07" w:rsidRPr="00630129" w:rsidRDefault="00342C07" w:rsidP="00F60AD8">
            <w:pPr>
              <w:rPr>
                <w:i/>
                <w:sz w:val="22"/>
                <w:szCs w:val="22"/>
              </w:rPr>
            </w:pPr>
            <w:r w:rsidRPr="00630129">
              <w:rPr>
                <w:i/>
                <w:sz w:val="22"/>
                <w:szCs w:val="22"/>
              </w:rPr>
              <w:t>The Gross Contract MWh is the gross aggregate of all Energy Contract Volumes and Metered Volume Fixed Reallocations relating to a Trading Party over a given month.</w:t>
            </w:r>
          </w:p>
        </w:tc>
      </w:tr>
      <w:tr w:rsidR="00342C07" w:rsidRPr="00630129" w14:paraId="4E6C55A5" w14:textId="77777777" w:rsidTr="00A63BA8">
        <w:trPr>
          <w:cantSplit/>
        </w:trPr>
        <w:tc>
          <w:tcPr>
            <w:tcW w:w="994" w:type="pct"/>
            <w:tcMar>
              <w:top w:w="85" w:type="dxa"/>
              <w:left w:w="85" w:type="dxa"/>
              <w:bottom w:w="85" w:type="dxa"/>
              <w:right w:w="85" w:type="dxa"/>
            </w:tcMar>
          </w:tcPr>
          <w:p w14:paraId="545A85C8" w14:textId="77777777" w:rsidR="00342C07" w:rsidRPr="00630129" w:rsidRDefault="00342C07" w:rsidP="00F60AD8">
            <w:pPr>
              <w:rPr>
                <w:sz w:val="22"/>
                <w:szCs w:val="22"/>
              </w:rPr>
            </w:pPr>
            <w:r w:rsidRPr="00630129">
              <w:rPr>
                <w:sz w:val="22"/>
                <w:szCs w:val="22"/>
              </w:rPr>
              <w:t>GSP Group Metered Volume</w:t>
            </w:r>
          </w:p>
        </w:tc>
        <w:tc>
          <w:tcPr>
            <w:tcW w:w="974" w:type="pct"/>
            <w:tcMar>
              <w:top w:w="85" w:type="dxa"/>
              <w:left w:w="85" w:type="dxa"/>
              <w:bottom w:w="85" w:type="dxa"/>
              <w:right w:w="85" w:type="dxa"/>
            </w:tcMar>
          </w:tcPr>
          <w:p w14:paraId="2FCB35EE" w14:textId="77777777" w:rsidR="00342C07" w:rsidRPr="00630129" w:rsidRDefault="00342C07" w:rsidP="00F60AD8">
            <w:pPr>
              <w:rPr>
                <w:sz w:val="22"/>
                <w:szCs w:val="22"/>
                <w:vertAlign w:val="subscript"/>
              </w:rPr>
            </w:pPr>
          </w:p>
        </w:tc>
        <w:tc>
          <w:tcPr>
            <w:tcW w:w="492" w:type="pct"/>
            <w:tcMar>
              <w:top w:w="85" w:type="dxa"/>
              <w:left w:w="85" w:type="dxa"/>
              <w:bottom w:w="85" w:type="dxa"/>
              <w:right w:w="85" w:type="dxa"/>
            </w:tcMar>
          </w:tcPr>
          <w:p w14:paraId="21E0B0FF"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43F2EFB1" w14:textId="77777777" w:rsidR="00342C07" w:rsidRPr="00630129" w:rsidRDefault="00342C07" w:rsidP="00F60AD8">
            <w:pPr>
              <w:spacing w:after="120"/>
              <w:rPr>
                <w:sz w:val="22"/>
                <w:szCs w:val="22"/>
              </w:rPr>
            </w:pPr>
            <w:r w:rsidRPr="00630129">
              <w:rPr>
                <w:sz w:val="22"/>
                <w:szCs w:val="22"/>
              </w:rPr>
              <w:t>In relation to any GSP Group and any Settlement Period, a Metered Volume representing the algebraic sum of:</w:t>
            </w:r>
          </w:p>
          <w:p w14:paraId="59E236F6" w14:textId="77777777" w:rsidR="00342C07" w:rsidRPr="00630129" w:rsidRDefault="00342C07" w:rsidP="00F60AD8">
            <w:pPr>
              <w:pStyle w:val="StyleTextLeft0cmHanging23cm"/>
              <w:spacing w:after="120"/>
              <w:ind w:left="567" w:hanging="567"/>
              <w:rPr>
                <w:szCs w:val="22"/>
              </w:rPr>
            </w:pPr>
            <w:r w:rsidRPr="00630129">
              <w:rPr>
                <w:szCs w:val="22"/>
              </w:rPr>
              <w:t>(</w:t>
            </w:r>
            <w:proofErr w:type="spellStart"/>
            <w:r w:rsidRPr="00630129">
              <w:rPr>
                <w:szCs w:val="22"/>
              </w:rPr>
              <w:t>i</w:t>
            </w:r>
            <w:proofErr w:type="spellEnd"/>
            <w:r w:rsidRPr="00630129">
              <w:rPr>
                <w:szCs w:val="22"/>
              </w:rPr>
              <w:t>)</w:t>
            </w:r>
            <w:r w:rsidRPr="00630129">
              <w:rPr>
                <w:szCs w:val="22"/>
              </w:rPr>
              <w:tab/>
              <w:t>the quantity of Active Energy flowing into a GSP Group at Grid Supply Points connected to that GSP Group and at Distribution Systems Connections Points connected to that GSP Group, and</w:t>
            </w:r>
          </w:p>
          <w:p w14:paraId="56635727" w14:textId="77777777" w:rsidR="00342C07" w:rsidRPr="00630129" w:rsidRDefault="00342C07" w:rsidP="00F60AD8">
            <w:pPr>
              <w:pStyle w:val="StyleTextLeft0cmHanging23cm"/>
              <w:spacing w:after="120"/>
              <w:ind w:left="567" w:hanging="567"/>
              <w:rPr>
                <w:szCs w:val="22"/>
              </w:rPr>
            </w:pPr>
            <w:r w:rsidRPr="00630129">
              <w:rPr>
                <w:szCs w:val="22"/>
              </w:rPr>
              <w:t>(ii)</w:t>
            </w:r>
            <w:r w:rsidRPr="00630129">
              <w:rPr>
                <w:szCs w:val="22"/>
              </w:rPr>
              <w:tab/>
              <w:t>the quantity of Active Energy flowing out of a GSP Group at Grid Supply Points connected to that GSP Group and at Distribution Systems Connections Points connected to that GSP Group</w:t>
            </w:r>
          </w:p>
          <w:p w14:paraId="3C136090" w14:textId="77777777" w:rsidR="00342C07" w:rsidRPr="00630129" w:rsidRDefault="00342C07" w:rsidP="00F60AD8">
            <w:pPr>
              <w:rPr>
                <w:sz w:val="22"/>
                <w:szCs w:val="22"/>
              </w:rPr>
            </w:pPr>
            <w:r w:rsidRPr="00630129">
              <w:rPr>
                <w:sz w:val="22"/>
                <w:szCs w:val="22"/>
              </w:rPr>
              <w:t>but disregarding Exports and Imports at Boundary Points in that GSP Group.</w:t>
            </w:r>
          </w:p>
        </w:tc>
      </w:tr>
      <w:tr w:rsidR="00342C07" w:rsidRPr="00630129" w14:paraId="145993FF" w14:textId="77777777" w:rsidTr="00A63BA8">
        <w:trPr>
          <w:cantSplit/>
        </w:trPr>
        <w:tc>
          <w:tcPr>
            <w:tcW w:w="994" w:type="pct"/>
            <w:tcMar>
              <w:top w:w="85" w:type="dxa"/>
              <w:left w:w="85" w:type="dxa"/>
              <w:bottom w:w="85" w:type="dxa"/>
              <w:right w:w="85" w:type="dxa"/>
            </w:tcMar>
          </w:tcPr>
          <w:p w14:paraId="2D1E72E9" w14:textId="77777777" w:rsidR="00342C07" w:rsidRPr="00630129" w:rsidRDefault="00342C07" w:rsidP="00F60AD8">
            <w:pPr>
              <w:rPr>
                <w:sz w:val="22"/>
                <w:szCs w:val="22"/>
              </w:rPr>
            </w:pPr>
            <w:r w:rsidRPr="00630129">
              <w:rPr>
                <w:sz w:val="22"/>
                <w:szCs w:val="22"/>
              </w:rPr>
              <w:lastRenderedPageBreak/>
              <w:t>GSP Group Take</w:t>
            </w:r>
          </w:p>
        </w:tc>
        <w:tc>
          <w:tcPr>
            <w:tcW w:w="974" w:type="pct"/>
            <w:tcMar>
              <w:top w:w="85" w:type="dxa"/>
              <w:left w:w="85" w:type="dxa"/>
              <w:bottom w:w="85" w:type="dxa"/>
              <w:right w:w="85" w:type="dxa"/>
            </w:tcMar>
          </w:tcPr>
          <w:p w14:paraId="042B1191" w14:textId="77777777" w:rsidR="00342C07" w:rsidRPr="00630129" w:rsidRDefault="00342C07" w:rsidP="00F60AD8">
            <w:pPr>
              <w:rPr>
                <w:sz w:val="22"/>
                <w:szCs w:val="22"/>
                <w:vertAlign w:val="subscript"/>
              </w:rPr>
            </w:pPr>
          </w:p>
        </w:tc>
        <w:tc>
          <w:tcPr>
            <w:tcW w:w="492" w:type="pct"/>
            <w:tcMar>
              <w:top w:w="85" w:type="dxa"/>
              <w:left w:w="85" w:type="dxa"/>
              <w:bottom w:w="85" w:type="dxa"/>
              <w:right w:w="85" w:type="dxa"/>
            </w:tcMar>
          </w:tcPr>
          <w:p w14:paraId="034D8EA4"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5165EE70" w14:textId="77777777" w:rsidR="00342C07" w:rsidRPr="00630129" w:rsidRDefault="00342C07" w:rsidP="00F60AD8">
            <w:pPr>
              <w:pStyle w:val="Text"/>
              <w:spacing w:after="120"/>
              <w:rPr>
                <w:szCs w:val="22"/>
              </w:rPr>
            </w:pPr>
            <w:r w:rsidRPr="00630129">
              <w:rPr>
                <w:szCs w:val="22"/>
              </w:rPr>
              <w:t>In relation to any GSP Group and any Settlement Period, shall be determined as follows:</w:t>
            </w:r>
          </w:p>
          <w:p w14:paraId="4E7915C2" w14:textId="77777777" w:rsidR="00342C07" w:rsidRPr="00630129" w:rsidRDefault="00342C07" w:rsidP="00F60AD8">
            <w:pPr>
              <w:pStyle w:val="Text"/>
              <w:spacing w:after="120"/>
              <w:rPr>
                <w:szCs w:val="22"/>
              </w:rPr>
            </w:pPr>
            <w:r w:rsidRPr="00630129">
              <w:rPr>
                <w:szCs w:val="22"/>
              </w:rPr>
              <w:t xml:space="preserve">GSPGT = </w:t>
            </w:r>
            <w:r w:rsidRPr="00630129">
              <w:rPr>
                <w:szCs w:val="22"/>
              </w:rPr>
              <w:tab/>
              <w:t>GMV + I – E</w:t>
            </w:r>
          </w:p>
          <w:p w14:paraId="16448081" w14:textId="77777777" w:rsidR="00342C07" w:rsidRPr="00630129" w:rsidRDefault="00342C07" w:rsidP="00F60AD8">
            <w:pPr>
              <w:pStyle w:val="Text"/>
              <w:spacing w:after="120"/>
              <w:rPr>
                <w:szCs w:val="22"/>
              </w:rPr>
            </w:pPr>
            <w:r w:rsidRPr="00630129">
              <w:rPr>
                <w:szCs w:val="22"/>
              </w:rPr>
              <w:t>where:</w:t>
            </w:r>
          </w:p>
          <w:p w14:paraId="5D02A436" w14:textId="77777777" w:rsidR="00342C07" w:rsidRPr="00630129" w:rsidRDefault="00342C07" w:rsidP="00F60AD8">
            <w:pPr>
              <w:pStyle w:val="StyleTextLeft0cmHanging23cm"/>
              <w:spacing w:after="120"/>
              <w:ind w:left="851" w:hanging="851"/>
              <w:rPr>
                <w:szCs w:val="22"/>
              </w:rPr>
            </w:pPr>
            <w:r w:rsidRPr="00630129">
              <w:rPr>
                <w:szCs w:val="22"/>
              </w:rPr>
              <w:t>GSPGT</w:t>
            </w:r>
            <w:r w:rsidRPr="00630129">
              <w:rPr>
                <w:szCs w:val="22"/>
              </w:rPr>
              <w:tab/>
              <w:t>means the GSP Group Take for that GSP Group and that Settlement Period;</w:t>
            </w:r>
          </w:p>
          <w:p w14:paraId="4962932B" w14:textId="77777777" w:rsidR="00342C07" w:rsidRPr="00630129" w:rsidRDefault="00342C07" w:rsidP="00F60AD8">
            <w:pPr>
              <w:pStyle w:val="StyleTextLeft0cmHanging23cm"/>
              <w:spacing w:after="120"/>
              <w:ind w:left="851" w:hanging="851"/>
              <w:rPr>
                <w:szCs w:val="22"/>
              </w:rPr>
            </w:pPr>
            <w:r w:rsidRPr="00630129">
              <w:rPr>
                <w:szCs w:val="22"/>
              </w:rPr>
              <w:t>GMV</w:t>
            </w:r>
            <w:r w:rsidRPr="00630129">
              <w:rPr>
                <w:szCs w:val="22"/>
              </w:rPr>
              <w:tab/>
              <w:t>means the GSP Group Metered Volume for that GSP Group and that Settlement Period;</w:t>
            </w:r>
          </w:p>
          <w:p w14:paraId="65B4B382" w14:textId="77777777" w:rsidR="00342C07" w:rsidRPr="00630129" w:rsidRDefault="00342C07" w:rsidP="00F60AD8">
            <w:pPr>
              <w:pStyle w:val="StyleTextLeft0cmHanging23cm"/>
              <w:spacing w:after="120"/>
              <w:ind w:left="851" w:hanging="851"/>
              <w:rPr>
                <w:szCs w:val="22"/>
              </w:rPr>
            </w:pPr>
            <w:r w:rsidRPr="00630129">
              <w:rPr>
                <w:szCs w:val="22"/>
              </w:rPr>
              <w:t>I</w:t>
            </w:r>
            <w:r w:rsidRPr="00630129">
              <w:rPr>
                <w:szCs w:val="22"/>
              </w:rPr>
              <w:tab/>
              <w:t>means the magnitude of the quantities of Imports at CVA Boundary Points in that GSP Group (as at the Transmission Boundary) for that Settlement Period; and</w:t>
            </w:r>
          </w:p>
          <w:p w14:paraId="605768BA" w14:textId="77777777" w:rsidR="00342C07" w:rsidRPr="00630129" w:rsidRDefault="00342C07" w:rsidP="00F60AD8">
            <w:pPr>
              <w:pStyle w:val="StyleTextLeft0cmHanging23cm"/>
              <w:tabs>
                <w:tab w:val="left" w:pos="1019"/>
              </w:tabs>
              <w:spacing w:after="0"/>
              <w:ind w:left="851" w:hanging="851"/>
              <w:rPr>
                <w:szCs w:val="22"/>
              </w:rPr>
            </w:pPr>
            <w:r w:rsidRPr="00630129">
              <w:rPr>
                <w:szCs w:val="22"/>
              </w:rPr>
              <w:t>E</w:t>
            </w:r>
            <w:r w:rsidRPr="00630129">
              <w:rPr>
                <w:szCs w:val="22"/>
              </w:rPr>
              <w:tab/>
              <w:t>means the magnitude of the quantities of Exports at CVA Boundary Points in that GSP Group (as at the Transmission Boundary) for that Settlement Period.</w:t>
            </w:r>
          </w:p>
        </w:tc>
      </w:tr>
      <w:tr w:rsidR="00342C07" w:rsidRPr="00630129" w14:paraId="30B0B016" w14:textId="77777777" w:rsidTr="00A63BA8">
        <w:trPr>
          <w:cantSplit/>
        </w:trPr>
        <w:tc>
          <w:tcPr>
            <w:tcW w:w="994" w:type="pct"/>
            <w:tcMar>
              <w:top w:w="85" w:type="dxa"/>
              <w:left w:w="85" w:type="dxa"/>
              <w:bottom w:w="85" w:type="dxa"/>
              <w:right w:w="85" w:type="dxa"/>
            </w:tcMar>
          </w:tcPr>
          <w:p w14:paraId="4B8F4ABE" w14:textId="77777777" w:rsidR="00342C07" w:rsidRPr="00630129" w:rsidRDefault="00342C07" w:rsidP="00F60AD8">
            <w:pPr>
              <w:rPr>
                <w:sz w:val="22"/>
                <w:szCs w:val="22"/>
              </w:rPr>
            </w:pPr>
            <w:r w:rsidRPr="00630129">
              <w:rPr>
                <w:sz w:val="22"/>
                <w:szCs w:val="22"/>
              </w:rPr>
              <w:t>High Reference Temperature</w:t>
            </w:r>
          </w:p>
        </w:tc>
        <w:tc>
          <w:tcPr>
            <w:tcW w:w="974" w:type="pct"/>
            <w:tcMar>
              <w:top w:w="85" w:type="dxa"/>
              <w:left w:w="85" w:type="dxa"/>
              <w:bottom w:w="85" w:type="dxa"/>
              <w:right w:w="85" w:type="dxa"/>
            </w:tcMar>
          </w:tcPr>
          <w:p w14:paraId="53334233"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707F7CEF" w14:textId="77777777" w:rsidR="00342C07" w:rsidRPr="00630129" w:rsidRDefault="00342C07" w:rsidP="00F60AD8">
            <w:pPr>
              <w:rPr>
                <w:sz w:val="22"/>
                <w:szCs w:val="22"/>
              </w:rPr>
            </w:pPr>
            <w:r w:rsidRPr="00630129">
              <w:rPr>
                <w:sz w:val="22"/>
                <w:szCs w:val="22"/>
              </w:rPr>
              <w:t xml:space="preserve">Degrees </w:t>
            </w:r>
            <w:proofErr w:type="spellStart"/>
            <w:r w:rsidRPr="00630129">
              <w:rPr>
                <w:sz w:val="22"/>
                <w:szCs w:val="22"/>
              </w:rPr>
              <w:t>celsius</w:t>
            </w:r>
            <w:proofErr w:type="spellEnd"/>
          </w:p>
        </w:tc>
        <w:tc>
          <w:tcPr>
            <w:tcW w:w="2540" w:type="pct"/>
            <w:tcMar>
              <w:top w:w="85" w:type="dxa"/>
              <w:left w:w="85" w:type="dxa"/>
              <w:bottom w:w="85" w:type="dxa"/>
              <w:right w:w="85" w:type="dxa"/>
            </w:tcMar>
          </w:tcPr>
          <w:p w14:paraId="65E8D7EE" w14:textId="77777777" w:rsidR="00342C07" w:rsidRPr="00630129" w:rsidRDefault="00342C07" w:rsidP="00F60AD8">
            <w:pPr>
              <w:rPr>
                <w:sz w:val="22"/>
                <w:szCs w:val="22"/>
              </w:rPr>
            </w:pPr>
            <w:r w:rsidRPr="00630129">
              <w:rPr>
                <w:sz w:val="22"/>
                <w:szCs w:val="22"/>
              </w:rPr>
              <w:t>The daily average temperature for Great Britain which was exceeded on 12% of days during a 30 year historic period.</w:t>
            </w:r>
          </w:p>
        </w:tc>
      </w:tr>
      <w:tr w:rsidR="00342C07" w:rsidRPr="00630129" w14:paraId="52AC8655" w14:textId="77777777" w:rsidTr="00A63BA8">
        <w:trPr>
          <w:cantSplit/>
        </w:trPr>
        <w:tc>
          <w:tcPr>
            <w:tcW w:w="994" w:type="pct"/>
            <w:tcMar>
              <w:top w:w="85" w:type="dxa"/>
              <w:left w:w="85" w:type="dxa"/>
              <w:bottom w:w="85" w:type="dxa"/>
              <w:right w:w="85" w:type="dxa"/>
            </w:tcMar>
          </w:tcPr>
          <w:p w14:paraId="056001AE" w14:textId="77777777" w:rsidR="00342C07" w:rsidRPr="00630129" w:rsidRDefault="00342C07" w:rsidP="00F60AD8">
            <w:pPr>
              <w:rPr>
                <w:sz w:val="22"/>
                <w:szCs w:val="22"/>
              </w:rPr>
            </w:pPr>
            <w:r w:rsidRPr="00630129">
              <w:rPr>
                <w:sz w:val="22"/>
                <w:szCs w:val="22"/>
              </w:rPr>
              <w:t>High Reference Transmission Energy</w:t>
            </w:r>
          </w:p>
        </w:tc>
        <w:tc>
          <w:tcPr>
            <w:tcW w:w="974" w:type="pct"/>
            <w:tcMar>
              <w:top w:w="85" w:type="dxa"/>
              <w:left w:w="85" w:type="dxa"/>
              <w:bottom w:w="85" w:type="dxa"/>
              <w:right w:w="85" w:type="dxa"/>
            </w:tcMar>
          </w:tcPr>
          <w:p w14:paraId="4F2D20D7"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1151AD87"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057ACA38" w14:textId="77777777" w:rsidR="00342C07" w:rsidRPr="00630129" w:rsidRDefault="00342C07" w:rsidP="00F60AD8">
            <w:pPr>
              <w:rPr>
                <w:sz w:val="22"/>
                <w:szCs w:val="22"/>
              </w:rPr>
            </w:pPr>
            <w:r w:rsidRPr="00630129">
              <w:rPr>
                <w:sz w:val="22"/>
                <w:szCs w:val="22"/>
              </w:rPr>
              <w:t>The daily aggregate Transmission Energy which was exceeded on 12% of days during a 30 year historic period.</w:t>
            </w:r>
          </w:p>
        </w:tc>
      </w:tr>
      <w:tr w:rsidR="00342C07" w:rsidRPr="00630129" w14:paraId="51BB5FD8" w14:textId="77777777" w:rsidTr="00A63BA8">
        <w:trPr>
          <w:cantSplit/>
        </w:trPr>
        <w:tc>
          <w:tcPr>
            <w:tcW w:w="994" w:type="pct"/>
            <w:tcMar>
              <w:top w:w="85" w:type="dxa"/>
              <w:left w:w="85" w:type="dxa"/>
              <w:bottom w:w="85" w:type="dxa"/>
              <w:right w:w="85" w:type="dxa"/>
            </w:tcMar>
          </w:tcPr>
          <w:p w14:paraId="3FAA495D" w14:textId="77777777" w:rsidR="00342C07" w:rsidRPr="00630129" w:rsidRDefault="00342C07" w:rsidP="00F60AD8">
            <w:pPr>
              <w:rPr>
                <w:sz w:val="22"/>
                <w:szCs w:val="22"/>
              </w:rPr>
            </w:pPr>
            <w:r w:rsidRPr="00630129">
              <w:rPr>
                <w:sz w:val="22"/>
                <w:szCs w:val="22"/>
              </w:rPr>
              <w:t>Indicated Constraint Boundary Margin</w:t>
            </w:r>
          </w:p>
        </w:tc>
        <w:tc>
          <w:tcPr>
            <w:tcW w:w="974" w:type="pct"/>
            <w:tcMar>
              <w:top w:w="85" w:type="dxa"/>
              <w:left w:w="85" w:type="dxa"/>
              <w:bottom w:w="85" w:type="dxa"/>
              <w:right w:w="85" w:type="dxa"/>
            </w:tcMar>
          </w:tcPr>
          <w:p w14:paraId="02CD5080" w14:textId="77777777" w:rsidR="00342C07" w:rsidRPr="00630129" w:rsidRDefault="00342C07" w:rsidP="00F60AD8">
            <w:pPr>
              <w:rPr>
                <w:sz w:val="22"/>
                <w:szCs w:val="22"/>
              </w:rPr>
            </w:pPr>
            <w:r w:rsidRPr="00630129">
              <w:rPr>
                <w:sz w:val="22"/>
                <w:szCs w:val="22"/>
              </w:rPr>
              <w:t>MELNGC</w:t>
            </w:r>
          </w:p>
        </w:tc>
        <w:tc>
          <w:tcPr>
            <w:tcW w:w="492" w:type="pct"/>
            <w:tcMar>
              <w:top w:w="85" w:type="dxa"/>
              <w:left w:w="85" w:type="dxa"/>
              <w:bottom w:w="85" w:type="dxa"/>
              <w:right w:w="85" w:type="dxa"/>
            </w:tcMar>
          </w:tcPr>
          <w:p w14:paraId="1995FE91"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2A53BFC5" w14:textId="77777777" w:rsidR="00342C07" w:rsidRPr="00630129" w:rsidRDefault="00342C07" w:rsidP="00F60AD8">
            <w:pPr>
              <w:spacing w:after="120"/>
              <w:rPr>
                <w:sz w:val="22"/>
                <w:szCs w:val="22"/>
              </w:rPr>
            </w:pPr>
            <w:r w:rsidRPr="00630129">
              <w:rPr>
                <w:sz w:val="22"/>
                <w:szCs w:val="22"/>
              </w:rPr>
              <w:t>The import and export constraint limits for a BMRS Zone.</w:t>
            </w:r>
          </w:p>
          <w:p w14:paraId="69F0B0CC" w14:textId="77777777" w:rsidR="00342C07" w:rsidRPr="00630129" w:rsidRDefault="00342C07" w:rsidP="00F60AD8">
            <w:pPr>
              <w:rPr>
                <w:sz w:val="22"/>
                <w:szCs w:val="22"/>
              </w:rPr>
            </w:pPr>
            <w:r w:rsidRPr="00630129">
              <w:rPr>
                <w:sz w:val="22"/>
                <w:szCs w:val="22"/>
              </w:rPr>
              <w:t>The import constraint limit being calculated as the boundary transfer limit minus the Demand Forecast plus the sum of Maximum Export Limits for exporting BM Units and the export constraint limit being calculated as the boundary transfer limit plus the Demand Forecast minus the sum of Maximum Export Limits for exporting BM Units</w:t>
            </w:r>
          </w:p>
        </w:tc>
      </w:tr>
      <w:tr w:rsidR="00342C07" w:rsidRPr="00630129" w14:paraId="0646201C" w14:textId="77777777" w:rsidTr="00A63BA8">
        <w:trPr>
          <w:cantSplit/>
        </w:trPr>
        <w:tc>
          <w:tcPr>
            <w:tcW w:w="994" w:type="pct"/>
            <w:tcMar>
              <w:top w:w="85" w:type="dxa"/>
              <w:left w:w="85" w:type="dxa"/>
              <w:bottom w:w="85" w:type="dxa"/>
              <w:right w:w="85" w:type="dxa"/>
            </w:tcMar>
          </w:tcPr>
          <w:p w14:paraId="1C58C43A" w14:textId="77777777" w:rsidR="00342C07" w:rsidRPr="00630129" w:rsidRDefault="00342C07" w:rsidP="00F60AD8">
            <w:pPr>
              <w:rPr>
                <w:sz w:val="22"/>
                <w:szCs w:val="22"/>
              </w:rPr>
            </w:pPr>
            <w:r w:rsidRPr="00630129">
              <w:rPr>
                <w:sz w:val="22"/>
                <w:szCs w:val="22"/>
              </w:rPr>
              <w:t>Indicated Demand</w:t>
            </w:r>
          </w:p>
        </w:tc>
        <w:tc>
          <w:tcPr>
            <w:tcW w:w="974" w:type="pct"/>
            <w:tcMar>
              <w:top w:w="85" w:type="dxa"/>
              <w:left w:w="85" w:type="dxa"/>
              <w:bottom w:w="85" w:type="dxa"/>
              <w:right w:w="85" w:type="dxa"/>
            </w:tcMar>
          </w:tcPr>
          <w:p w14:paraId="146CA7FC" w14:textId="77777777" w:rsidR="00342C07" w:rsidRPr="00630129" w:rsidRDefault="00342C07" w:rsidP="00F60AD8">
            <w:pPr>
              <w:rPr>
                <w:sz w:val="22"/>
                <w:szCs w:val="22"/>
              </w:rPr>
            </w:pPr>
            <w:r w:rsidRPr="00630129">
              <w:rPr>
                <w:sz w:val="22"/>
                <w:szCs w:val="22"/>
              </w:rPr>
              <w:t>INDDEM</w:t>
            </w:r>
          </w:p>
        </w:tc>
        <w:tc>
          <w:tcPr>
            <w:tcW w:w="492" w:type="pct"/>
            <w:tcMar>
              <w:top w:w="85" w:type="dxa"/>
              <w:left w:w="85" w:type="dxa"/>
              <w:bottom w:w="85" w:type="dxa"/>
              <w:right w:w="85" w:type="dxa"/>
            </w:tcMar>
          </w:tcPr>
          <w:p w14:paraId="277529E4"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54D4E445" w14:textId="77777777" w:rsidR="00342C07" w:rsidRPr="00630129" w:rsidRDefault="00342C07" w:rsidP="00F60AD8">
            <w:pPr>
              <w:rPr>
                <w:sz w:val="22"/>
                <w:szCs w:val="22"/>
              </w:rPr>
            </w:pPr>
            <w:r w:rsidRPr="00630129">
              <w:rPr>
                <w:sz w:val="22"/>
                <w:szCs w:val="22"/>
              </w:rPr>
              <w:t>The half-hour average MW expected demand in each Settlement Period calculated as the sum of all Physical Notifications for that Settlement Period prevailing at the time of the forecast and for BM Units for which the Physical Notifications are negative, i.e. will be importing energy.</w:t>
            </w:r>
          </w:p>
        </w:tc>
      </w:tr>
      <w:tr w:rsidR="00342C07" w:rsidRPr="00630129" w14:paraId="7E79BED2" w14:textId="77777777" w:rsidTr="00A63BA8">
        <w:trPr>
          <w:cantSplit/>
        </w:trPr>
        <w:tc>
          <w:tcPr>
            <w:tcW w:w="994" w:type="pct"/>
            <w:tcMar>
              <w:top w:w="85" w:type="dxa"/>
              <w:left w:w="85" w:type="dxa"/>
              <w:bottom w:w="85" w:type="dxa"/>
              <w:right w:w="85" w:type="dxa"/>
            </w:tcMar>
          </w:tcPr>
          <w:p w14:paraId="4B4A7B02" w14:textId="77777777" w:rsidR="00342C07" w:rsidRPr="00630129" w:rsidRDefault="00342C07" w:rsidP="00F60AD8">
            <w:pPr>
              <w:rPr>
                <w:sz w:val="22"/>
                <w:szCs w:val="22"/>
              </w:rPr>
            </w:pPr>
            <w:r w:rsidRPr="00630129">
              <w:rPr>
                <w:sz w:val="22"/>
                <w:szCs w:val="22"/>
              </w:rPr>
              <w:t>Indicated Generation</w:t>
            </w:r>
          </w:p>
        </w:tc>
        <w:tc>
          <w:tcPr>
            <w:tcW w:w="974" w:type="pct"/>
            <w:tcMar>
              <w:top w:w="85" w:type="dxa"/>
              <w:left w:w="85" w:type="dxa"/>
              <w:bottom w:w="85" w:type="dxa"/>
              <w:right w:w="85" w:type="dxa"/>
            </w:tcMar>
          </w:tcPr>
          <w:p w14:paraId="035DD558" w14:textId="77777777" w:rsidR="00342C07" w:rsidRPr="00630129" w:rsidRDefault="00342C07" w:rsidP="00F60AD8">
            <w:pPr>
              <w:rPr>
                <w:sz w:val="22"/>
                <w:szCs w:val="22"/>
              </w:rPr>
            </w:pPr>
            <w:r w:rsidRPr="00630129">
              <w:rPr>
                <w:sz w:val="22"/>
                <w:szCs w:val="22"/>
              </w:rPr>
              <w:t>INDGEN</w:t>
            </w:r>
          </w:p>
        </w:tc>
        <w:tc>
          <w:tcPr>
            <w:tcW w:w="492" w:type="pct"/>
            <w:tcMar>
              <w:top w:w="85" w:type="dxa"/>
              <w:left w:w="85" w:type="dxa"/>
              <w:bottom w:w="85" w:type="dxa"/>
              <w:right w:w="85" w:type="dxa"/>
            </w:tcMar>
          </w:tcPr>
          <w:p w14:paraId="41CE4DBC"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22890B0D" w14:textId="77777777" w:rsidR="00342C07" w:rsidRPr="00630129" w:rsidRDefault="00342C07" w:rsidP="00F60AD8">
            <w:pPr>
              <w:rPr>
                <w:sz w:val="22"/>
                <w:szCs w:val="22"/>
              </w:rPr>
            </w:pPr>
            <w:r w:rsidRPr="00630129">
              <w:rPr>
                <w:sz w:val="22"/>
                <w:szCs w:val="22"/>
              </w:rPr>
              <w:t>The half-hour average MW expected generation in each Settlement Period calculated as the sum of all Physical Notifications for that Settlement Period prevailing at the time of the forecast and for BM Units for which the Physical Notifications are positive, i.e. will be exporting energy.</w:t>
            </w:r>
          </w:p>
        </w:tc>
      </w:tr>
      <w:tr w:rsidR="00342C07" w:rsidRPr="00630129" w14:paraId="41254F0D" w14:textId="77777777" w:rsidTr="00A63BA8">
        <w:trPr>
          <w:cantSplit/>
        </w:trPr>
        <w:tc>
          <w:tcPr>
            <w:tcW w:w="994" w:type="pct"/>
            <w:tcMar>
              <w:top w:w="85" w:type="dxa"/>
              <w:left w:w="85" w:type="dxa"/>
              <w:bottom w:w="85" w:type="dxa"/>
              <w:right w:w="85" w:type="dxa"/>
            </w:tcMar>
          </w:tcPr>
          <w:p w14:paraId="1F9A7AF9" w14:textId="77777777" w:rsidR="00342C07" w:rsidRPr="00630129" w:rsidRDefault="00342C07" w:rsidP="00F60AD8">
            <w:pPr>
              <w:rPr>
                <w:sz w:val="22"/>
                <w:szCs w:val="22"/>
              </w:rPr>
            </w:pPr>
            <w:r w:rsidRPr="00630129">
              <w:rPr>
                <w:sz w:val="22"/>
                <w:szCs w:val="22"/>
              </w:rPr>
              <w:lastRenderedPageBreak/>
              <w:t>Indicated Imbalance</w:t>
            </w:r>
          </w:p>
        </w:tc>
        <w:tc>
          <w:tcPr>
            <w:tcW w:w="974" w:type="pct"/>
            <w:tcMar>
              <w:top w:w="85" w:type="dxa"/>
              <w:left w:w="85" w:type="dxa"/>
              <w:bottom w:w="85" w:type="dxa"/>
              <w:right w:w="85" w:type="dxa"/>
            </w:tcMar>
          </w:tcPr>
          <w:p w14:paraId="046C5F87" w14:textId="77777777" w:rsidR="00342C07" w:rsidRPr="00630129" w:rsidRDefault="00342C07" w:rsidP="00F60AD8">
            <w:pPr>
              <w:rPr>
                <w:sz w:val="22"/>
                <w:szCs w:val="22"/>
              </w:rPr>
            </w:pPr>
            <w:r w:rsidRPr="00630129">
              <w:rPr>
                <w:sz w:val="22"/>
                <w:szCs w:val="22"/>
              </w:rPr>
              <w:t>IMBALNGC</w:t>
            </w:r>
          </w:p>
        </w:tc>
        <w:tc>
          <w:tcPr>
            <w:tcW w:w="492" w:type="pct"/>
            <w:tcMar>
              <w:top w:w="85" w:type="dxa"/>
              <w:left w:w="85" w:type="dxa"/>
              <w:bottom w:w="85" w:type="dxa"/>
              <w:right w:w="85" w:type="dxa"/>
            </w:tcMar>
          </w:tcPr>
          <w:p w14:paraId="4C9972F1"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35DB6A88" w14:textId="77777777" w:rsidR="00342C07" w:rsidRPr="00630129" w:rsidRDefault="00342C07" w:rsidP="00F60AD8">
            <w:pPr>
              <w:spacing w:after="120"/>
              <w:rPr>
                <w:sz w:val="22"/>
                <w:szCs w:val="22"/>
              </w:rPr>
            </w:pPr>
            <w:r w:rsidRPr="00630129">
              <w:rPr>
                <w:sz w:val="22"/>
                <w:szCs w:val="22"/>
              </w:rPr>
              <w:t>Has the meaning given to that term in the Grid Code.</w:t>
            </w:r>
          </w:p>
          <w:p w14:paraId="3D92BB39" w14:textId="77777777" w:rsidR="00342C07" w:rsidRPr="00630129" w:rsidRDefault="00342C07" w:rsidP="00F60AD8">
            <w:pPr>
              <w:rPr>
                <w:sz w:val="22"/>
                <w:szCs w:val="22"/>
              </w:rPr>
            </w:pPr>
            <w:r w:rsidRPr="00630129">
              <w:rPr>
                <w:i/>
                <w:sz w:val="22"/>
                <w:szCs w:val="22"/>
              </w:rPr>
              <w:t>Calculated as the difference between the sum of all Physical Notifications for exporting BM Units (i.e. the Indicated</w:t>
            </w:r>
            <w:r w:rsidRPr="00630129">
              <w:rPr>
                <w:sz w:val="22"/>
                <w:szCs w:val="22"/>
              </w:rPr>
              <w:t xml:space="preserve"> </w:t>
            </w:r>
            <w:r w:rsidRPr="00630129">
              <w:rPr>
                <w:i/>
                <w:sz w:val="22"/>
                <w:szCs w:val="22"/>
              </w:rPr>
              <w:t>Generation) and the Transmission System Demand forecast</w:t>
            </w:r>
          </w:p>
        </w:tc>
      </w:tr>
      <w:tr w:rsidR="00342C07" w:rsidRPr="00630129" w14:paraId="7B3BC784" w14:textId="77777777" w:rsidTr="00A63BA8">
        <w:trPr>
          <w:cantSplit/>
        </w:trPr>
        <w:tc>
          <w:tcPr>
            <w:tcW w:w="994" w:type="pct"/>
            <w:tcMar>
              <w:top w:w="85" w:type="dxa"/>
              <w:left w:w="85" w:type="dxa"/>
              <w:bottom w:w="85" w:type="dxa"/>
              <w:right w:w="85" w:type="dxa"/>
            </w:tcMar>
          </w:tcPr>
          <w:p w14:paraId="4F567B4A" w14:textId="77777777" w:rsidR="00342C07" w:rsidRPr="00630129" w:rsidRDefault="00342C07" w:rsidP="00F60AD8">
            <w:pPr>
              <w:rPr>
                <w:sz w:val="22"/>
                <w:szCs w:val="22"/>
              </w:rPr>
            </w:pPr>
            <w:r w:rsidRPr="00630129">
              <w:rPr>
                <w:sz w:val="22"/>
                <w:szCs w:val="22"/>
              </w:rPr>
              <w:t>Indicated Margin</w:t>
            </w:r>
          </w:p>
        </w:tc>
        <w:tc>
          <w:tcPr>
            <w:tcW w:w="974" w:type="pct"/>
            <w:tcMar>
              <w:top w:w="85" w:type="dxa"/>
              <w:left w:w="85" w:type="dxa"/>
              <w:bottom w:w="85" w:type="dxa"/>
              <w:right w:w="85" w:type="dxa"/>
            </w:tcMar>
          </w:tcPr>
          <w:p w14:paraId="43C4B05B"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6BAE712B"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1E385DDB" w14:textId="77777777" w:rsidR="00342C07" w:rsidRPr="00630129" w:rsidRDefault="00342C07" w:rsidP="00F60AD8">
            <w:pPr>
              <w:spacing w:after="120"/>
              <w:rPr>
                <w:sz w:val="22"/>
                <w:szCs w:val="22"/>
              </w:rPr>
            </w:pPr>
            <w:r w:rsidRPr="00630129">
              <w:rPr>
                <w:sz w:val="22"/>
                <w:szCs w:val="22"/>
              </w:rPr>
              <w:t>Has the meaning given to that term in the Grid Code.</w:t>
            </w:r>
          </w:p>
          <w:p w14:paraId="73756F4D" w14:textId="77777777" w:rsidR="00342C07" w:rsidRPr="00630129" w:rsidRDefault="00342C07" w:rsidP="00F60AD8">
            <w:pPr>
              <w:rPr>
                <w:sz w:val="22"/>
                <w:szCs w:val="22"/>
              </w:rPr>
            </w:pPr>
            <w:r w:rsidRPr="00630129">
              <w:rPr>
                <w:i/>
                <w:sz w:val="22"/>
                <w:szCs w:val="22"/>
              </w:rPr>
              <w:t>Calculated as the difference between the sum of all Maximum Export Limits for exporting BM Units and the Transmission System Demand forecast</w:t>
            </w:r>
          </w:p>
        </w:tc>
      </w:tr>
      <w:tr w:rsidR="00342C07" w:rsidRPr="00630129" w14:paraId="00E73AA6"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F621E8B" w14:textId="77777777" w:rsidR="00342C07" w:rsidRPr="00630129" w:rsidRDefault="00342C07" w:rsidP="00F60AD8">
            <w:pPr>
              <w:rPr>
                <w:sz w:val="22"/>
                <w:szCs w:val="22"/>
              </w:rPr>
            </w:pPr>
            <w:r w:rsidRPr="00630129">
              <w:rPr>
                <w:sz w:val="22"/>
                <w:szCs w:val="22"/>
              </w:rPr>
              <w:t xml:space="preserve">Indicative Loss of Load Probability </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23AA39F" w14:textId="77777777" w:rsidR="00342C07" w:rsidRPr="00630129" w:rsidRDefault="00342C07" w:rsidP="00F60AD8">
            <w:pPr>
              <w:rPr>
                <w:sz w:val="22"/>
                <w:szCs w:val="22"/>
              </w:rPr>
            </w:pPr>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EA3DE89" w14:textId="77777777" w:rsidR="00342C07" w:rsidRPr="00630129" w:rsidRDefault="00342C07" w:rsidP="00F60AD8">
            <w:pPr>
              <w:rPr>
                <w:sz w:val="22"/>
                <w:szCs w:val="22"/>
              </w:rPr>
            </w:pP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F9CE418" w14:textId="77777777" w:rsidR="00342C07" w:rsidRPr="00630129" w:rsidRDefault="00342C07" w:rsidP="00F60AD8">
            <w:pPr>
              <w:rPr>
                <w:sz w:val="22"/>
                <w:szCs w:val="22"/>
              </w:rPr>
            </w:pPr>
            <w:r w:rsidRPr="00630129">
              <w:rPr>
                <w:sz w:val="22"/>
                <w:szCs w:val="22"/>
              </w:rPr>
              <w:t>In relation to a Settlement Period, the indicative probability to be provided by the NETSO in accordance with the Loss of Load Probability Calculation Statement and Sections Q6.8.2 and Q6.8.3.</w:t>
            </w:r>
          </w:p>
        </w:tc>
      </w:tr>
      <w:tr w:rsidR="00342C07" w:rsidRPr="00630129" w14:paraId="400D068A" w14:textId="77777777" w:rsidTr="00A63BA8">
        <w:trPr>
          <w:cantSplit/>
        </w:trPr>
        <w:tc>
          <w:tcPr>
            <w:tcW w:w="994" w:type="pct"/>
            <w:tcMar>
              <w:top w:w="85" w:type="dxa"/>
              <w:left w:w="85" w:type="dxa"/>
              <w:bottom w:w="85" w:type="dxa"/>
              <w:right w:w="85" w:type="dxa"/>
            </w:tcMar>
          </w:tcPr>
          <w:p w14:paraId="41C1A22F" w14:textId="77777777" w:rsidR="00342C07" w:rsidRPr="00630129" w:rsidRDefault="00342C07" w:rsidP="00F60AD8">
            <w:pPr>
              <w:rPr>
                <w:sz w:val="22"/>
                <w:szCs w:val="22"/>
              </w:rPr>
            </w:pPr>
            <w:r w:rsidRPr="00630129">
              <w:rPr>
                <w:sz w:val="22"/>
                <w:szCs w:val="22"/>
              </w:rPr>
              <w:t>Indicative Net Imbalance Volume</w:t>
            </w:r>
          </w:p>
        </w:tc>
        <w:tc>
          <w:tcPr>
            <w:tcW w:w="974" w:type="pct"/>
            <w:tcMar>
              <w:top w:w="85" w:type="dxa"/>
              <w:left w:w="85" w:type="dxa"/>
              <w:bottom w:w="85" w:type="dxa"/>
              <w:right w:w="85" w:type="dxa"/>
            </w:tcMar>
          </w:tcPr>
          <w:p w14:paraId="3C77C18A" w14:textId="77777777" w:rsidR="00342C07" w:rsidRPr="00630129" w:rsidRDefault="00342C07" w:rsidP="00F60AD8">
            <w:pPr>
              <w:rPr>
                <w:sz w:val="22"/>
                <w:szCs w:val="22"/>
              </w:rPr>
            </w:pPr>
            <w:proofErr w:type="spellStart"/>
            <w:r w:rsidRPr="00630129">
              <w:rPr>
                <w:sz w:val="22"/>
                <w:szCs w:val="22"/>
              </w:rPr>
              <w:t>INIV</w:t>
            </w:r>
            <w:r w:rsidRPr="00630129">
              <w:rPr>
                <w:sz w:val="22"/>
                <w:szCs w:val="22"/>
                <w:vertAlign w:val="subscript"/>
              </w:rPr>
              <w:t>j</w:t>
            </w:r>
            <w:proofErr w:type="spellEnd"/>
          </w:p>
        </w:tc>
        <w:tc>
          <w:tcPr>
            <w:tcW w:w="492" w:type="pct"/>
            <w:tcMar>
              <w:top w:w="85" w:type="dxa"/>
              <w:left w:w="85" w:type="dxa"/>
              <w:bottom w:w="85" w:type="dxa"/>
              <w:right w:w="85" w:type="dxa"/>
            </w:tcMar>
          </w:tcPr>
          <w:p w14:paraId="59488F9E"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4FBA7AFC" w14:textId="77777777" w:rsidR="00342C07" w:rsidRPr="00630129" w:rsidRDefault="00342C07" w:rsidP="00F60AD8">
            <w:pPr>
              <w:rPr>
                <w:sz w:val="22"/>
                <w:szCs w:val="22"/>
              </w:rPr>
            </w:pPr>
            <w:r w:rsidRPr="00630129">
              <w:rPr>
                <w:sz w:val="22"/>
                <w:szCs w:val="22"/>
              </w:rPr>
              <w:t>The Indicative Net Imbalance Volume calculated in accordance with Section V2.6.5.</w:t>
            </w:r>
          </w:p>
        </w:tc>
      </w:tr>
      <w:tr w:rsidR="00342C07" w:rsidRPr="00630129" w14:paraId="64DB09BF" w14:textId="77777777" w:rsidTr="00A63BA8">
        <w:trPr>
          <w:cantSplit/>
        </w:trPr>
        <w:tc>
          <w:tcPr>
            <w:tcW w:w="994" w:type="pct"/>
            <w:tcMar>
              <w:top w:w="85" w:type="dxa"/>
              <w:left w:w="85" w:type="dxa"/>
              <w:bottom w:w="85" w:type="dxa"/>
              <w:right w:w="85" w:type="dxa"/>
            </w:tcMar>
          </w:tcPr>
          <w:p w14:paraId="4EC0B2AD" w14:textId="77777777" w:rsidR="00342C07" w:rsidRPr="00630129" w:rsidRDefault="00342C07" w:rsidP="00F60AD8">
            <w:pPr>
              <w:rPr>
                <w:sz w:val="22"/>
                <w:szCs w:val="22"/>
              </w:rPr>
            </w:pPr>
            <w:r w:rsidRPr="00630129">
              <w:rPr>
                <w:sz w:val="22"/>
                <w:szCs w:val="22"/>
              </w:rPr>
              <w:t>Indicative Period Accepted Bid Volume</w:t>
            </w:r>
          </w:p>
        </w:tc>
        <w:tc>
          <w:tcPr>
            <w:tcW w:w="974" w:type="pct"/>
            <w:tcMar>
              <w:top w:w="85" w:type="dxa"/>
              <w:left w:w="85" w:type="dxa"/>
              <w:bottom w:w="85" w:type="dxa"/>
              <w:right w:w="85" w:type="dxa"/>
            </w:tcMar>
          </w:tcPr>
          <w:p w14:paraId="519368D2" w14:textId="77777777" w:rsidR="00342C07" w:rsidRPr="00630129" w:rsidRDefault="00342C07" w:rsidP="00F60AD8">
            <w:pPr>
              <w:rPr>
                <w:sz w:val="22"/>
                <w:szCs w:val="22"/>
              </w:rPr>
            </w:pPr>
            <w:proofErr w:type="spellStart"/>
            <w:r w:rsidRPr="00630129">
              <w:rPr>
                <w:szCs w:val="22"/>
              </w:rPr>
              <w:t>IRRAB</w:t>
            </w:r>
            <w:r w:rsidRPr="00630129">
              <w:rPr>
                <w:kern w:val="2"/>
                <w:szCs w:val="22"/>
                <w:vertAlign w:val="superscript"/>
              </w:rPr>
              <w:t>kn</w:t>
            </w:r>
            <w:r w:rsidRPr="00630129">
              <w:rPr>
                <w:kern w:val="2"/>
                <w:szCs w:val="22"/>
                <w:vertAlign w:val="subscript"/>
              </w:rPr>
              <w:t>ij</w:t>
            </w:r>
            <w:proofErr w:type="spellEnd"/>
          </w:p>
        </w:tc>
        <w:tc>
          <w:tcPr>
            <w:tcW w:w="492" w:type="pct"/>
            <w:tcMar>
              <w:top w:w="85" w:type="dxa"/>
              <w:left w:w="85" w:type="dxa"/>
              <w:bottom w:w="85" w:type="dxa"/>
              <w:right w:w="85" w:type="dxa"/>
            </w:tcMar>
          </w:tcPr>
          <w:p w14:paraId="1F290F31"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0538888C" w14:textId="77777777" w:rsidR="00342C07" w:rsidRPr="00630129" w:rsidRDefault="00342C07" w:rsidP="00F60AD8">
            <w:pPr>
              <w:rPr>
                <w:sz w:val="22"/>
                <w:szCs w:val="22"/>
              </w:rPr>
            </w:pPr>
            <w:r w:rsidRPr="00630129">
              <w:rPr>
                <w:sz w:val="22"/>
                <w:szCs w:val="22"/>
              </w:rPr>
              <w:t>The quantity determined in accordance with Section V2.6.4</w:t>
            </w:r>
          </w:p>
        </w:tc>
      </w:tr>
      <w:tr w:rsidR="00342C07" w:rsidRPr="00630129" w14:paraId="21EEE258" w14:textId="77777777" w:rsidTr="00A63BA8">
        <w:trPr>
          <w:cantSplit/>
        </w:trPr>
        <w:tc>
          <w:tcPr>
            <w:tcW w:w="994" w:type="pct"/>
            <w:tcMar>
              <w:top w:w="85" w:type="dxa"/>
              <w:left w:w="85" w:type="dxa"/>
              <w:bottom w:w="85" w:type="dxa"/>
              <w:right w:w="85" w:type="dxa"/>
            </w:tcMar>
          </w:tcPr>
          <w:p w14:paraId="4211C8A4" w14:textId="77777777" w:rsidR="00342C07" w:rsidRPr="00630129" w:rsidRDefault="00342C07" w:rsidP="00F60AD8">
            <w:pPr>
              <w:rPr>
                <w:sz w:val="22"/>
                <w:szCs w:val="22"/>
              </w:rPr>
            </w:pPr>
            <w:r w:rsidRPr="00630129">
              <w:rPr>
                <w:sz w:val="22"/>
                <w:szCs w:val="22"/>
              </w:rPr>
              <w:t>Indicative Period Accepted Offer Volume</w:t>
            </w:r>
          </w:p>
        </w:tc>
        <w:tc>
          <w:tcPr>
            <w:tcW w:w="974" w:type="pct"/>
            <w:tcMar>
              <w:top w:w="85" w:type="dxa"/>
              <w:left w:w="85" w:type="dxa"/>
              <w:bottom w:w="85" w:type="dxa"/>
              <w:right w:w="85" w:type="dxa"/>
            </w:tcMar>
          </w:tcPr>
          <w:p w14:paraId="3F4B16C4" w14:textId="77777777" w:rsidR="00342C07" w:rsidRPr="00630129" w:rsidRDefault="00342C07" w:rsidP="00F60AD8">
            <w:pPr>
              <w:rPr>
                <w:sz w:val="22"/>
                <w:szCs w:val="22"/>
              </w:rPr>
            </w:pPr>
            <w:proofErr w:type="spellStart"/>
            <w:r w:rsidRPr="00630129">
              <w:rPr>
                <w:szCs w:val="22"/>
              </w:rPr>
              <w:t>IRRAO</w:t>
            </w:r>
            <w:r w:rsidRPr="00630129">
              <w:rPr>
                <w:kern w:val="2"/>
                <w:szCs w:val="22"/>
                <w:vertAlign w:val="superscript"/>
              </w:rPr>
              <w:t>kn</w:t>
            </w:r>
            <w:r w:rsidRPr="00630129">
              <w:rPr>
                <w:kern w:val="2"/>
                <w:szCs w:val="22"/>
                <w:vertAlign w:val="subscript"/>
              </w:rPr>
              <w:t>ij</w:t>
            </w:r>
            <w:proofErr w:type="spellEnd"/>
          </w:p>
        </w:tc>
        <w:tc>
          <w:tcPr>
            <w:tcW w:w="492" w:type="pct"/>
            <w:tcMar>
              <w:top w:w="85" w:type="dxa"/>
              <w:left w:w="85" w:type="dxa"/>
              <w:bottom w:w="85" w:type="dxa"/>
              <w:right w:w="85" w:type="dxa"/>
            </w:tcMar>
          </w:tcPr>
          <w:p w14:paraId="3EB53937"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4960CEEB" w14:textId="77777777" w:rsidR="00342C07" w:rsidRPr="00630129" w:rsidRDefault="00342C07" w:rsidP="00F60AD8">
            <w:pPr>
              <w:rPr>
                <w:sz w:val="22"/>
                <w:szCs w:val="22"/>
              </w:rPr>
            </w:pPr>
            <w:r w:rsidRPr="00630129">
              <w:rPr>
                <w:sz w:val="22"/>
                <w:szCs w:val="22"/>
              </w:rPr>
              <w:t>The quantity determined in accordance with Section V2.6.4</w:t>
            </w:r>
          </w:p>
        </w:tc>
      </w:tr>
      <w:tr w:rsidR="00342C07" w:rsidRPr="00630129" w14:paraId="3410AD14" w14:textId="77777777" w:rsidTr="00A63BA8">
        <w:trPr>
          <w:cantSplit/>
        </w:trPr>
        <w:tc>
          <w:tcPr>
            <w:tcW w:w="994" w:type="pct"/>
            <w:tcMar>
              <w:top w:w="85" w:type="dxa"/>
              <w:left w:w="85" w:type="dxa"/>
              <w:bottom w:w="85" w:type="dxa"/>
              <w:right w:w="85" w:type="dxa"/>
            </w:tcMar>
          </w:tcPr>
          <w:p w14:paraId="646DFCB1" w14:textId="77777777" w:rsidR="00342C07" w:rsidRPr="00630129" w:rsidRDefault="00342C07" w:rsidP="00F60AD8">
            <w:pPr>
              <w:rPr>
                <w:sz w:val="22"/>
                <w:szCs w:val="22"/>
              </w:rPr>
            </w:pPr>
            <w:r w:rsidRPr="00630129">
              <w:rPr>
                <w:sz w:val="22"/>
                <w:szCs w:val="22"/>
              </w:rPr>
              <w:t xml:space="preserve">Indicative Period Balancing Mechanism Bid </w:t>
            </w:r>
            <w:proofErr w:type="spellStart"/>
            <w:r w:rsidRPr="00630129">
              <w:rPr>
                <w:sz w:val="22"/>
                <w:szCs w:val="22"/>
              </w:rPr>
              <w:t>Cashflow</w:t>
            </w:r>
            <w:proofErr w:type="spellEnd"/>
          </w:p>
        </w:tc>
        <w:tc>
          <w:tcPr>
            <w:tcW w:w="974" w:type="pct"/>
            <w:tcMar>
              <w:top w:w="85" w:type="dxa"/>
              <w:left w:w="85" w:type="dxa"/>
              <w:bottom w:w="85" w:type="dxa"/>
              <w:right w:w="85" w:type="dxa"/>
            </w:tcMar>
          </w:tcPr>
          <w:p w14:paraId="6A841160" w14:textId="77777777" w:rsidR="00342C07" w:rsidRPr="00630129" w:rsidRDefault="00342C07" w:rsidP="00F60AD8">
            <w:pPr>
              <w:rPr>
                <w:sz w:val="22"/>
                <w:szCs w:val="22"/>
              </w:rPr>
            </w:pPr>
            <w:proofErr w:type="spellStart"/>
            <w:r w:rsidRPr="00630129">
              <w:rPr>
                <w:sz w:val="22"/>
                <w:szCs w:val="22"/>
              </w:rPr>
              <w:t>ICB</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679B9279"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564F1CCC" w14:textId="77777777" w:rsidR="00342C07" w:rsidRPr="00630129" w:rsidRDefault="00342C07" w:rsidP="00F60AD8">
            <w:pPr>
              <w:rPr>
                <w:sz w:val="22"/>
                <w:szCs w:val="22"/>
              </w:rPr>
            </w:pPr>
            <w:r w:rsidRPr="00630129">
              <w:rPr>
                <w:sz w:val="22"/>
                <w:szCs w:val="22"/>
              </w:rPr>
              <w:t>The amount determined in accordance with Section V2.6.6.</w:t>
            </w:r>
          </w:p>
        </w:tc>
      </w:tr>
      <w:tr w:rsidR="00342C07" w:rsidRPr="00630129" w14:paraId="69653279" w14:textId="77777777" w:rsidTr="00A63BA8">
        <w:trPr>
          <w:cantSplit/>
        </w:trPr>
        <w:tc>
          <w:tcPr>
            <w:tcW w:w="994" w:type="pct"/>
            <w:tcMar>
              <w:top w:w="85" w:type="dxa"/>
              <w:left w:w="85" w:type="dxa"/>
              <w:bottom w:w="85" w:type="dxa"/>
              <w:right w:w="85" w:type="dxa"/>
            </w:tcMar>
          </w:tcPr>
          <w:p w14:paraId="7ECCB27A" w14:textId="77777777" w:rsidR="00342C07" w:rsidRPr="00630129" w:rsidRDefault="00342C07" w:rsidP="00F60AD8">
            <w:pPr>
              <w:rPr>
                <w:sz w:val="22"/>
                <w:szCs w:val="22"/>
              </w:rPr>
            </w:pPr>
            <w:r w:rsidRPr="00630129">
              <w:rPr>
                <w:sz w:val="22"/>
                <w:szCs w:val="22"/>
              </w:rPr>
              <w:t xml:space="preserve">Indicative Period Balancing Mechanism Offer </w:t>
            </w:r>
            <w:proofErr w:type="spellStart"/>
            <w:r w:rsidRPr="00630129">
              <w:rPr>
                <w:sz w:val="22"/>
                <w:szCs w:val="22"/>
              </w:rPr>
              <w:t>Cashflow</w:t>
            </w:r>
            <w:proofErr w:type="spellEnd"/>
          </w:p>
        </w:tc>
        <w:tc>
          <w:tcPr>
            <w:tcW w:w="974" w:type="pct"/>
            <w:tcMar>
              <w:top w:w="85" w:type="dxa"/>
              <w:left w:w="85" w:type="dxa"/>
              <w:bottom w:w="85" w:type="dxa"/>
              <w:right w:w="85" w:type="dxa"/>
            </w:tcMar>
          </w:tcPr>
          <w:p w14:paraId="0DE7E6D6" w14:textId="77777777" w:rsidR="00342C07" w:rsidRPr="00630129" w:rsidRDefault="00342C07" w:rsidP="00F60AD8">
            <w:pPr>
              <w:rPr>
                <w:sz w:val="22"/>
                <w:szCs w:val="22"/>
              </w:rPr>
            </w:pPr>
            <w:proofErr w:type="spellStart"/>
            <w:r w:rsidRPr="00630129">
              <w:rPr>
                <w:sz w:val="22"/>
                <w:szCs w:val="22"/>
              </w:rPr>
              <w:t>ICO</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148F649B"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5C133F03" w14:textId="77777777" w:rsidR="00342C07" w:rsidRPr="00630129" w:rsidRDefault="00342C07" w:rsidP="00F60AD8">
            <w:pPr>
              <w:rPr>
                <w:sz w:val="22"/>
                <w:szCs w:val="22"/>
              </w:rPr>
            </w:pPr>
            <w:r w:rsidRPr="00630129">
              <w:rPr>
                <w:sz w:val="22"/>
                <w:szCs w:val="22"/>
              </w:rPr>
              <w:t>The amount determined in accordance with Section V2.6.6.</w:t>
            </w:r>
          </w:p>
        </w:tc>
      </w:tr>
      <w:tr w:rsidR="00342C07" w:rsidRPr="00630129" w14:paraId="5E94FF28" w14:textId="77777777" w:rsidTr="00A63BA8">
        <w:trPr>
          <w:cantSplit/>
        </w:trPr>
        <w:tc>
          <w:tcPr>
            <w:tcW w:w="994" w:type="pct"/>
            <w:tcMar>
              <w:top w:w="85" w:type="dxa"/>
              <w:left w:w="85" w:type="dxa"/>
              <w:bottom w:w="85" w:type="dxa"/>
              <w:right w:w="85" w:type="dxa"/>
            </w:tcMar>
          </w:tcPr>
          <w:p w14:paraId="6A4E4ABC" w14:textId="77777777" w:rsidR="00342C07" w:rsidRPr="00630129" w:rsidRDefault="00342C07" w:rsidP="00F60AD8">
            <w:pPr>
              <w:rPr>
                <w:sz w:val="22"/>
                <w:szCs w:val="22"/>
              </w:rPr>
            </w:pPr>
            <w:r w:rsidRPr="00630129">
              <w:rPr>
                <w:sz w:val="22"/>
                <w:szCs w:val="22"/>
              </w:rPr>
              <w:t>Indicative Period BM Unit Total Accepted Bid Volume</w:t>
            </w:r>
          </w:p>
        </w:tc>
        <w:tc>
          <w:tcPr>
            <w:tcW w:w="974" w:type="pct"/>
            <w:tcMar>
              <w:top w:w="85" w:type="dxa"/>
              <w:left w:w="85" w:type="dxa"/>
              <w:bottom w:w="85" w:type="dxa"/>
              <w:right w:w="85" w:type="dxa"/>
            </w:tcMar>
          </w:tcPr>
          <w:p w14:paraId="5895F506" w14:textId="77777777" w:rsidR="00342C07" w:rsidRPr="00630129" w:rsidRDefault="00342C07" w:rsidP="00F60AD8">
            <w:pPr>
              <w:rPr>
                <w:sz w:val="22"/>
                <w:szCs w:val="22"/>
              </w:rPr>
            </w:pPr>
            <w:proofErr w:type="spellStart"/>
            <w:r w:rsidRPr="00630129">
              <w:rPr>
                <w:sz w:val="22"/>
                <w:szCs w:val="22"/>
              </w:rPr>
              <w:t>IQAB</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0BE5C225"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0855CC8D" w14:textId="77777777" w:rsidR="00342C07" w:rsidRPr="00630129" w:rsidRDefault="00342C07" w:rsidP="00F60AD8">
            <w:pPr>
              <w:rPr>
                <w:sz w:val="22"/>
                <w:szCs w:val="22"/>
              </w:rPr>
            </w:pPr>
            <w:r w:rsidRPr="00630129">
              <w:rPr>
                <w:sz w:val="22"/>
                <w:szCs w:val="22"/>
              </w:rPr>
              <w:t>The quantity determined in accordance with Section V2.6.4</w:t>
            </w:r>
          </w:p>
        </w:tc>
      </w:tr>
      <w:tr w:rsidR="00342C07" w:rsidRPr="00630129" w14:paraId="6FC4AFA9" w14:textId="77777777" w:rsidTr="00A63BA8">
        <w:trPr>
          <w:cantSplit/>
        </w:trPr>
        <w:tc>
          <w:tcPr>
            <w:tcW w:w="994" w:type="pct"/>
            <w:tcMar>
              <w:top w:w="85" w:type="dxa"/>
              <w:left w:w="85" w:type="dxa"/>
              <w:bottom w:w="85" w:type="dxa"/>
              <w:right w:w="85" w:type="dxa"/>
            </w:tcMar>
          </w:tcPr>
          <w:p w14:paraId="150D9BBE" w14:textId="77777777" w:rsidR="00342C07" w:rsidRPr="00630129" w:rsidRDefault="00342C07" w:rsidP="00F60AD8">
            <w:pPr>
              <w:rPr>
                <w:sz w:val="22"/>
                <w:szCs w:val="22"/>
              </w:rPr>
            </w:pPr>
            <w:r w:rsidRPr="00630129">
              <w:rPr>
                <w:sz w:val="22"/>
                <w:szCs w:val="22"/>
              </w:rPr>
              <w:t>Indicative Period BM Unit Total Accepted Offer Volume.</w:t>
            </w:r>
          </w:p>
        </w:tc>
        <w:tc>
          <w:tcPr>
            <w:tcW w:w="974" w:type="pct"/>
            <w:tcMar>
              <w:top w:w="85" w:type="dxa"/>
              <w:left w:w="85" w:type="dxa"/>
              <w:bottom w:w="85" w:type="dxa"/>
              <w:right w:w="85" w:type="dxa"/>
            </w:tcMar>
          </w:tcPr>
          <w:p w14:paraId="461C8551" w14:textId="77777777" w:rsidR="00342C07" w:rsidRPr="00630129" w:rsidRDefault="00342C07" w:rsidP="00F60AD8">
            <w:pPr>
              <w:rPr>
                <w:sz w:val="22"/>
                <w:szCs w:val="22"/>
              </w:rPr>
            </w:pPr>
            <w:proofErr w:type="spellStart"/>
            <w:r w:rsidRPr="00630129">
              <w:rPr>
                <w:sz w:val="22"/>
                <w:szCs w:val="22"/>
              </w:rPr>
              <w:t>IQAO</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4F333E3B"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7BE7340C" w14:textId="77777777" w:rsidR="00342C07" w:rsidRPr="00630129" w:rsidRDefault="00342C07" w:rsidP="00F60AD8">
            <w:pPr>
              <w:rPr>
                <w:sz w:val="22"/>
                <w:szCs w:val="22"/>
              </w:rPr>
            </w:pPr>
            <w:r w:rsidRPr="00630129">
              <w:rPr>
                <w:sz w:val="22"/>
                <w:szCs w:val="22"/>
              </w:rPr>
              <w:t>The quantity determined in accordance with Section V2.6.4</w:t>
            </w:r>
          </w:p>
        </w:tc>
      </w:tr>
      <w:tr w:rsidR="00342C07" w:rsidRPr="00630129" w14:paraId="7F1F2F02" w14:textId="77777777" w:rsidTr="00A63BA8">
        <w:trPr>
          <w:cantSplit/>
        </w:trPr>
        <w:tc>
          <w:tcPr>
            <w:tcW w:w="994" w:type="pct"/>
            <w:tcMar>
              <w:top w:w="85" w:type="dxa"/>
              <w:left w:w="85" w:type="dxa"/>
              <w:bottom w:w="85" w:type="dxa"/>
              <w:right w:w="85" w:type="dxa"/>
            </w:tcMar>
          </w:tcPr>
          <w:p w14:paraId="6793D79C" w14:textId="77777777" w:rsidR="00342C07" w:rsidRPr="00630129" w:rsidRDefault="00342C07" w:rsidP="00F60AD8">
            <w:pPr>
              <w:rPr>
                <w:sz w:val="22"/>
                <w:szCs w:val="22"/>
              </w:rPr>
            </w:pPr>
            <w:r w:rsidRPr="00630129">
              <w:rPr>
                <w:sz w:val="22"/>
                <w:szCs w:val="22"/>
              </w:rPr>
              <w:lastRenderedPageBreak/>
              <w:t xml:space="preserve">Indicative Period RR BM Unit </w:t>
            </w:r>
            <w:proofErr w:type="spellStart"/>
            <w:r w:rsidRPr="00630129">
              <w:rPr>
                <w:sz w:val="22"/>
                <w:szCs w:val="22"/>
              </w:rPr>
              <w:t>Cashflow</w:t>
            </w:r>
            <w:proofErr w:type="spellEnd"/>
            <w:r w:rsidRPr="00630129">
              <w:rPr>
                <w:sz w:val="22"/>
                <w:szCs w:val="22"/>
              </w:rPr>
              <w:t xml:space="preserve"> </w:t>
            </w:r>
          </w:p>
        </w:tc>
        <w:tc>
          <w:tcPr>
            <w:tcW w:w="974" w:type="pct"/>
            <w:tcMar>
              <w:top w:w="85" w:type="dxa"/>
              <w:left w:w="85" w:type="dxa"/>
              <w:bottom w:w="85" w:type="dxa"/>
              <w:right w:w="85" w:type="dxa"/>
            </w:tcMar>
          </w:tcPr>
          <w:p w14:paraId="2DC36732" w14:textId="77777777" w:rsidR="00342C07" w:rsidRPr="00630129" w:rsidRDefault="00342C07" w:rsidP="00F60AD8">
            <w:pPr>
              <w:rPr>
                <w:sz w:val="22"/>
                <w:szCs w:val="22"/>
              </w:rPr>
            </w:pPr>
            <w:proofErr w:type="spellStart"/>
            <w:r w:rsidRPr="00630129">
              <w:rPr>
                <w:sz w:val="22"/>
                <w:szCs w:val="22"/>
              </w:rPr>
              <w:t>ICRR</w:t>
            </w:r>
            <w:r w:rsidRPr="00630129">
              <w:rPr>
                <w:sz w:val="22"/>
                <w:szCs w:val="22"/>
                <w:vertAlign w:val="subscript"/>
              </w:rPr>
              <w:t>iJ</w:t>
            </w:r>
            <w:proofErr w:type="spellEnd"/>
          </w:p>
        </w:tc>
        <w:tc>
          <w:tcPr>
            <w:tcW w:w="492" w:type="pct"/>
            <w:tcMar>
              <w:top w:w="85" w:type="dxa"/>
              <w:left w:w="85" w:type="dxa"/>
              <w:bottom w:w="85" w:type="dxa"/>
              <w:right w:w="85" w:type="dxa"/>
            </w:tcMar>
          </w:tcPr>
          <w:p w14:paraId="3C5AB5BE"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7EFB05EC" w14:textId="77777777" w:rsidR="00342C07" w:rsidRPr="00630129" w:rsidRDefault="00342C07" w:rsidP="00F60AD8">
            <w:pPr>
              <w:rPr>
                <w:sz w:val="22"/>
                <w:szCs w:val="22"/>
              </w:rPr>
            </w:pPr>
            <w:r w:rsidRPr="00630129">
              <w:rPr>
                <w:sz w:val="22"/>
                <w:szCs w:val="22"/>
              </w:rPr>
              <w:t>The quantity determined in accordance with Section V2.6.6A</w:t>
            </w:r>
          </w:p>
        </w:tc>
      </w:tr>
      <w:tr w:rsidR="00342C07" w:rsidRPr="00630129" w14:paraId="16853C4E" w14:textId="77777777" w:rsidTr="00A63BA8">
        <w:trPr>
          <w:cantSplit/>
        </w:trPr>
        <w:tc>
          <w:tcPr>
            <w:tcW w:w="994" w:type="pct"/>
            <w:tcMar>
              <w:top w:w="85" w:type="dxa"/>
              <w:left w:w="85" w:type="dxa"/>
              <w:bottom w:w="85" w:type="dxa"/>
              <w:right w:w="85" w:type="dxa"/>
            </w:tcMar>
          </w:tcPr>
          <w:p w14:paraId="6A5B5EBA" w14:textId="77777777" w:rsidR="00342C07" w:rsidRPr="00630129" w:rsidRDefault="00342C07" w:rsidP="00F60AD8">
            <w:pPr>
              <w:rPr>
                <w:sz w:val="22"/>
                <w:szCs w:val="22"/>
              </w:rPr>
            </w:pPr>
            <w:r w:rsidRPr="00630129">
              <w:rPr>
                <w:sz w:val="22"/>
                <w:szCs w:val="22"/>
              </w:rPr>
              <w:t>Indicative Period RR Total Accepted Bid Volume</w:t>
            </w:r>
          </w:p>
        </w:tc>
        <w:tc>
          <w:tcPr>
            <w:tcW w:w="974" w:type="pct"/>
            <w:tcMar>
              <w:top w:w="85" w:type="dxa"/>
              <w:left w:w="85" w:type="dxa"/>
              <w:bottom w:w="85" w:type="dxa"/>
              <w:right w:w="85" w:type="dxa"/>
            </w:tcMar>
          </w:tcPr>
          <w:p w14:paraId="4E4E0147" w14:textId="77777777" w:rsidR="00342C07" w:rsidRPr="00630129" w:rsidRDefault="00342C07" w:rsidP="00F60AD8">
            <w:pPr>
              <w:rPr>
                <w:sz w:val="22"/>
                <w:szCs w:val="22"/>
              </w:rPr>
            </w:pPr>
            <w:proofErr w:type="spellStart"/>
            <w:r w:rsidRPr="00630129">
              <w:t>IRRAB</w:t>
            </w:r>
            <w:r w:rsidRPr="00630129">
              <w:rPr>
                <w:vertAlign w:val="superscript"/>
              </w:rPr>
              <w:t>n</w:t>
            </w:r>
            <w:r w:rsidRPr="00630129">
              <w:rPr>
                <w:vertAlign w:val="subscript"/>
              </w:rPr>
              <w:t>ij</w:t>
            </w:r>
            <w:proofErr w:type="spellEnd"/>
          </w:p>
        </w:tc>
        <w:tc>
          <w:tcPr>
            <w:tcW w:w="492" w:type="pct"/>
            <w:tcMar>
              <w:top w:w="85" w:type="dxa"/>
              <w:left w:w="85" w:type="dxa"/>
              <w:bottom w:w="85" w:type="dxa"/>
              <w:right w:w="85" w:type="dxa"/>
            </w:tcMar>
          </w:tcPr>
          <w:p w14:paraId="2193D65D"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3F9371E5" w14:textId="77777777" w:rsidR="00342C07" w:rsidRPr="00630129" w:rsidRDefault="00342C07" w:rsidP="00F60AD8">
            <w:pPr>
              <w:rPr>
                <w:sz w:val="22"/>
                <w:szCs w:val="22"/>
              </w:rPr>
            </w:pPr>
            <w:r w:rsidRPr="00630129">
              <w:rPr>
                <w:sz w:val="22"/>
                <w:szCs w:val="22"/>
              </w:rPr>
              <w:t>The quantity determined in accordance with Section V2.6.4</w:t>
            </w:r>
          </w:p>
        </w:tc>
      </w:tr>
      <w:tr w:rsidR="00342C07" w:rsidRPr="00630129" w14:paraId="480B9A14" w14:textId="77777777" w:rsidTr="00A63BA8">
        <w:trPr>
          <w:cantSplit/>
        </w:trPr>
        <w:tc>
          <w:tcPr>
            <w:tcW w:w="994" w:type="pct"/>
            <w:tcMar>
              <w:top w:w="85" w:type="dxa"/>
              <w:left w:w="85" w:type="dxa"/>
              <w:bottom w:w="85" w:type="dxa"/>
              <w:right w:w="85" w:type="dxa"/>
            </w:tcMar>
          </w:tcPr>
          <w:p w14:paraId="10673536" w14:textId="77777777" w:rsidR="00342C07" w:rsidRPr="00630129" w:rsidRDefault="00342C07" w:rsidP="00F60AD8">
            <w:pPr>
              <w:rPr>
                <w:sz w:val="22"/>
                <w:szCs w:val="22"/>
              </w:rPr>
            </w:pPr>
            <w:r w:rsidRPr="00630129">
              <w:rPr>
                <w:sz w:val="22"/>
                <w:szCs w:val="22"/>
              </w:rPr>
              <w:t>Indicative Period RR Total Accepted Offer Volume</w:t>
            </w:r>
          </w:p>
        </w:tc>
        <w:tc>
          <w:tcPr>
            <w:tcW w:w="974" w:type="pct"/>
            <w:tcMar>
              <w:top w:w="85" w:type="dxa"/>
              <w:left w:w="85" w:type="dxa"/>
              <w:bottom w:w="85" w:type="dxa"/>
              <w:right w:w="85" w:type="dxa"/>
            </w:tcMar>
          </w:tcPr>
          <w:p w14:paraId="627106EC" w14:textId="77777777" w:rsidR="00342C07" w:rsidRPr="00630129" w:rsidRDefault="00342C07" w:rsidP="00F60AD8">
            <w:pPr>
              <w:rPr>
                <w:sz w:val="22"/>
                <w:szCs w:val="22"/>
              </w:rPr>
            </w:pPr>
            <w:proofErr w:type="spellStart"/>
            <w:r w:rsidRPr="00630129">
              <w:t>IRRAO</w:t>
            </w:r>
            <w:r w:rsidRPr="00630129">
              <w:rPr>
                <w:vertAlign w:val="superscript"/>
              </w:rPr>
              <w:t>n</w:t>
            </w:r>
            <w:r w:rsidRPr="00630129">
              <w:rPr>
                <w:vertAlign w:val="subscript"/>
              </w:rPr>
              <w:t>ij</w:t>
            </w:r>
            <w:proofErr w:type="spellEnd"/>
          </w:p>
        </w:tc>
        <w:tc>
          <w:tcPr>
            <w:tcW w:w="492" w:type="pct"/>
            <w:tcMar>
              <w:top w:w="85" w:type="dxa"/>
              <w:left w:w="85" w:type="dxa"/>
              <w:bottom w:w="85" w:type="dxa"/>
              <w:right w:w="85" w:type="dxa"/>
            </w:tcMar>
          </w:tcPr>
          <w:p w14:paraId="25236F51"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5B723943" w14:textId="77777777" w:rsidR="00342C07" w:rsidRPr="00630129" w:rsidRDefault="00342C07" w:rsidP="00F60AD8">
            <w:pPr>
              <w:rPr>
                <w:sz w:val="22"/>
                <w:szCs w:val="22"/>
              </w:rPr>
            </w:pPr>
            <w:r w:rsidRPr="00630129">
              <w:rPr>
                <w:sz w:val="22"/>
                <w:szCs w:val="22"/>
              </w:rPr>
              <w:t>The quantity determined in accordance with Section V2.6.4</w:t>
            </w:r>
          </w:p>
        </w:tc>
      </w:tr>
      <w:tr w:rsidR="00342C07" w:rsidRPr="00630129" w14:paraId="46CD96A3" w14:textId="77777777" w:rsidTr="00A63BA8">
        <w:trPr>
          <w:cantSplit/>
        </w:trPr>
        <w:tc>
          <w:tcPr>
            <w:tcW w:w="994" w:type="pct"/>
            <w:tcMar>
              <w:top w:w="85" w:type="dxa"/>
              <w:left w:w="85" w:type="dxa"/>
              <w:bottom w:w="85" w:type="dxa"/>
              <w:right w:w="85" w:type="dxa"/>
            </w:tcMar>
          </w:tcPr>
          <w:p w14:paraId="0022C9D6" w14:textId="77777777" w:rsidR="00342C07" w:rsidRPr="00630129" w:rsidRDefault="00342C07" w:rsidP="00F60AD8">
            <w:pPr>
              <w:rPr>
                <w:sz w:val="22"/>
                <w:szCs w:val="22"/>
              </w:rPr>
            </w:pPr>
            <w:r w:rsidRPr="00630129">
              <w:rPr>
                <w:sz w:val="22"/>
                <w:szCs w:val="22"/>
              </w:rPr>
              <w:t xml:space="preserve">Indicative Quarter-Hour RR </w:t>
            </w:r>
            <w:proofErr w:type="spellStart"/>
            <w:r w:rsidRPr="00630129">
              <w:rPr>
                <w:sz w:val="22"/>
                <w:szCs w:val="22"/>
              </w:rPr>
              <w:t>Cashflow</w:t>
            </w:r>
            <w:proofErr w:type="spellEnd"/>
            <w:r w:rsidRPr="00630129">
              <w:rPr>
                <w:sz w:val="22"/>
                <w:szCs w:val="22"/>
              </w:rPr>
              <w:t xml:space="preserve"> </w:t>
            </w:r>
          </w:p>
        </w:tc>
        <w:tc>
          <w:tcPr>
            <w:tcW w:w="974" w:type="pct"/>
            <w:tcMar>
              <w:top w:w="85" w:type="dxa"/>
              <w:left w:w="85" w:type="dxa"/>
              <w:bottom w:w="85" w:type="dxa"/>
              <w:right w:w="85" w:type="dxa"/>
            </w:tcMar>
          </w:tcPr>
          <w:p w14:paraId="51A5BEAE" w14:textId="77777777" w:rsidR="00342C07" w:rsidRPr="00630129" w:rsidRDefault="00342C07" w:rsidP="00F60AD8">
            <w:pPr>
              <w:rPr>
                <w:sz w:val="22"/>
                <w:szCs w:val="22"/>
              </w:rPr>
            </w:pPr>
            <w:proofErr w:type="spellStart"/>
            <w:r w:rsidRPr="00630129">
              <w:rPr>
                <w:sz w:val="22"/>
                <w:szCs w:val="22"/>
              </w:rPr>
              <w:t>ICCR</w:t>
            </w:r>
            <w:r w:rsidRPr="00630129">
              <w:rPr>
                <w:sz w:val="22"/>
                <w:szCs w:val="22"/>
                <w:vertAlign w:val="subscript"/>
              </w:rPr>
              <w:t>iJ</w:t>
            </w:r>
            <w:proofErr w:type="spellEnd"/>
          </w:p>
        </w:tc>
        <w:tc>
          <w:tcPr>
            <w:tcW w:w="492" w:type="pct"/>
            <w:tcMar>
              <w:top w:w="85" w:type="dxa"/>
              <w:left w:w="85" w:type="dxa"/>
              <w:bottom w:w="85" w:type="dxa"/>
              <w:right w:w="85" w:type="dxa"/>
            </w:tcMar>
          </w:tcPr>
          <w:p w14:paraId="5E90EBEF"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78B80610" w14:textId="77777777" w:rsidR="00342C07" w:rsidRPr="00630129" w:rsidRDefault="00342C07" w:rsidP="00F60AD8">
            <w:pPr>
              <w:rPr>
                <w:sz w:val="22"/>
                <w:szCs w:val="22"/>
              </w:rPr>
            </w:pPr>
            <w:r w:rsidRPr="00630129">
              <w:rPr>
                <w:sz w:val="22"/>
                <w:szCs w:val="22"/>
              </w:rPr>
              <w:t>The quantity determined in accordance with Section V2.6.6A</w:t>
            </w:r>
          </w:p>
        </w:tc>
      </w:tr>
      <w:tr w:rsidR="00342C07" w:rsidRPr="00630129" w14:paraId="7455C12B" w14:textId="77777777" w:rsidTr="00A63BA8">
        <w:trPr>
          <w:cantSplit/>
        </w:trPr>
        <w:tc>
          <w:tcPr>
            <w:tcW w:w="994" w:type="pct"/>
            <w:tcMar>
              <w:top w:w="85" w:type="dxa"/>
              <w:left w:w="85" w:type="dxa"/>
              <w:bottom w:w="85" w:type="dxa"/>
              <w:right w:w="85" w:type="dxa"/>
            </w:tcMar>
          </w:tcPr>
          <w:p w14:paraId="5818CABF" w14:textId="77777777" w:rsidR="00342C07" w:rsidRPr="00630129" w:rsidRDefault="00342C07" w:rsidP="00F60AD8">
            <w:pPr>
              <w:rPr>
                <w:sz w:val="22"/>
                <w:szCs w:val="22"/>
              </w:rPr>
            </w:pPr>
            <w:r w:rsidRPr="00630129">
              <w:rPr>
                <w:sz w:val="22"/>
                <w:szCs w:val="22"/>
              </w:rPr>
              <w:t>Indicative System Buy Price</w:t>
            </w:r>
          </w:p>
        </w:tc>
        <w:tc>
          <w:tcPr>
            <w:tcW w:w="974" w:type="pct"/>
            <w:tcMar>
              <w:top w:w="85" w:type="dxa"/>
              <w:left w:w="85" w:type="dxa"/>
              <w:bottom w:w="85" w:type="dxa"/>
              <w:right w:w="85" w:type="dxa"/>
            </w:tcMar>
          </w:tcPr>
          <w:p w14:paraId="4A26F1EE" w14:textId="77777777" w:rsidR="00342C07" w:rsidRPr="00630129" w:rsidRDefault="00342C07" w:rsidP="00F60AD8">
            <w:pPr>
              <w:rPr>
                <w:sz w:val="22"/>
                <w:szCs w:val="22"/>
              </w:rPr>
            </w:pPr>
            <w:proofErr w:type="spellStart"/>
            <w:r w:rsidRPr="00630129">
              <w:rPr>
                <w:sz w:val="22"/>
                <w:szCs w:val="22"/>
              </w:rPr>
              <w:t>ISBP</w:t>
            </w:r>
            <w:r w:rsidRPr="00630129">
              <w:rPr>
                <w:sz w:val="22"/>
                <w:szCs w:val="22"/>
                <w:vertAlign w:val="subscript"/>
              </w:rPr>
              <w:t>j</w:t>
            </w:r>
            <w:proofErr w:type="spellEnd"/>
          </w:p>
        </w:tc>
        <w:tc>
          <w:tcPr>
            <w:tcW w:w="492" w:type="pct"/>
            <w:tcMar>
              <w:top w:w="85" w:type="dxa"/>
              <w:left w:w="85" w:type="dxa"/>
              <w:bottom w:w="85" w:type="dxa"/>
              <w:right w:w="85" w:type="dxa"/>
            </w:tcMar>
          </w:tcPr>
          <w:p w14:paraId="531C0A8E"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75CDD448" w14:textId="77777777" w:rsidR="00342C07" w:rsidRPr="00630129" w:rsidRDefault="00342C07" w:rsidP="00F60AD8">
            <w:pPr>
              <w:rPr>
                <w:sz w:val="22"/>
                <w:szCs w:val="22"/>
              </w:rPr>
            </w:pPr>
            <w:r w:rsidRPr="00630129">
              <w:rPr>
                <w:sz w:val="22"/>
                <w:szCs w:val="22"/>
              </w:rPr>
              <w:t>The Indicative System Buy Price calculated in accordance with Section V2.6.5.</w:t>
            </w:r>
          </w:p>
        </w:tc>
      </w:tr>
      <w:tr w:rsidR="00342C07" w:rsidRPr="00630129" w14:paraId="768477F4" w14:textId="77777777" w:rsidTr="00A63BA8">
        <w:trPr>
          <w:cantSplit/>
        </w:trPr>
        <w:tc>
          <w:tcPr>
            <w:tcW w:w="994" w:type="pct"/>
            <w:tcMar>
              <w:top w:w="85" w:type="dxa"/>
              <w:left w:w="85" w:type="dxa"/>
              <w:bottom w:w="85" w:type="dxa"/>
              <w:right w:w="85" w:type="dxa"/>
            </w:tcMar>
          </w:tcPr>
          <w:p w14:paraId="18E087EF" w14:textId="77777777" w:rsidR="00342C07" w:rsidRPr="00630129" w:rsidRDefault="00342C07" w:rsidP="00F60AD8">
            <w:pPr>
              <w:rPr>
                <w:sz w:val="22"/>
                <w:szCs w:val="22"/>
              </w:rPr>
            </w:pPr>
            <w:r w:rsidRPr="00630129">
              <w:rPr>
                <w:sz w:val="22"/>
                <w:szCs w:val="22"/>
              </w:rPr>
              <w:t>Indicative System Sell Price</w:t>
            </w:r>
          </w:p>
        </w:tc>
        <w:tc>
          <w:tcPr>
            <w:tcW w:w="974" w:type="pct"/>
            <w:tcMar>
              <w:top w:w="85" w:type="dxa"/>
              <w:left w:w="85" w:type="dxa"/>
              <w:bottom w:w="85" w:type="dxa"/>
              <w:right w:w="85" w:type="dxa"/>
            </w:tcMar>
          </w:tcPr>
          <w:p w14:paraId="78CB924B" w14:textId="77777777" w:rsidR="00342C07" w:rsidRPr="00630129" w:rsidRDefault="00342C07" w:rsidP="00F60AD8">
            <w:pPr>
              <w:rPr>
                <w:sz w:val="22"/>
                <w:szCs w:val="22"/>
              </w:rPr>
            </w:pPr>
            <w:proofErr w:type="spellStart"/>
            <w:r w:rsidRPr="00630129">
              <w:rPr>
                <w:sz w:val="22"/>
                <w:szCs w:val="22"/>
              </w:rPr>
              <w:t>ISSP</w:t>
            </w:r>
            <w:r w:rsidRPr="00630129">
              <w:rPr>
                <w:sz w:val="22"/>
                <w:szCs w:val="22"/>
                <w:vertAlign w:val="subscript"/>
              </w:rPr>
              <w:t>j</w:t>
            </w:r>
            <w:proofErr w:type="spellEnd"/>
          </w:p>
        </w:tc>
        <w:tc>
          <w:tcPr>
            <w:tcW w:w="492" w:type="pct"/>
            <w:tcMar>
              <w:top w:w="85" w:type="dxa"/>
              <w:left w:w="85" w:type="dxa"/>
              <w:bottom w:w="85" w:type="dxa"/>
              <w:right w:w="85" w:type="dxa"/>
            </w:tcMar>
          </w:tcPr>
          <w:p w14:paraId="34B84979"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1CE7751C" w14:textId="77777777" w:rsidR="00342C07" w:rsidRPr="00630129" w:rsidRDefault="00342C07" w:rsidP="00F60AD8">
            <w:pPr>
              <w:rPr>
                <w:sz w:val="22"/>
                <w:szCs w:val="22"/>
              </w:rPr>
            </w:pPr>
            <w:r w:rsidRPr="00630129">
              <w:rPr>
                <w:sz w:val="22"/>
                <w:szCs w:val="22"/>
              </w:rPr>
              <w:t>The Indicative System Sell Price calculated in accordance with Section V2.6.5.</w:t>
            </w:r>
          </w:p>
        </w:tc>
      </w:tr>
      <w:tr w:rsidR="00342C07" w:rsidRPr="00630129" w14:paraId="04C30961" w14:textId="77777777" w:rsidTr="00A63BA8">
        <w:trPr>
          <w:cantSplit/>
        </w:trPr>
        <w:tc>
          <w:tcPr>
            <w:tcW w:w="994" w:type="pct"/>
            <w:tcMar>
              <w:top w:w="85" w:type="dxa"/>
              <w:left w:w="85" w:type="dxa"/>
              <w:bottom w:w="85" w:type="dxa"/>
              <w:right w:w="85" w:type="dxa"/>
            </w:tcMar>
          </w:tcPr>
          <w:p w14:paraId="52FAC21A" w14:textId="77777777" w:rsidR="00342C07" w:rsidRPr="00630129" w:rsidRDefault="00342C07" w:rsidP="00F60AD8">
            <w:pPr>
              <w:rPr>
                <w:sz w:val="22"/>
                <w:szCs w:val="22"/>
              </w:rPr>
            </w:pPr>
            <w:r w:rsidRPr="00630129">
              <w:rPr>
                <w:sz w:val="22"/>
                <w:szCs w:val="22"/>
              </w:rPr>
              <w:t>Information Imbalance Charge</w:t>
            </w:r>
          </w:p>
        </w:tc>
        <w:tc>
          <w:tcPr>
            <w:tcW w:w="974" w:type="pct"/>
            <w:tcMar>
              <w:top w:w="85" w:type="dxa"/>
              <w:left w:w="85" w:type="dxa"/>
              <w:bottom w:w="85" w:type="dxa"/>
              <w:right w:w="85" w:type="dxa"/>
            </w:tcMar>
          </w:tcPr>
          <w:p w14:paraId="78F54006" w14:textId="77777777" w:rsidR="00342C07" w:rsidRPr="00630129" w:rsidRDefault="00342C07" w:rsidP="00F60AD8">
            <w:pPr>
              <w:rPr>
                <w:sz w:val="22"/>
                <w:szCs w:val="22"/>
              </w:rPr>
            </w:pPr>
            <w:proofErr w:type="spellStart"/>
            <w:r w:rsidRPr="00630129">
              <w:rPr>
                <w:sz w:val="22"/>
                <w:szCs w:val="22"/>
              </w:rPr>
              <w:t>CII</w:t>
            </w:r>
            <w:r w:rsidRPr="00630129">
              <w:rPr>
                <w:sz w:val="22"/>
                <w:szCs w:val="22"/>
                <w:vertAlign w:val="subscript"/>
              </w:rPr>
              <w:t>ij</w:t>
            </w:r>
            <w:proofErr w:type="spellEnd"/>
          </w:p>
        </w:tc>
        <w:tc>
          <w:tcPr>
            <w:tcW w:w="492" w:type="pct"/>
            <w:tcMar>
              <w:top w:w="85" w:type="dxa"/>
              <w:left w:w="85" w:type="dxa"/>
              <w:bottom w:w="85" w:type="dxa"/>
              <w:right w:w="85" w:type="dxa"/>
            </w:tcMar>
          </w:tcPr>
          <w:p w14:paraId="73A62B8D"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48E1A65A" w14:textId="77777777" w:rsidR="00342C07" w:rsidRPr="00630129" w:rsidRDefault="00342C07" w:rsidP="00F60AD8">
            <w:pPr>
              <w:spacing w:after="120"/>
              <w:rPr>
                <w:sz w:val="22"/>
                <w:szCs w:val="22"/>
              </w:rPr>
            </w:pPr>
            <w:r w:rsidRPr="00630129">
              <w:rPr>
                <w:sz w:val="22"/>
                <w:szCs w:val="22"/>
              </w:rPr>
              <w:t>The amount determined in accordance with Section T4.3.6.</w:t>
            </w:r>
          </w:p>
          <w:p w14:paraId="13B7945A" w14:textId="77777777" w:rsidR="00342C07" w:rsidRPr="00630129" w:rsidRDefault="00342C07" w:rsidP="00F60AD8">
            <w:pPr>
              <w:rPr>
                <w:i/>
                <w:sz w:val="22"/>
                <w:szCs w:val="22"/>
              </w:rPr>
            </w:pPr>
            <w:r w:rsidRPr="00630129">
              <w:rPr>
                <w:i/>
                <w:sz w:val="22"/>
                <w:szCs w:val="22"/>
              </w:rPr>
              <w:t xml:space="preserve">The Information Imbalance Charge is the charge applicable to the associated Lead Party as a result of the difference in FPN data as modified by Acceptances and BM Unit Metered Volume from BM Unit </w:t>
            </w:r>
            <w:proofErr w:type="spellStart"/>
            <w:r w:rsidRPr="00630129">
              <w:rPr>
                <w:i/>
                <w:sz w:val="22"/>
                <w:szCs w:val="22"/>
              </w:rPr>
              <w:t>i</w:t>
            </w:r>
            <w:proofErr w:type="spellEnd"/>
            <w:r w:rsidRPr="00630129">
              <w:rPr>
                <w:i/>
                <w:sz w:val="22"/>
                <w:szCs w:val="22"/>
              </w:rPr>
              <w:t xml:space="preserve"> in Settlement Period j.</w:t>
            </w:r>
          </w:p>
        </w:tc>
      </w:tr>
      <w:tr w:rsidR="00342C07" w:rsidRPr="00630129" w14:paraId="1C1F2823" w14:textId="77777777" w:rsidTr="00A63BA8">
        <w:trPr>
          <w:cantSplit/>
        </w:trPr>
        <w:tc>
          <w:tcPr>
            <w:tcW w:w="994" w:type="pct"/>
            <w:tcMar>
              <w:top w:w="85" w:type="dxa"/>
              <w:left w:w="85" w:type="dxa"/>
              <w:bottom w:w="85" w:type="dxa"/>
              <w:right w:w="85" w:type="dxa"/>
            </w:tcMar>
          </w:tcPr>
          <w:p w14:paraId="494B890F" w14:textId="77777777" w:rsidR="00342C07" w:rsidRPr="00630129" w:rsidRDefault="00342C07" w:rsidP="00F60AD8">
            <w:pPr>
              <w:rPr>
                <w:sz w:val="22"/>
                <w:szCs w:val="22"/>
              </w:rPr>
            </w:pPr>
            <w:r w:rsidRPr="00630129">
              <w:rPr>
                <w:sz w:val="22"/>
                <w:szCs w:val="22"/>
              </w:rPr>
              <w:t>Information Imbalance Price</w:t>
            </w:r>
          </w:p>
        </w:tc>
        <w:tc>
          <w:tcPr>
            <w:tcW w:w="974" w:type="pct"/>
            <w:tcMar>
              <w:top w:w="85" w:type="dxa"/>
              <w:left w:w="85" w:type="dxa"/>
              <w:bottom w:w="85" w:type="dxa"/>
              <w:right w:w="85" w:type="dxa"/>
            </w:tcMar>
          </w:tcPr>
          <w:p w14:paraId="71D5CE7A" w14:textId="77777777" w:rsidR="00342C07" w:rsidRPr="00630129" w:rsidRDefault="00342C07" w:rsidP="00F60AD8">
            <w:pPr>
              <w:rPr>
                <w:sz w:val="22"/>
                <w:szCs w:val="22"/>
              </w:rPr>
            </w:pPr>
            <w:proofErr w:type="spellStart"/>
            <w:r w:rsidRPr="00630129">
              <w:rPr>
                <w:sz w:val="22"/>
                <w:szCs w:val="22"/>
              </w:rPr>
              <w:t>IIP</w:t>
            </w:r>
            <w:r w:rsidRPr="00630129">
              <w:rPr>
                <w:sz w:val="22"/>
                <w:szCs w:val="22"/>
                <w:vertAlign w:val="subscript"/>
              </w:rPr>
              <w:t>j</w:t>
            </w:r>
            <w:proofErr w:type="spellEnd"/>
          </w:p>
        </w:tc>
        <w:tc>
          <w:tcPr>
            <w:tcW w:w="492" w:type="pct"/>
            <w:tcMar>
              <w:top w:w="85" w:type="dxa"/>
              <w:left w:w="85" w:type="dxa"/>
              <w:bottom w:w="85" w:type="dxa"/>
              <w:right w:w="85" w:type="dxa"/>
            </w:tcMar>
          </w:tcPr>
          <w:p w14:paraId="325F09D8"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03097020" w14:textId="77777777" w:rsidR="00342C07" w:rsidRPr="00630129" w:rsidRDefault="00342C07" w:rsidP="00F60AD8">
            <w:pPr>
              <w:rPr>
                <w:sz w:val="22"/>
                <w:szCs w:val="22"/>
              </w:rPr>
            </w:pPr>
            <w:r w:rsidRPr="00630129">
              <w:rPr>
                <w:sz w:val="22"/>
                <w:szCs w:val="22"/>
              </w:rPr>
              <w:t>The price specified in Section T4.3.5, being an amount equal to zero.</w:t>
            </w:r>
          </w:p>
        </w:tc>
      </w:tr>
      <w:tr w:rsidR="00342C07" w:rsidRPr="00630129" w14:paraId="314A89E8" w14:textId="77777777" w:rsidTr="00A63BA8">
        <w:trPr>
          <w:cantSplit/>
        </w:trPr>
        <w:tc>
          <w:tcPr>
            <w:tcW w:w="994" w:type="pct"/>
            <w:tcMar>
              <w:top w:w="85" w:type="dxa"/>
              <w:left w:w="85" w:type="dxa"/>
              <w:bottom w:w="85" w:type="dxa"/>
              <w:right w:w="85" w:type="dxa"/>
            </w:tcMar>
          </w:tcPr>
          <w:p w14:paraId="72537625" w14:textId="77777777" w:rsidR="00342C07" w:rsidRPr="00630129" w:rsidRDefault="00342C07" w:rsidP="00F60AD8">
            <w:pPr>
              <w:rPr>
                <w:sz w:val="22"/>
                <w:szCs w:val="22"/>
              </w:rPr>
            </w:pPr>
            <w:r w:rsidRPr="00630129">
              <w:rPr>
                <w:sz w:val="22"/>
                <w:szCs w:val="22"/>
              </w:rPr>
              <w:t>Initial Energy Credit Cover</w:t>
            </w:r>
          </w:p>
        </w:tc>
        <w:tc>
          <w:tcPr>
            <w:tcW w:w="974" w:type="pct"/>
            <w:tcMar>
              <w:top w:w="85" w:type="dxa"/>
              <w:left w:w="85" w:type="dxa"/>
              <w:bottom w:w="85" w:type="dxa"/>
              <w:right w:w="85" w:type="dxa"/>
            </w:tcMar>
          </w:tcPr>
          <w:p w14:paraId="06E85977" w14:textId="77777777" w:rsidR="00342C07" w:rsidRPr="00630129" w:rsidRDefault="00342C07" w:rsidP="00F60AD8">
            <w:pPr>
              <w:rPr>
                <w:sz w:val="22"/>
                <w:szCs w:val="22"/>
                <w:vertAlign w:val="subscript"/>
              </w:rPr>
            </w:pPr>
            <w:proofErr w:type="spellStart"/>
            <w:r w:rsidRPr="00630129">
              <w:rPr>
                <w:sz w:val="22"/>
                <w:szCs w:val="22"/>
              </w:rPr>
              <w:t>IECC</w:t>
            </w:r>
            <w:r w:rsidRPr="00630129">
              <w:rPr>
                <w:sz w:val="22"/>
                <w:szCs w:val="22"/>
                <w:vertAlign w:val="subscript"/>
              </w:rPr>
              <w:t>p</w:t>
            </w:r>
            <w:proofErr w:type="spellEnd"/>
          </w:p>
        </w:tc>
        <w:tc>
          <w:tcPr>
            <w:tcW w:w="492" w:type="pct"/>
            <w:tcMar>
              <w:top w:w="85" w:type="dxa"/>
              <w:left w:w="85" w:type="dxa"/>
              <w:bottom w:w="85" w:type="dxa"/>
              <w:right w:w="85" w:type="dxa"/>
            </w:tcMar>
          </w:tcPr>
          <w:p w14:paraId="1ABCCCA0"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5802D7E9" w14:textId="77777777" w:rsidR="00342C07" w:rsidRPr="00630129" w:rsidRDefault="00342C07" w:rsidP="00F60AD8">
            <w:pPr>
              <w:spacing w:after="120"/>
              <w:rPr>
                <w:sz w:val="22"/>
                <w:szCs w:val="22"/>
              </w:rPr>
            </w:pPr>
            <w:r w:rsidRPr="00630129">
              <w:rPr>
                <w:sz w:val="22"/>
                <w:szCs w:val="22"/>
              </w:rPr>
              <w:t>The amount determined as such in accordance with Section M4.2.2.</w:t>
            </w:r>
          </w:p>
          <w:p w14:paraId="0021F1EC" w14:textId="77777777" w:rsidR="00342C07" w:rsidRPr="00630129" w:rsidRDefault="00342C07" w:rsidP="00F60AD8">
            <w:pPr>
              <w:rPr>
                <w:i/>
                <w:sz w:val="22"/>
                <w:szCs w:val="22"/>
              </w:rPr>
            </w:pPr>
            <w:r w:rsidRPr="00630129">
              <w:rPr>
                <w:i/>
                <w:sz w:val="22"/>
                <w:szCs w:val="22"/>
              </w:rPr>
              <w:t>The Initial Energy Credit Cover is the amount of Credit Cover that a Trading Party p has in place at the start of a Credit Cover Error Period.</w:t>
            </w:r>
          </w:p>
        </w:tc>
      </w:tr>
      <w:tr w:rsidR="00342C07" w:rsidRPr="00630129" w14:paraId="5F524827" w14:textId="77777777" w:rsidTr="00A63BA8">
        <w:trPr>
          <w:cantSplit/>
        </w:trPr>
        <w:tc>
          <w:tcPr>
            <w:tcW w:w="994" w:type="pct"/>
            <w:tcMar>
              <w:top w:w="85" w:type="dxa"/>
              <w:left w:w="85" w:type="dxa"/>
              <w:bottom w:w="85" w:type="dxa"/>
              <w:right w:w="85" w:type="dxa"/>
            </w:tcMar>
          </w:tcPr>
          <w:p w14:paraId="13995257" w14:textId="77777777" w:rsidR="00342C07" w:rsidRPr="00630129" w:rsidRDefault="00342C07" w:rsidP="00F60AD8">
            <w:pPr>
              <w:rPr>
                <w:sz w:val="22"/>
                <w:szCs w:val="22"/>
              </w:rPr>
            </w:pPr>
            <w:r w:rsidRPr="00630129">
              <w:rPr>
                <w:sz w:val="22"/>
                <w:szCs w:val="22"/>
              </w:rPr>
              <w:t>Initial National Demand Out-Turn</w:t>
            </w:r>
          </w:p>
        </w:tc>
        <w:tc>
          <w:tcPr>
            <w:tcW w:w="974" w:type="pct"/>
            <w:tcMar>
              <w:top w:w="85" w:type="dxa"/>
              <w:left w:w="85" w:type="dxa"/>
              <w:bottom w:w="85" w:type="dxa"/>
              <w:right w:w="85" w:type="dxa"/>
            </w:tcMar>
          </w:tcPr>
          <w:p w14:paraId="7BF89949" w14:textId="77777777" w:rsidR="00342C07" w:rsidRPr="00630129" w:rsidRDefault="00342C07" w:rsidP="00F60AD8">
            <w:pPr>
              <w:rPr>
                <w:sz w:val="22"/>
                <w:szCs w:val="22"/>
              </w:rPr>
            </w:pPr>
            <w:r w:rsidRPr="00630129">
              <w:rPr>
                <w:sz w:val="22"/>
                <w:szCs w:val="22"/>
              </w:rPr>
              <w:t>INDO</w:t>
            </w:r>
          </w:p>
        </w:tc>
        <w:tc>
          <w:tcPr>
            <w:tcW w:w="492" w:type="pct"/>
            <w:tcMar>
              <w:top w:w="85" w:type="dxa"/>
              <w:left w:w="85" w:type="dxa"/>
              <w:bottom w:w="85" w:type="dxa"/>
              <w:right w:w="85" w:type="dxa"/>
            </w:tcMar>
          </w:tcPr>
          <w:p w14:paraId="0B1D82E1"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0632A0DF" w14:textId="77777777" w:rsidR="00342C07" w:rsidRPr="00630129" w:rsidRDefault="00342C07" w:rsidP="00F60AD8">
            <w:pPr>
              <w:rPr>
                <w:rFonts w:ascii="MT Extra" w:hAnsi="MT Extra"/>
                <w:sz w:val="22"/>
                <w:szCs w:val="22"/>
                <w:lang w:val="en-US"/>
              </w:rPr>
            </w:pPr>
            <w:r w:rsidRPr="00630129">
              <w:rPr>
                <w:sz w:val="22"/>
                <w:szCs w:val="22"/>
              </w:rPr>
              <w:t>The demand metered by the NETSO taking into account transmission losses but not including station transformer load, pumped storage demand or Interconnector demand. References to INDO in Section Q6.1.13 and in Table 1 of Section V Annex V-1 mean the half-hour average INDO for a Settlemen</w:t>
            </w:r>
            <w:r w:rsidR="0032597C">
              <w:rPr>
                <w:sz w:val="22"/>
                <w:szCs w:val="22"/>
              </w:rPr>
              <w:t>t Period.</w:t>
            </w:r>
            <w:r w:rsidRPr="00630129">
              <w:rPr>
                <w:sz w:val="22"/>
                <w:szCs w:val="22"/>
              </w:rPr>
              <w:t xml:space="preserve"> References to INDO in Section G3.1.4 mean the spot time INDO measured by the NETSO in accordance with that paragraph.</w:t>
            </w:r>
          </w:p>
        </w:tc>
      </w:tr>
      <w:tr w:rsidR="00342C07" w:rsidRPr="00630129" w14:paraId="106E2598" w14:textId="77777777" w:rsidTr="00A63BA8">
        <w:trPr>
          <w:cantSplit/>
        </w:trPr>
        <w:tc>
          <w:tcPr>
            <w:tcW w:w="994" w:type="pct"/>
            <w:tcMar>
              <w:top w:w="85" w:type="dxa"/>
              <w:left w:w="85" w:type="dxa"/>
              <w:bottom w:w="85" w:type="dxa"/>
              <w:right w:w="85" w:type="dxa"/>
            </w:tcMar>
          </w:tcPr>
          <w:p w14:paraId="72A6E265" w14:textId="77777777" w:rsidR="00342C07" w:rsidRPr="00630129" w:rsidRDefault="00342C07" w:rsidP="00F60AD8">
            <w:pPr>
              <w:rPr>
                <w:sz w:val="22"/>
                <w:szCs w:val="22"/>
              </w:rPr>
            </w:pPr>
            <w:r w:rsidRPr="00630129">
              <w:rPr>
                <w:sz w:val="22"/>
                <w:szCs w:val="22"/>
              </w:rPr>
              <w:lastRenderedPageBreak/>
              <w:t>Initial Ranked Set</w:t>
            </w:r>
          </w:p>
        </w:tc>
        <w:tc>
          <w:tcPr>
            <w:tcW w:w="974" w:type="pct"/>
            <w:tcMar>
              <w:top w:w="85" w:type="dxa"/>
              <w:left w:w="85" w:type="dxa"/>
              <w:bottom w:w="85" w:type="dxa"/>
              <w:right w:w="85" w:type="dxa"/>
            </w:tcMar>
          </w:tcPr>
          <w:p w14:paraId="074841EB"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7A158658"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26CFE418" w14:textId="77777777" w:rsidR="00342C07" w:rsidRPr="00630129" w:rsidRDefault="00342C07" w:rsidP="00F60AD8">
            <w:pPr>
              <w:rPr>
                <w:sz w:val="22"/>
                <w:szCs w:val="22"/>
              </w:rPr>
            </w:pPr>
            <w:r w:rsidRPr="00630129">
              <w:rPr>
                <w:sz w:val="22"/>
                <w:szCs w:val="22"/>
              </w:rPr>
              <w:t>One of the Initial Ranked Sets of System Actions as provided in paragraph 2.1(c) of Part 1 of Annex T-1.</w:t>
            </w:r>
          </w:p>
        </w:tc>
      </w:tr>
      <w:tr w:rsidR="00342C07" w:rsidRPr="00630129" w14:paraId="51F9B673" w14:textId="77777777" w:rsidTr="00A63BA8">
        <w:trPr>
          <w:cantSplit/>
        </w:trPr>
        <w:tc>
          <w:tcPr>
            <w:tcW w:w="994" w:type="pct"/>
            <w:tcMar>
              <w:top w:w="85" w:type="dxa"/>
              <w:left w:w="85" w:type="dxa"/>
              <w:bottom w:w="85" w:type="dxa"/>
              <w:right w:w="85" w:type="dxa"/>
            </w:tcMar>
          </w:tcPr>
          <w:p w14:paraId="6CA4E686" w14:textId="77777777" w:rsidR="00342C07" w:rsidRPr="00630129" w:rsidRDefault="00342C07" w:rsidP="00F60AD8">
            <w:pPr>
              <w:rPr>
                <w:sz w:val="22"/>
                <w:szCs w:val="22"/>
              </w:rPr>
            </w:pPr>
            <w:r w:rsidRPr="00630129">
              <w:rPr>
                <w:sz w:val="22"/>
                <w:szCs w:val="22"/>
              </w:rPr>
              <w:t>Initial Transmission System Demand Out-Turn</w:t>
            </w:r>
          </w:p>
        </w:tc>
        <w:tc>
          <w:tcPr>
            <w:tcW w:w="974" w:type="pct"/>
            <w:tcMar>
              <w:top w:w="85" w:type="dxa"/>
              <w:left w:w="85" w:type="dxa"/>
              <w:bottom w:w="85" w:type="dxa"/>
              <w:right w:w="85" w:type="dxa"/>
            </w:tcMar>
          </w:tcPr>
          <w:p w14:paraId="0D2C8643" w14:textId="77777777" w:rsidR="00342C07" w:rsidRPr="00630129" w:rsidRDefault="00342C07" w:rsidP="00F60AD8">
            <w:pPr>
              <w:rPr>
                <w:sz w:val="22"/>
                <w:szCs w:val="22"/>
              </w:rPr>
            </w:pPr>
            <w:r w:rsidRPr="00630129">
              <w:rPr>
                <w:sz w:val="22"/>
                <w:szCs w:val="22"/>
              </w:rPr>
              <w:t>ITSDO</w:t>
            </w:r>
          </w:p>
        </w:tc>
        <w:tc>
          <w:tcPr>
            <w:tcW w:w="492" w:type="pct"/>
            <w:tcMar>
              <w:top w:w="85" w:type="dxa"/>
              <w:left w:w="85" w:type="dxa"/>
              <w:bottom w:w="85" w:type="dxa"/>
              <w:right w:w="85" w:type="dxa"/>
            </w:tcMar>
          </w:tcPr>
          <w:p w14:paraId="00277B41"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05B027F6" w14:textId="77777777" w:rsidR="00342C07" w:rsidRPr="00630129" w:rsidRDefault="00342C07" w:rsidP="00F60AD8">
            <w:pPr>
              <w:rPr>
                <w:sz w:val="22"/>
                <w:szCs w:val="22"/>
              </w:rPr>
            </w:pPr>
            <w:r w:rsidRPr="00630129">
              <w:rPr>
                <w:sz w:val="22"/>
                <w:szCs w:val="22"/>
              </w:rPr>
              <w:t>The half-hour average MW demand metered by the NETSO taking into account transmission losses and including station transformers load, pumped storage demand and Interconnector demand.</w:t>
            </w:r>
          </w:p>
        </w:tc>
      </w:tr>
      <w:tr w:rsidR="00342C07" w:rsidRPr="00630129" w14:paraId="3F839ED3" w14:textId="77777777" w:rsidTr="00A63BA8">
        <w:trPr>
          <w:cantSplit/>
        </w:trPr>
        <w:tc>
          <w:tcPr>
            <w:tcW w:w="994" w:type="pct"/>
            <w:tcMar>
              <w:top w:w="85" w:type="dxa"/>
              <w:left w:w="85" w:type="dxa"/>
              <w:bottom w:w="85" w:type="dxa"/>
              <w:right w:w="85" w:type="dxa"/>
            </w:tcMar>
          </w:tcPr>
          <w:p w14:paraId="73D936D2" w14:textId="77777777" w:rsidR="00342C07" w:rsidRPr="00630129" w:rsidRDefault="00342C07" w:rsidP="00F60AD8">
            <w:pPr>
              <w:rPr>
                <w:sz w:val="22"/>
                <w:szCs w:val="22"/>
              </w:rPr>
            </w:pPr>
            <w:r w:rsidRPr="00630129">
              <w:rPr>
                <w:sz w:val="22"/>
                <w:szCs w:val="22"/>
              </w:rPr>
              <w:t>Interconnector Metered Volume</w:t>
            </w:r>
          </w:p>
        </w:tc>
        <w:tc>
          <w:tcPr>
            <w:tcW w:w="974" w:type="pct"/>
            <w:tcMar>
              <w:top w:w="85" w:type="dxa"/>
              <w:left w:w="85" w:type="dxa"/>
              <w:bottom w:w="85" w:type="dxa"/>
              <w:right w:w="85" w:type="dxa"/>
            </w:tcMar>
          </w:tcPr>
          <w:p w14:paraId="6F191690" w14:textId="77777777" w:rsidR="00342C07" w:rsidRPr="00630129" w:rsidRDefault="00342C07" w:rsidP="00F60AD8">
            <w:pPr>
              <w:rPr>
                <w:sz w:val="22"/>
                <w:szCs w:val="22"/>
              </w:rPr>
            </w:pPr>
            <w:proofErr w:type="spellStart"/>
            <w:r w:rsidRPr="00630129">
              <w:rPr>
                <w:sz w:val="22"/>
                <w:szCs w:val="22"/>
              </w:rPr>
              <w:t>IMV</w:t>
            </w:r>
            <w:r w:rsidRPr="00630129">
              <w:rPr>
                <w:sz w:val="22"/>
                <w:szCs w:val="22"/>
                <w:vertAlign w:val="subscript"/>
              </w:rPr>
              <w:t>j</w:t>
            </w:r>
            <w:proofErr w:type="spellEnd"/>
          </w:p>
        </w:tc>
        <w:tc>
          <w:tcPr>
            <w:tcW w:w="492" w:type="pct"/>
            <w:tcMar>
              <w:top w:w="85" w:type="dxa"/>
              <w:left w:w="85" w:type="dxa"/>
              <w:bottom w:w="85" w:type="dxa"/>
              <w:right w:w="85" w:type="dxa"/>
            </w:tcMar>
          </w:tcPr>
          <w:p w14:paraId="30839151"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426AA5C5" w14:textId="77777777" w:rsidR="00342C07" w:rsidRPr="00630129" w:rsidRDefault="00342C07" w:rsidP="00F60AD8">
            <w:pPr>
              <w:spacing w:after="120"/>
              <w:rPr>
                <w:sz w:val="22"/>
                <w:szCs w:val="22"/>
              </w:rPr>
            </w:pPr>
            <w:r w:rsidRPr="00630129">
              <w:rPr>
                <w:sz w:val="22"/>
                <w:szCs w:val="22"/>
              </w:rPr>
              <w:t>Is defined in Annex X-1.</w:t>
            </w:r>
          </w:p>
          <w:p w14:paraId="10664C23" w14:textId="77777777" w:rsidR="00342C07" w:rsidRPr="00630129" w:rsidRDefault="00342C07" w:rsidP="00F60AD8">
            <w:pPr>
              <w:rPr>
                <w:i/>
                <w:sz w:val="22"/>
                <w:szCs w:val="22"/>
              </w:rPr>
            </w:pPr>
            <w:r w:rsidRPr="00630129">
              <w:rPr>
                <w:i/>
                <w:sz w:val="22"/>
                <w:szCs w:val="22"/>
              </w:rPr>
              <w:t>The net aggregate volume of Active Energy, determined as at the Transmission System Boundary, which flowed from or to the relevant Interconnector in Settlement Period j.</w:t>
            </w:r>
          </w:p>
        </w:tc>
      </w:tr>
      <w:tr w:rsidR="00342C07" w:rsidRPr="00630129" w14:paraId="258EA510" w14:textId="77777777" w:rsidTr="00A63BA8">
        <w:trPr>
          <w:cantSplit/>
        </w:trPr>
        <w:tc>
          <w:tcPr>
            <w:tcW w:w="994" w:type="pct"/>
            <w:tcMar>
              <w:top w:w="85" w:type="dxa"/>
              <w:left w:w="85" w:type="dxa"/>
              <w:bottom w:w="85" w:type="dxa"/>
              <w:right w:w="85" w:type="dxa"/>
            </w:tcMar>
          </w:tcPr>
          <w:p w14:paraId="3770E2C3" w14:textId="77777777" w:rsidR="00342C07" w:rsidRPr="00630129" w:rsidRDefault="00342C07" w:rsidP="00F60AD8">
            <w:pPr>
              <w:rPr>
                <w:sz w:val="22"/>
                <w:szCs w:val="22"/>
              </w:rPr>
            </w:pPr>
            <w:r w:rsidRPr="00630129">
              <w:rPr>
                <w:sz w:val="22"/>
                <w:szCs w:val="22"/>
              </w:rPr>
              <w:t>Interconnector Schedule Data</w:t>
            </w:r>
          </w:p>
        </w:tc>
        <w:tc>
          <w:tcPr>
            <w:tcW w:w="974" w:type="pct"/>
            <w:tcMar>
              <w:top w:w="85" w:type="dxa"/>
              <w:left w:w="85" w:type="dxa"/>
              <w:bottom w:w="85" w:type="dxa"/>
              <w:right w:w="85" w:type="dxa"/>
            </w:tcMar>
          </w:tcPr>
          <w:p w14:paraId="00B83214"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3565D793"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1F0BDF9F" w14:textId="77777777" w:rsidR="00342C07" w:rsidRPr="00630129" w:rsidRDefault="00342C07" w:rsidP="00F60AD8">
            <w:pPr>
              <w:rPr>
                <w:sz w:val="22"/>
                <w:szCs w:val="22"/>
              </w:rPr>
            </w:pPr>
            <w:r w:rsidRPr="00630129">
              <w:rPr>
                <w:snapToGrid w:val="0"/>
                <w:sz w:val="22"/>
                <w:szCs w:val="22"/>
              </w:rPr>
              <w:t>Data (comprising the items set out in Section Q5.6.4) to be submitted by the NETSO pursuant to Section Q6.2C.1(d).</w:t>
            </w:r>
          </w:p>
        </w:tc>
      </w:tr>
      <w:tr w:rsidR="00342C07" w:rsidRPr="00630129" w14:paraId="6F94B5DF" w14:textId="77777777" w:rsidTr="00A63BA8">
        <w:trPr>
          <w:cantSplit/>
        </w:trPr>
        <w:tc>
          <w:tcPr>
            <w:tcW w:w="994" w:type="pct"/>
            <w:tcMar>
              <w:top w:w="85" w:type="dxa"/>
              <w:left w:w="85" w:type="dxa"/>
              <w:bottom w:w="85" w:type="dxa"/>
              <w:right w:w="85" w:type="dxa"/>
            </w:tcMar>
          </w:tcPr>
          <w:p w14:paraId="6C5F2988" w14:textId="77777777" w:rsidR="00342C07" w:rsidRPr="00630129" w:rsidRDefault="00342C07" w:rsidP="00F60AD8">
            <w:pPr>
              <w:rPr>
                <w:sz w:val="22"/>
                <w:szCs w:val="22"/>
              </w:rPr>
            </w:pPr>
            <w:r w:rsidRPr="00630129">
              <w:rPr>
                <w:sz w:val="22"/>
                <w:szCs w:val="22"/>
              </w:rPr>
              <w:t>Line Loss Factor</w:t>
            </w:r>
          </w:p>
        </w:tc>
        <w:tc>
          <w:tcPr>
            <w:tcW w:w="974" w:type="pct"/>
            <w:tcMar>
              <w:top w:w="85" w:type="dxa"/>
              <w:left w:w="85" w:type="dxa"/>
              <w:bottom w:w="85" w:type="dxa"/>
              <w:right w:w="85" w:type="dxa"/>
            </w:tcMar>
          </w:tcPr>
          <w:p w14:paraId="19C934A1"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56F4BF75"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0661C379" w14:textId="77777777" w:rsidR="00342C07" w:rsidRPr="00630129" w:rsidRDefault="00342C07" w:rsidP="00F60AD8">
            <w:pPr>
              <w:rPr>
                <w:sz w:val="22"/>
                <w:szCs w:val="22"/>
              </w:rPr>
            </w:pPr>
            <w:r w:rsidRPr="00630129">
              <w:rPr>
                <w:sz w:val="22"/>
                <w:szCs w:val="22"/>
              </w:rPr>
              <w:t>Means a multiplier which, when applied to data from a CVA Metering System connected to a Boundary Point on a Distribution System, converts such data into an equivalent value at the Transmission System Boundary.</w:t>
            </w:r>
          </w:p>
        </w:tc>
      </w:tr>
      <w:tr w:rsidR="00342C07" w:rsidRPr="00630129" w14:paraId="5D6809FA" w14:textId="77777777" w:rsidTr="00A63BA8">
        <w:trPr>
          <w:cantSplit/>
        </w:trPr>
        <w:tc>
          <w:tcPr>
            <w:tcW w:w="994" w:type="pct"/>
            <w:tcMar>
              <w:top w:w="85" w:type="dxa"/>
              <w:left w:w="85" w:type="dxa"/>
              <w:bottom w:w="85" w:type="dxa"/>
              <w:right w:w="85" w:type="dxa"/>
            </w:tcMar>
          </w:tcPr>
          <w:p w14:paraId="37121FB4" w14:textId="77777777" w:rsidR="00342C07" w:rsidRPr="00630129" w:rsidRDefault="00342C07" w:rsidP="00F60AD8">
            <w:pPr>
              <w:rPr>
                <w:sz w:val="22"/>
                <w:szCs w:val="22"/>
              </w:rPr>
            </w:pPr>
            <w:r w:rsidRPr="00630129">
              <w:rPr>
                <w:sz w:val="22"/>
                <w:szCs w:val="22"/>
              </w:rPr>
              <w:t>Line Loss Factor Class</w:t>
            </w:r>
          </w:p>
        </w:tc>
        <w:tc>
          <w:tcPr>
            <w:tcW w:w="974" w:type="pct"/>
            <w:tcMar>
              <w:top w:w="85" w:type="dxa"/>
              <w:left w:w="85" w:type="dxa"/>
              <w:bottom w:w="85" w:type="dxa"/>
              <w:right w:w="85" w:type="dxa"/>
            </w:tcMar>
          </w:tcPr>
          <w:p w14:paraId="4D570140" w14:textId="77777777" w:rsidR="00342C07" w:rsidRPr="00630129" w:rsidRDefault="00342C07" w:rsidP="00F60AD8">
            <w:pPr>
              <w:rPr>
                <w:sz w:val="22"/>
                <w:szCs w:val="22"/>
              </w:rPr>
            </w:pPr>
            <w:r w:rsidRPr="00630129">
              <w:rPr>
                <w:sz w:val="22"/>
                <w:szCs w:val="22"/>
              </w:rPr>
              <w:t>LLFC</w:t>
            </w:r>
          </w:p>
        </w:tc>
        <w:tc>
          <w:tcPr>
            <w:tcW w:w="492" w:type="pct"/>
            <w:tcMar>
              <w:top w:w="85" w:type="dxa"/>
              <w:left w:w="85" w:type="dxa"/>
              <w:bottom w:w="85" w:type="dxa"/>
              <w:right w:w="85" w:type="dxa"/>
            </w:tcMar>
          </w:tcPr>
          <w:p w14:paraId="1DD7CB52"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7A9FBECF" w14:textId="77777777" w:rsidR="00342C07" w:rsidRPr="00630129" w:rsidRDefault="00342C07" w:rsidP="00F60AD8">
            <w:pPr>
              <w:rPr>
                <w:sz w:val="22"/>
                <w:szCs w:val="22"/>
              </w:rPr>
            </w:pPr>
            <w:r w:rsidRPr="00630129">
              <w:rPr>
                <w:sz w:val="22"/>
                <w:szCs w:val="22"/>
              </w:rPr>
              <w:t>A set of SVA Metering Systems defined by a Licensed Distribution System Operator relating to any one or more of its Distribution System(s) that are assigned the same Line Loss Factor for the relevant Settlement Period.</w:t>
            </w:r>
          </w:p>
        </w:tc>
      </w:tr>
      <w:tr w:rsidR="00342C07" w:rsidRPr="00630129" w14:paraId="23060412"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B53A28B" w14:textId="77777777" w:rsidR="00342C07" w:rsidRPr="00630129" w:rsidRDefault="00342C07" w:rsidP="00F60AD8">
            <w:pPr>
              <w:rPr>
                <w:sz w:val="22"/>
                <w:szCs w:val="22"/>
              </w:rPr>
            </w:pPr>
            <w:r w:rsidRPr="00630129">
              <w:rPr>
                <w:sz w:val="22"/>
                <w:szCs w:val="22"/>
              </w:rPr>
              <w:t>Loss of Load Probability</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28FAFD2" w14:textId="77777777" w:rsidR="00342C07" w:rsidRPr="00630129" w:rsidRDefault="00342C07" w:rsidP="00F60AD8">
            <w:pPr>
              <w:rPr>
                <w:sz w:val="22"/>
                <w:szCs w:val="22"/>
              </w:rPr>
            </w:pPr>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D58F8E8" w14:textId="77777777" w:rsidR="00342C07" w:rsidRPr="00630129" w:rsidRDefault="00342C07" w:rsidP="00F60AD8">
            <w:pPr>
              <w:rPr>
                <w:sz w:val="22"/>
                <w:szCs w:val="22"/>
              </w:rPr>
            </w:pP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951D286" w14:textId="77777777" w:rsidR="00342C07" w:rsidRPr="00630129" w:rsidRDefault="00342C07" w:rsidP="00F60AD8">
            <w:pPr>
              <w:rPr>
                <w:sz w:val="22"/>
                <w:szCs w:val="22"/>
              </w:rPr>
            </w:pPr>
            <w:r w:rsidRPr="00630129">
              <w:rPr>
                <w:sz w:val="22"/>
                <w:szCs w:val="22"/>
              </w:rPr>
              <w:t>In relation to a Settlement Period, the Final Loss of Load Probability or the Indicative Loss of Load Probability as the context so requires.</w:t>
            </w:r>
          </w:p>
        </w:tc>
      </w:tr>
      <w:tr w:rsidR="00342C07" w:rsidRPr="00630129" w14:paraId="136701A1" w14:textId="77777777" w:rsidTr="00A63BA8">
        <w:trPr>
          <w:cantSplit/>
        </w:trPr>
        <w:tc>
          <w:tcPr>
            <w:tcW w:w="994" w:type="pct"/>
            <w:tcMar>
              <w:top w:w="85" w:type="dxa"/>
              <w:left w:w="85" w:type="dxa"/>
              <w:bottom w:w="85" w:type="dxa"/>
              <w:right w:w="85" w:type="dxa"/>
            </w:tcMar>
          </w:tcPr>
          <w:p w14:paraId="38D6F284" w14:textId="77777777" w:rsidR="00342C07" w:rsidRPr="00630129" w:rsidRDefault="00342C07" w:rsidP="00F60AD8">
            <w:pPr>
              <w:rPr>
                <w:sz w:val="22"/>
                <w:szCs w:val="22"/>
              </w:rPr>
            </w:pPr>
            <w:r w:rsidRPr="00630129">
              <w:rPr>
                <w:sz w:val="22"/>
                <w:szCs w:val="22"/>
              </w:rPr>
              <w:t>Low Reference Temperature</w:t>
            </w:r>
          </w:p>
        </w:tc>
        <w:tc>
          <w:tcPr>
            <w:tcW w:w="974" w:type="pct"/>
            <w:tcMar>
              <w:top w:w="85" w:type="dxa"/>
              <w:left w:w="85" w:type="dxa"/>
              <w:bottom w:w="85" w:type="dxa"/>
              <w:right w:w="85" w:type="dxa"/>
            </w:tcMar>
          </w:tcPr>
          <w:p w14:paraId="292292D6"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2E67F043" w14:textId="77777777" w:rsidR="00342C07" w:rsidRPr="00630129" w:rsidRDefault="00342C07" w:rsidP="00F60AD8">
            <w:pPr>
              <w:rPr>
                <w:sz w:val="22"/>
                <w:szCs w:val="22"/>
              </w:rPr>
            </w:pPr>
            <w:r w:rsidRPr="00630129">
              <w:rPr>
                <w:sz w:val="22"/>
                <w:szCs w:val="22"/>
              </w:rPr>
              <w:t xml:space="preserve">Degrees </w:t>
            </w:r>
            <w:proofErr w:type="spellStart"/>
            <w:r w:rsidRPr="00630129">
              <w:rPr>
                <w:sz w:val="22"/>
                <w:szCs w:val="22"/>
              </w:rPr>
              <w:t>celsius</w:t>
            </w:r>
            <w:proofErr w:type="spellEnd"/>
          </w:p>
        </w:tc>
        <w:tc>
          <w:tcPr>
            <w:tcW w:w="2540" w:type="pct"/>
            <w:tcMar>
              <w:top w:w="85" w:type="dxa"/>
              <w:left w:w="85" w:type="dxa"/>
              <w:bottom w:w="85" w:type="dxa"/>
              <w:right w:w="85" w:type="dxa"/>
            </w:tcMar>
          </w:tcPr>
          <w:p w14:paraId="64790FFB" w14:textId="77777777" w:rsidR="00342C07" w:rsidRPr="00630129" w:rsidRDefault="00342C07" w:rsidP="00F60AD8">
            <w:pPr>
              <w:rPr>
                <w:sz w:val="22"/>
                <w:szCs w:val="22"/>
              </w:rPr>
            </w:pPr>
            <w:r w:rsidRPr="00630129">
              <w:rPr>
                <w:sz w:val="22"/>
                <w:szCs w:val="22"/>
              </w:rPr>
              <w:t>The daily average temperature for Great Britain which was exceeded on 88% of days during a 30 year historic period.</w:t>
            </w:r>
          </w:p>
        </w:tc>
      </w:tr>
      <w:tr w:rsidR="00342C07" w:rsidRPr="00630129" w14:paraId="136A37F6" w14:textId="77777777" w:rsidTr="00A63BA8">
        <w:trPr>
          <w:cantSplit/>
        </w:trPr>
        <w:tc>
          <w:tcPr>
            <w:tcW w:w="994" w:type="pct"/>
            <w:tcMar>
              <w:top w:w="85" w:type="dxa"/>
              <w:left w:w="85" w:type="dxa"/>
              <w:bottom w:w="85" w:type="dxa"/>
              <w:right w:w="85" w:type="dxa"/>
            </w:tcMar>
          </w:tcPr>
          <w:p w14:paraId="71B6311C" w14:textId="77777777" w:rsidR="00342C07" w:rsidRPr="00630129" w:rsidRDefault="00342C07" w:rsidP="00F60AD8">
            <w:pPr>
              <w:rPr>
                <w:sz w:val="22"/>
                <w:szCs w:val="22"/>
              </w:rPr>
            </w:pPr>
            <w:r w:rsidRPr="00630129">
              <w:rPr>
                <w:sz w:val="22"/>
                <w:szCs w:val="22"/>
              </w:rPr>
              <w:t>Low Reference Transmission Energy</w:t>
            </w:r>
          </w:p>
        </w:tc>
        <w:tc>
          <w:tcPr>
            <w:tcW w:w="974" w:type="pct"/>
            <w:tcMar>
              <w:top w:w="85" w:type="dxa"/>
              <w:left w:w="85" w:type="dxa"/>
              <w:bottom w:w="85" w:type="dxa"/>
              <w:right w:w="85" w:type="dxa"/>
            </w:tcMar>
          </w:tcPr>
          <w:p w14:paraId="75870524"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57DD2D96"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5B2AC8E7" w14:textId="77777777" w:rsidR="00342C07" w:rsidRPr="00630129" w:rsidRDefault="00342C07" w:rsidP="00F60AD8">
            <w:pPr>
              <w:rPr>
                <w:sz w:val="22"/>
                <w:szCs w:val="22"/>
              </w:rPr>
            </w:pPr>
            <w:r w:rsidRPr="00630129">
              <w:rPr>
                <w:sz w:val="22"/>
                <w:szCs w:val="22"/>
              </w:rPr>
              <w:t>The daily aggregate Transmission Energy which was exceeded on 88% of days during a 30 year historic period.</w:t>
            </w:r>
          </w:p>
        </w:tc>
      </w:tr>
      <w:tr w:rsidR="00342C07" w:rsidRPr="00630129" w14:paraId="2DF63415" w14:textId="77777777" w:rsidTr="00A63BA8">
        <w:trPr>
          <w:cantSplit/>
        </w:trPr>
        <w:tc>
          <w:tcPr>
            <w:tcW w:w="994" w:type="pct"/>
            <w:tcMar>
              <w:top w:w="85" w:type="dxa"/>
              <w:left w:w="85" w:type="dxa"/>
              <w:bottom w:w="85" w:type="dxa"/>
              <w:right w:w="85" w:type="dxa"/>
            </w:tcMar>
          </w:tcPr>
          <w:p w14:paraId="6CF19D60" w14:textId="77777777" w:rsidR="00342C07" w:rsidRPr="00630129" w:rsidRDefault="00342C07" w:rsidP="00F60AD8">
            <w:pPr>
              <w:rPr>
                <w:sz w:val="22"/>
                <w:szCs w:val="22"/>
              </w:rPr>
            </w:pPr>
            <w:r w:rsidRPr="00630129">
              <w:rPr>
                <w:sz w:val="22"/>
                <w:szCs w:val="22"/>
              </w:rPr>
              <w:t>Main Funding Share</w:t>
            </w:r>
          </w:p>
        </w:tc>
        <w:tc>
          <w:tcPr>
            <w:tcW w:w="974" w:type="pct"/>
            <w:tcMar>
              <w:top w:w="85" w:type="dxa"/>
              <w:left w:w="85" w:type="dxa"/>
              <w:bottom w:w="85" w:type="dxa"/>
              <w:right w:w="85" w:type="dxa"/>
            </w:tcMar>
          </w:tcPr>
          <w:p w14:paraId="0C2F50E2" w14:textId="77777777" w:rsidR="00342C07" w:rsidRPr="00630129" w:rsidRDefault="00342C07" w:rsidP="00F60AD8">
            <w:pPr>
              <w:rPr>
                <w:sz w:val="22"/>
                <w:szCs w:val="22"/>
              </w:rPr>
            </w:pPr>
            <w:proofErr w:type="spellStart"/>
            <w:r w:rsidRPr="00630129">
              <w:rPr>
                <w:sz w:val="22"/>
                <w:szCs w:val="22"/>
              </w:rPr>
              <w:t>FSM</w:t>
            </w:r>
            <w:r w:rsidRPr="00630129">
              <w:rPr>
                <w:sz w:val="22"/>
                <w:szCs w:val="22"/>
                <w:vertAlign w:val="subscript"/>
              </w:rPr>
              <w:t>pm</w:t>
            </w:r>
            <w:proofErr w:type="spellEnd"/>
          </w:p>
        </w:tc>
        <w:tc>
          <w:tcPr>
            <w:tcW w:w="492" w:type="pct"/>
            <w:tcMar>
              <w:top w:w="85" w:type="dxa"/>
              <w:left w:w="85" w:type="dxa"/>
              <w:bottom w:w="85" w:type="dxa"/>
              <w:right w:w="85" w:type="dxa"/>
            </w:tcMar>
          </w:tcPr>
          <w:p w14:paraId="0E3E9BE3"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12EF0645" w14:textId="77777777" w:rsidR="00342C07" w:rsidRPr="00630129" w:rsidRDefault="00342C07" w:rsidP="00F60AD8">
            <w:pPr>
              <w:spacing w:after="120"/>
              <w:rPr>
                <w:sz w:val="22"/>
                <w:szCs w:val="22"/>
              </w:rPr>
            </w:pPr>
            <w:r w:rsidRPr="00630129">
              <w:rPr>
                <w:sz w:val="22"/>
                <w:szCs w:val="22"/>
              </w:rPr>
              <w:t>Has the meaning given to that term in Section D1.2.1(a).</w:t>
            </w:r>
          </w:p>
          <w:p w14:paraId="76D03E62" w14:textId="77777777" w:rsidR="00342C07" w:rsidRPr="00630129" w:rsidRDefault="00342C07" w:rsidP="00F60AD8">
            <w:pPr>
              <w:pStyle w:val="Heading9"/>
              <w:keepNext w:val="0"/>
              <w:jc w:val="left"/>
              <w:rPr>
                <w:szCs w:val="22"/>
              </w:rPr>
            </w:pPr>
            <w:r w:rsidRPr="00630129">
              <w:rPr>
                <w:szCs w:val="22"/>
              </w:rPr>
              <w:t>The Main Funding Share represents a Trading Party’s proportionate share of the aggregate Credited Energy Volumes for month m.</w:t>
            </w:r>
          </w:p>
        </w:tc>
      </w:tr>
      <w:tr w:rsidR="00342C07" w:rsidRPr="00630129" w14:paraId="18A5E9BE" w14:textId="77777777" w:rsidTr="00A63BA8">
        <w:trPr>
          <w:cantSplit/>
        </w:trPr>
        <w:tc>
          <w:tcPr>
            <w:tcW w:w="994" w:type="pct"/>
            <w:tcMar>
              <w:top w:w="85" w:type="dxa"/>
              <w:left w:w="85" w:type="dxa"/>
              <w:bottom w:w="85" w:type="dxa"/>
              <w:right w:w="85" w:type="dxa"/>
            </w:tcMar>
          </w:tcPr>
          <w:p w14:paraId="5938D47B" w14:textId="77777777" w:rsidR="00342C07" w:rsidRPr="00630129" w:rsidRDefault="00342C07" w:rsidP="00F60AD8">
            <w:pPr>
              <w:rPr>
                <w:sz w:val="22"/>
                <w:szCs w:val="22"/>
              </w:rPr>
            </w:pPr>
            <w:r w:rsidRPr="00630129">
              <w:rPr>
                <w:sz w:val="22"/>
                <w:szCs w:val="22"/>
              </w:rPr>
              <w:lastRenderedPageBreak/>
              <w:t>Market Index Price</w:t>
            </w:r>
          </w:p>
        </w:tc>
        <w:tc>
          <w:tcPr>
            <w:tcW w:w="974" w:type="pct"/>
            <w:tcMar>
              <w:top w:w="85" w:type="dxa"/>
              <w:left w:w="85" w:type="dxa"/>
              <w:bottom w:w="85" w:type="dxa"/>
              <w:right w:w="85" w:type="dxa"/>
            </w:tcMar>
          </w:tcPr>
          <w:p w14:paraId="743C5E21" w14:textId="77777777" w:rsidR="00342C07" w:rsidRPr="00630129" w:rsidRDefault="00342C07" w:rsidP="00F60AD8">
            <w:pPr>
              <w:rPr>
                <w:sz w:val="22"/>
                <w:szCs w:val="22"/>
              </w:rPr>
            </w:pPr>
            <w:proofErr w:type="spellStart"/>
            <w:r w:rsidRPr="00630129">
              <w:rPr>
                <w:sz w:val="22"/>
                <w:szCs w:val="22"/>
              </w:rPr>
              <w:t>PXP</w:t>
            </w:r>
            <w:r w:rsidRPr="00630129">
              <w:rPr>
                <w:sz w:val="22"/>
                <w:szCs w:val="22"/>
                <w:vertAlign w:val="subscript"/>
              </w:rPr>
              <w:t>sj</w:t>
            </w:r>
            <w:proofErr w:type="spellEnd"/>
          </w:p>
        </w:tc>
        <w:tc>
          <w:tcPr>
            <w:tcW w:w="492" w:type="pct"/>
            <w:tcMar>
              <w:top w:w="85" w:type="dxa"/>
              <w:left w:w="85" w:type="dxa"/>
              <w:bottom w:w="85" w:type="dxa"/>
              <w:right w:w="85" w:type="dxa"/>
            </w:tcMar>
          </w:tcPr>
          <w:p w14:paraId="4AF403F6"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0E48C478" w14:textId="77777777" w:rsidR="00342C07" w:rsidRPr="00630129" w:rsidRDefault="00342C07" w:rsidP="00F60AD8">
            <w:pPr>
              <w:rPr>
                <w:sz w:val="22"/>
                <w:szCs w:val="22"/>
              </w:rPr>
            </w:pPr>
            <w:r w:rsidRPr="00630129">
              <w:rPr>
                <w:sz w:val="22"/>
                <w:szCs w:val="22"/>
              </w:rPr>
              <w:t>In relation to a Market Index Data Provider and a Settlement Period, the price data to be provided by that Market Index Data Provider in accordance with the Market Index Definition Statement or (where applicable) deemed in accordance with Section T4.3A.1.</w:t>
            </w:r>
          </w:p>
        </w:tc>
      </w:tr>
      <w:tr w:rsidR="00342C07" w:rsidRPr="00630129" w14:paraId="1579A758" w14:textId="77777777" w:rsidTr="00A63BA8">
        <w:trPr>
          <w:cantSplit/>
        </w:trPr>
        <w:tc>
          <w:tcPr>
            <w:tcW w:w="994" w:type="pct"/>
            <w:tcMar>
              <w:top w:w="85" w:type="dxa"/>
              <w:left w:w="85" w:type="dxa"/>
              <w:bottom w:w="85" w:type="dxa"/>
              <w:right w:w="85" w:type="dxa"/>
            </w:tcMar>
          </w:tcPr>
          <w:p w14:paraId="3004CFB4" w14:textId="77777777" w:rsidR="00342C07" w:rsidRPr="00630129" w:rsidRDefault="00342C07" w:rsidP="00F60AD8">
            <w:pPr>
              <w:rPr>
                <w:sz w:val="22"/>
                <w:szCs w:val="22"/>
              </w:rPr>
            </w:pPr>
            <w:r w:rsidRPr="00630129">
              <w:rPr>
                <w:sz w:val="22"/>
                <w:szCs w:val="22"/>
              </w:rPr>
              <w:t>Market Index Volume</w:t>
            </w:r>
          </w:p>
        </w:tc>
        <w:tc>
          <w:tcPr>
            <w:tcW w:w="974" w:type="pct"/>
            <w:tcMar>
              <w:top w:w="85" w:type="dxa"/>
              <w:left w:w="85" w:type="dxa"/>
              <w:bottom w:w="85" w:type="dxa"/>
              <w:right w:w="85" w:type="dxa"/>
            </w:tcMar>
          </w:tcPr>
          <w:p w14:paraId="43A0F047" w14:textId="77777777" w:rsidR="00342C07" w:rsidRPr="00630129" w:rsidRDefault="00342C07" w:rsidP="00F60AD8">
            <w:pPr>
              <w:rPr>
                <w:sz w:val="22"/>
                <w:szCs w:val="22"/>
              </w:rPr>
            </w:pPr>
            <w:proofErr w:type="spellStart"/>
            <w:r w:rsidRPr="00630129">
              <w:rPr>
                <w:sz w:val="22"/>
                <w:szCs w:val="22"/>
              </w:rPr>
              <w:t>QXP</w:t>
            </w:r>
            <w:r w:rsidRPr="00630129">
              <w:rPr>
                <w:sz w:val="22"/>
                <w:szCs w:val="22"/>
                <w:vertAlign w:val="subscript"/>
              </w:rPr>
              <w:t>sj</w:t>
            </w:r>
            <w:proofErr w:type="spellEnd"/>
          </w:p>
        </w:tc>
        <w:tc>
          <w:tcPr>
            <w:tcW w:w="492" w:type="pct"/>
            <w:tcMar>
              <w:top w:w="85" w:type="dxa"/>
              <w:left w:w="85" w:type="dxa"/>
              <w:bottom w:w="85" w:type="dxa"/>
              <w:right w:w="85" w:type="dxa"/>
            </w:tcMar>
          </w:tcPr>
          <w:p w14:paraId="102E9D00"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6749CE3B" w14:textId="77777777" w:rsidR="00342C07" w:rsidRPr="00630129" w:rsidRDefault="00342C07" w:rsidP="00F60AD8">
            <w:pPr>
              <w:rPr>
                <w:sz w:val="22"/>
                <w:szCs w:val="22"/>
              </w:rPr>
            </w:pPr>
            <w:r w:rsidRPr="00630129">
              <w:rPr>
                <w:sz w:val="22"/>
                <w:szCs w:val="22"/>
              </w:rPr>
              <w:t>In relation to a Market Index Data Provider and a Settlement Period, the volume data to be provided by that Market Index Data Provider in accordance with the Market Index Definition Statement or (where applicable) deemed in accordance with Section T4.3A.1.</w:t>
            </w:r>
          </w:p>
        </w:tc>
      </w:tr>
      <w:tr w:rsidR="00342C07" w:rsidRPr="00630129" w14:paraId="2F07DEA8" w14:textId="77777777" w:rsidTr="00A63BA8">
        <w:trPr>
          <w:cantSplit/>
        </w:trPr>
        <w:tc>
          <w:tcPr>
            <w:tcW w:w="994" w:type="pct"/>
            <w:tcMar>
              <w:top w:w="85" w:type="dxa"/>
              <w:left w:w="85" w:type="dxa"/>
              <w:bottom w:w="85" w:type="dxa"/>
              <w:right w:w="85" w:type="dxa"/>
            </w:tcMar>
          </w:tcPr>
          <w:p w14:paraId="7715A2BF" w14:textId="77777777" w:rsidR="00342C07" w:rsidRPr="00630129" w:rsidRDefault="00342C07" w:rsidP="00F60AD8">
            <w:pPr>
              <w:rPr>
                <w:sz w:val="22"/>
                <w:szCs w:val="22"/>
              </w:rPr>
            </w:pPr>
            <w:r w:rsidRPr="00630129">
              <w:rPr>
                <w:sz w:val="22"/>
                <w:szCs w:val="22"/>
              </w:rPr>
              <w:t>Market Price</w:t>
            </w:r>
          </w:p>
        </w:tc>
        <w:tc>
          <w:tcPr>
            <w:tcW w:w="974" w:type="pct"/>
            <w:tcMar>
              <w:top w:w="85" w:type="dxa"/>
              <w:left w:w="85" w:type="dxa"/>
              <w:bottom w:w="85" w:type="dxa"/>
              <w:right w:w="85" w:type="dxa"/>
            </w:tcMar>
          </w:tcPr>
          <w:p w14:paraId="14117A0B" w14:textId="77777777" w:rsidR="00342C07" w:rsidRPr="00630129" w:rsidRDefault="00342C07" w:rsidP="00F60AD8">
            <w:pPr>
              <w:rPr>
                <w:sz w:val="22"/>
                <w:szCs w:val="22"/>
              </w:rPr>
            </w:pPr>
            <w:proofErr w:type="spellStart"/>
            <w:r w:rsidRPr="00630129">
              <w:rPr>
                <w:sz w:val="22"/>
                <w:szCs w:val="22"/>
              </w:rPr>
              <w:t>MP</w:t>
            </w:r>
            <w:r w:rsidRPr="00630129">
              <w:rPr>
                <w:sz w:val="22"/>
                <w:szCs w:val="22"/>
                <w:vertAlign w:val="subscript"/>
              </w:rPr>
              <w:t>j</w:t>
            </w:r>
            <w:proofErr w:type="spellEnd"/>
          </w:p>
        </w:tc>
        <w:tc>
          <w:tcPr>
            <w:tcW w:w="492" w:type="pct"/>
            <w:tcMar>
              <w:top w:w="85" w:type="dxa"/>
              <w:left w:w="85" w:type="dxa"/>
              <w:bottom w:w="85" w:type="dxa"/>
              <w:right w:w="85" w:type="dxa"/>
            </w:tcMar>
          </w:tcPr>
          <w:p w14:paraId="7D83A6D3"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3EA3DAA6" w14:textId="77777777" w:rsidR="00342C07" w:rsidRPr="00630129" w:rsidRDefault="00342C07" w:rsidP="00F60AD8">
            <w:pPr>
              <w:rPr>
                <w:sz w:val="22"/>
                <w:szCs w:val="22"/>
              </w:rPr>
            </w:pPr>
            <w:r w:rsidRPr="00630129">
              <w:rPr>
                <w:sz w:val="22"/>
                <w:szCs w:val="22"/>
              </w:rPr>
              <w:t>Has the meaning given to that term in Section T4.3A.2.</w:t>
            </w:r>
          </w:p>
        </w:tc>
      </w:tr>
      <w:tr w:rsidR="00342C07" w:rsidRPr="00630129" w14:paraId="375BB42D" w14:textId="77777777" w:rsidTr="00A63BA8">
        <w:trPr>
          <w:cantSplit/>
        </w:trPr>
        <w:tc>
          <w:tcPr>
            <w:tcW w:w="994" w:type="pct"/>
            <w:tcMar>
              <w:top w:w="85" w:type="dxa"/>
              <w:left w:w="85" w:type="dxa"/>
              <w:bottom w:w="85" w:type="dxa"/>
              <w:right w:w="85" w:type="dxa"/>
            </w:tcMar>
          </w:tcPr>
          <w:p w14:paraId="5BF5B064" w14:textId="77777777" w:rsidR="00342C07" w:rsidRPr="00630129" w:rsidRDefault="00342C07" w:rsidP="00F60AD8">
            <w:pPr>
              <w:rPr>
                <w:sz w:val="22"/>
                <w:szCs w:val="22"/>
              </w:rPr>
            </w:pPr>
            <w:r w:rsidRPr="00630129">
              <w:rPr>
                <w:sz w:val="22"/>
                <w:szCs w:val="22"/>
              </w:rPr>
              <w:t>Maximum Delivery Period</w:t>
            </w:r>
          </w:p>
        </w:tc>
        <w:tc>
          <w:tcPr>
            <w:tcW w:w="974" w:type="pct"/>
            <w:tcMar>
              <w:top w:w="85" w:type="dxa"/>
              <w:left w:w="85" w:type="dxa"/>
              <w:bottom w:w="85" w:type="dxa"/>
              <w:right w:w="85" w:type="dxa"/>
            </w:tcMar>
          </w:tcPr>
          <w:p w14:paraId="7B7CD29A"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7EA85BD2"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1BD78D7D" w14:textId="77777777" w:rsidR="00342C07" w:rsidRPr="00630129" w:rsidRDefault="00342C07" w:rsidP="00F60AD8">
            <w:pPr>
              <w:rPr>
                <w:sz w:val="22"/>
                <w:szCs w:val="22"/>
              </w:rPr>
            </w:pPr>
            <w:r w:rsidRPr="00630129">
              <w:rPr>
                <w:sz w:val="22"/>
                <w:szCs w:val="22"/>
              </w:rPr>
              <w:t>Has the meaning given to that term in BC1 of the Grid Code.</w:t>
            </w:r>
          </w:p>
        </w:tc>
      </w:tr>
      <w:tr w:rsidR="00342C07" w:rsidRPr="00630129" w14:paraId="0D4DF2D1" w14:textId="77777777" w:rsidTr="00A63BA8">
        <w:trPr>
          <w:cantSplit/>
        </w:trPr>
        <w:tc>
          <w:tcPr>
            <w:tcW w:w="994" w:type="pct"/>
            <w:tcMar>
              <w:top w:w="85" w:type="dxa"/>
              <w:left w:w="85" w:type="dxa"/>
              <w:bottom w:w="85" w:type="dxa"/>
              <w:right w:w="85" w:type="dxa"/>
            </w:tcMar>
          </w:tcPr>
          <w:p w14:paraId="541BEBED" w14:textId="77777777" w:rsidR="00342C07" w:rsidRPr="00630129" w:rsidRDefault="00342C07" w:rsidP="00F60AD8">
            <w:pPr>
              <w:rPr>
                <w:sz w:val="22"/>
                <w:szCs w:val="22"/>
              </w:rPr>
            </w:pPr>
            <w:r w:rsidRPr="00630129">
              <w:rPr>
                <w:sz w:val="22"/>
                <w:szCs w:val="22"/>
              </w:rPr>
              <w:t>Maximum Delivery Volume</w:t>
            </w:r>
          </w:p>
        </w:tc>
        <w:tc>
          <w:tcPr>
            <w:tcW w:w="974" w:type="pct"/>
            <w:tcMar>
              <w:top w:w="85" w:type="dxa"/>
              <w:left w:w="85" w:type="dxa"/>
              <w:bottom w:w="85" w:type="dxa"/>
              <w:right w:w="85" w:type="dxa"/>
            </w:tcMar>
          </w:tcPr>
          <w:p w14:paraId="4E36CB2C"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271D3C4A"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279EAC8A" w14:textId="77777777" w:rsidR="00342C07" w:rsidRPr="00630129" w:rsidRDefault="00342C07" w:rsidP="00F60AD8">
            <w:pPr>
              <w:rPr>
                <w:sz w:val="22"/>
                <w:szCs w:val="22"/>
              </w:rPr>
            </w:pPr>
            <w:r w:rsidRPr="00630129">
              <w:rPr>
                <w:sz w:val="22"/>
                <w:szCs w:val="22"/>
              </w:rPr>
              <w:t>Has the meaning given to that term in BC1 of the Grid Code.</w:t>
            </w:r>
          </w:p>
        </w:tc>
      </w:tr>
      <w:tr w:rsidR="00342C07" w:rsidRPr="00630129" w14:paraId="25B71D40" w14:textId="77777777" w:rsidTr="00A63BA8">
        <w:trPr>
          <w:cantSplit/>
        </w:trPr>
        <w:tc>
          <w:tcPr>
            <w:tcW w:w="994" w:type="pct"/>
            <w:tcMar>
              <w:top w:w="85" w:type="dxa"/>
              <w:left w:w="85" w:type="dxa"/>
              <w:bottom w:w="85" w:type="dxa"/>
              <w:right w:w="85" w:type="dxa"/>
            </w:tcMar>
          </w:tcPr>
          <w:p w14:paraId="0268F6C0" w14:textId="77777777" w:rsidR="00342C07" w:rsidRPr="00630129" w:rsidRDefault="00342C07" w:rsidP="00F60AD8">
            <w:pPr>
              <w:rPr>
                <w:sz w:val="22"/>
                <w:szCs w:val="22"/>
              </w:rPr>
            </w:pPr>
            <w:r w:rsidRPr="00630129">
              <w:rPr>
                <w:sz w:val="22"/>
                <w:szCs w:val="22"/>
              </w:rPr>
              <w:t>Maximum Export Limit</w:t>
            </w:r>
          </w:p>
        </w:tc>
        <w:tc>
          <w:tcPr>
            <w:tcW w:w="974" w:type="pct"/>
            <w:tcMar>
              <w:top w:w="85" w:type="dxa"/>
              <w:left w:w="85" w:type="dxa"/>
              <w:bottom w:w="85" w:type="dxa"/>
              <w:right w:w="85" w:type="dxa"/>
            </w:tcMar>
          </w:tcPr>
          <w:p w14:paraId="0FCEC76B"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0AC51909"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465E2B7C" w14:textId="77777777" w:rsidR="00342C07" w:rsidRPr="00630129" w:rsidRDefault="00342C07" w:rsidP="00F60AD8">
            <w:pPr>
              <w:rPr>
                <w:sz w:val="22"/>
                <w:szCs w:val="22"/>
              </w:rPr>
            </w:pPr>
            <w:r w:rsidRPr="00630129">
              <w:rPr>
                <w:sz w:val="22"/>
                <w:szCs w:val="22"/>
              </w:rPr>
              <w:t>Has the meaning given to that term in BC1 of the Grid Code.</w:t>
            </w:r>
          </w:p>
        </w:tc>
      </w:tr>
      <w:tr w:rsidR="00342C07" w:rsidRPr="00630129" w14:paraId="1FC0EBC3" w14:textId="77777777" w:rsidTr="00A63BA8">
        <w:trPr>
          <w:cantSplit/>
        </w:trPr>
        <w:tc>
          <w:tcPr>
            <w:tcW w:w="994" w:type="pct"/>
            <w:tcMar>
              <w:top w:w="85" w:type="dxa"/>
              <w:left w:w="85" w:type="dxa"/>
              <w:bottom w:w="85" w:type="dxa"/>
              <w:right w:w="85" w:type="dxa"/>
            </w:tcMar>
          </w:tcPr>
          <w:p w14:paraId="7CE9D49F" w14:textId="77777777" w:rsidR="00342C07" w:rsidRPr="00630129" w:rsidRDefault="00342C07" w:rsidP="00F60AD8">
            <w:pPr>
              <w:rPr>
                <w:sz w:val="22"/>
                <w:szCs w:val="22"/>
              </w:rPr>
            </w:pPr>
            <w:r w:rsidRPr="00630129">
              <w:rPr>
                <w:sz w:val="22"/>
                <w:szCs w:val="22"/>
              </w:rPr>
              <w:t>Maximum Import Limit</w:t>
            </w:r>
          </w:p>
        </w:tc>
        <w:tc>
          <w:tcPr>
            <w:tcW w:w="974" w:type="pct"/>
            <w:tcMar>
              <w:top w:w="85" w:type="dxa"/>
              <w:left w:w="85" w:type="dxa"/>
              <w:bottom w:w="85" w:type="dxa"/>
              <w:right w:w="85" w:type="dxa"/>
            </w:tcMar>
          </w:tcPr>
          <w:p w14:paraId="318ED6B1"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4FCF12C0"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560F3068" w14:textId="77777777" w:rsidR="00342C07" w:rsidRPr="00630129" w:rsidRDefault="00342C07" w:rsidP="00F60AD8">
            <w:pPr>
              <w:rPr>
                <w:sz w:val="22"/>
                <w:szCs w:val="22"/>
              </w:rPr>
            </w:pPr>
            <w:r w:rsidRPr="00630129">
              <w:rPr>
                <w:sz w:val="22"/>
                <w:szCs w:val="22"/>
              </w:rPr>
              <w:t>Has the meaning given to that term in BC1 of the Grid Code.</w:t>
            </w:r>
          </w:p>
        </w:tc>
      </w:tr>
      <w:tr w:rsidR="00342C07" w:rsidRPr="00630129" w14:paraId="401987AA" w14:textId="77777777" w:rsidTr="00A63BA8">
        <w:trPr>
          <w:cantSplit/>
        </w:trPr>
        <w:tc>
          <w:tcPr>
            <w:tcW w:w="994" w:type="pct"/>
            <w:tcMar>
              <w:top w:w="85" w:type="dxa"/>
              <w:left w:w="85" w:type="dxa"/>
              <w:bottom w:w="85" w:type="dxa"/>
              <w:right w:w="85" w:type="dxa"/>
            </w:tcMar>
          </w:tcPr>
          <w:p w14:paraId="4721537C" w14:textId="77777777" w:rsidR="00342C07" w:rsidRPr="00630129" w:rsidRDefault="00342C07" w:rsidP="00F60AD8">
            <w:pPr>
              <w:rPr>
                <w:sz w:val="22"/>
                <w:szCs w:val="22"/>
              </w:rPr>
            </w:pPr>
            <w:r w:rsidRPr="00630129">
              <w:rPr>
                <w:sz w:val="22"/>
                <w:szCs w:val="22"/>
              </w:rPr>
              <w:t>Metered Credit Assessment Credited Energy Volume</w:t>
            </w:r>
          </w:p>
        </w:tc>
        <w:tc>
          <w:tcPr>
            <w:tcW w:w="974" w:type="pct"/>
            <w:tcMar>
              <w:top w:w="85" w:type="dxa"/>
              <w:left w:w="85" w:type="dxa"/>
              <w:bottom w:w="85" w:type="dxa"/>
              <w:right w:w="85" w:type="dxa"/>
            </w:tcMar>
          </w:tcPr>
          <w:p w14:paraId="648C8600" w14:textId="77777777" w:rsidR="00342C07" w:rsidRPr="00630129" w:rsidRDefault="00342C07" w:rsidP="00F60AD8">
            <w:pPr>
              <w:rPr>
                <w:sz w:val="22"/>
                <w:szCs w:val="22"/>
              </w:rPr>
            </w:pPr>
            <w:proofErr w:type="spellStart"/>
            <w:r w:rsidRPr="00630129">
              <w:rPr>
                <w:sz w:val="22"/>
                <w:szCs w:val="22"/>
              </w:rPr>
              <w:t>MAQCE</w:t>
            </w:r>
            <w:r w:rsidRPr="00630129">
              <w:rPr>
                <w:sz w:val="22"/>
                <w:szCs w:val="22"/>
                <w:vertAlign w:val="subscript"/>
              </w:rPr>
              <w:t>iaj</w:t>
            </w:r>
            <w:proofErr w:type="spellEnd"/>
          </w:p>
        </w:tc>
        <w:tc>
          <w:tcPr>
            <w:tcW w:w="492" w:type="pct"/>
            <w:tcMar>
              <w:top w:w="85" w:type="dxa"/>
              <w:left w:w="85" w:type="dxa"/>
              <w:bottom w:w="85" w:type="dxa"/>
              <w:right w:w="85" w:type="dxa"/>
            </w:tcMar>
          </w:tcPr>
          <w:p w14:paraId="7DFD928D"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03EC224A" w14:textId="77777777" w:rsidR="00342C07" w:rsidRPr="00630129" w:rsidRDefault="00342C07" w:rsidP="00F60AD8">
            <w:pPr>
              <w:spacing w:after="120"/>
              <w:rPr>
                <w:sz w:val="22"/>
                <w:szCs w:val="22"/>
              </w:rPr>
            </w:pPr>
            <w:r w:rsidRPr="00630129">
              <w:rPr>
                <w:sz w:val="22"/>
                <w:szCs w:val="22"/>
              </w:rPr>
              <w:t>is defined in Section M1.2.4A.</w:t>
            </w:r>
          </w:p>
          <w:p w14:paraId="14EC1620" w14:textId="77777777" w:rsidR="00342C07" w:rsidRPr="00630129" w:rsidRDefault="00342C07" w:rsidP="00F60AD8">
            <w:pPr>
              <w:rPr>
                <w:sz w:val="22"/>
                <w:szCs w:val="22"/>
              </w:rPr>
            </w:pPr>
            <w:r w:rsidRPr="00630129">
              <w:rPr>
                <w:i/>
                <w:sz w:val="22"/>
                <w:szCs w:val="22"/>
              </w:rPr>
              <w:t xml:space="preserve">The Metered Credit Assessment Credited Energy Volume is the contribution to a Trading Party’s Metered Energy Indebtedness from BM Unit </w:t>
            </w:r>
            <w:proofErr w:type="spellStart"/>
            <w:r w:rsidRPr="00630129">
              <w:rPr>
                <w:i/>
                <w:sz w:val="22"/>
                <w:szCs w:val="22"/>
              </w:rPr>
              <w:t>i</w:t>
            </w:r>
            <w:proofErr w:type="spellEnd"/>
            <w:r w:rsidRPr="00630129">
              <w:rPr>
                <w:i/>
                <w:sz w:val="22"/>
                <w:szCs w:val="22"/>
              </w:rPr>
              <w:t xml:space="preserve"> and Energy Account a in Settlement Period j.</w:t>
            </w:r>
          </w:p>
        </w:tc>
      </w:tr>
      <w:tr w:rsidR="00342C07" w:rsidRPr="00630129" w14:paraId="24E535A4" w14:textId="77777777" w:rsidTr="00A63BA8">
        <w:trPr>
          <w:cantSplit/>
        </w:trPr>
        <w:tc>
          <w:tcPr>
            <w:tcW w:w="994" w:type="pct"/>
            <w:tcMar>
              <w:top w:w="85" w:type="dxa"/>
              <w:left w:w="85" w:type="dxa"/>
              <w:bottom w:w="85" w:type="dxa"/>
              <w:right w:w="85" w:type="dxa"/>
            </w:tcMar>
          </w:tcPr>
          <w:p w14:paraId="2E766DE2" w14:textId="77777777" w:rsidR="00342C07" w:rsidRPr="00630129" w:rsidRDefault="00342C07" w:rsidP="00F60AD8">
            <w:pPr>
              <w:rPr>
                <w:sz w:val="22"/>
                <w:szCs w:val="22"/>
              </w:rPr>
            </w:pPr>
            <w:r w:rsidRPr="00630129">
              <w:rPr>
                <w:sz w:val="22"/>
                <w:szCs w:val="22"/>
              </w:rPr>
              <w:t>Metered Energy Indebtedness</w:t>
            </w:r>
          </w:p>
        </w:tc>
        <w:tc>
          <w:tcPr>
            <w:tcW w:w="974" w:type="pct"/>
            <w:tcMar>
              <w:top w:w="85" w:type="dxa"/>
              <w:left w:w="85" w:type="dxa"/>
              <w:bottom w:w="85" w:type="dxa"/>
              <w:right w:w="85" w:type="dxa"/>
            </w:tcMar>
          </w:tcPr>
          <w:p w14:paraId="10624AE0" w14:textId="77777777" w:rsidR="00342C07" w:rsidRPr="00630129" w:rsidRDefault="00342C07" w:rsidP="00F60AD8">
            <w:pPr>
              <w:rPr>
                <w:sz w:val="22"/>
                <w:szCs w:val="22"/>
              </w:rPr>
            </w:pPr>
            <w:proofErr w:type="spellStart"/>
            <w:r w:rsidRPr="00630129">
              <w:rPr>
                <w:sz w:val="22"/>
                <w:szCs w:val="22"/>
              </w:rPr>
              <w:t>MEI</w:t>
            </w:r>
            <w:r w:rsidRPr="00630129">
              <w:rPr>
                <w:sz w:val="22"/>
                <w:szCs w:val="22"/>
                <w:vertAlign w:val="subscript"/>
              </w:rPr>
              <w:t>pj</w:t>
            </w:r>
            <w:proofErr w:type="spellEnd"/>
          </w:p>
        </w:tc>
        <w:tc>
          <w:tcPr>
            <w:tcW w:w="492" w:type="pct"/>
            <w:tcMar>
              <w:top w:w="85" w:type="dxa"/>
              <w:left w:w="85" w:type="dxa"/>
              <w:bottom w:w="85" w:type="dxa"/>
              <w:right w:w="85" w:type="dxa"/>
            </w:tcMar>
          </w:tcPr>
          <w:p w14:paraId="25DF29B3"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7D4F85F3" w14:textId="77777777" w:rsidR="00342C07" w:rsidRPr="00630129" w:rsidRDefault="00342C07" w:rsidP="00F60AD8">
            <w:pPr>
              <w:spacing w:after="120"/>
              <w:rPr>
                <w:sz w:val="22"/>
                <w:szCs w:val="22"/>
              </w:rPr>
            </w:pPr>
            <w:r w:rsidRPr="00630129">
              <w:rPr>
                <w:sz w:val="22"/>
                <w:szCs w:val="22"/>
              </w:rPr>
              <w:t>is defined in Section M1.2.4A.</w:t>
            </w:r>
          </w:p>
          <w:p w14:paraId="6ED2B7E1" w14:textId="77777777" w:rsidR="00342C07" w:rsidRPr="00630129" w:rsidRDefault="00342C07" w:rsidP="00F60AD8">
            <w:pPr>
              <w:rPr>
                <w:sz w:val="22"/>
                <w:szCs w:val="22"/>
              </w:rPr>
            </w:pPr>
            <w:r w:rsidRPr="00630129">
              <w:rPr>
                <w:i/>
                <w:sz w:val="22"/>
                <w:szCs w:val="22"/>
              </w:rPr>
              <w:t>The Metered Energy Indebtedness is the net energy contribution determined to be allocated to a Trading Party for Settlement Periods as defined in Section M1.2.4A.</w:t>
            </w:r>
          </w:p>
        </w:tc>
      </w:tr>
      <w:tr w:rsidR="00342C07" w:rsidRPr="00630129" w14:paraId="1A1F1A40" w14:textId="77777777" w:rsidTr="00A63BA8">
        <w:trPr>
          <w:cantSplit/>
        </w:trPr>
        <w:tc>
          <w:tcPr>
            <w:tcW w:w="994" w:type="pct"/>
            <w:tcMar>
              <w:top w:w="85" w:type="dxa"/>
              <w:left w:w="85" w:type="dxa"/>
              <w:bottom w:w="85" w:type="dxa"/>
              <w:right w:w="85" w:type="dxa"/>
            </w:tcMar>
          </w:tcPr>
          <w:p w14:paraId="084794A5" w14:textId="77777777" w:rsidR="00342C07" w:rsidRPr="00630129" w:rsidRDefault="00342C07" w:rsidP="00F60AD8">
            <w:pPr>
              <w:rPr>
                <w:sz w:val="22"/>
                <w:szCs w:val="22"/>
              </w:rPr>
            </w:pPr>
            <w:r w:rsidRPr="00630129">
              <w:rPr>
                <w:sz w:val="22"/>
                <w:szCs w:val="22"/>
              </w:rPr>
              <w:t>Metered Volume Fixed Reallocation</w:t>
            </w:r>
          </w:p>
        </w:tc>
        <w:tc>
          <w:tcPr>
            <w:tcW w:w="974" w:type="pct"/>
            <w:tcMar>
              <w:top w:w="85" w:type="dxa"/>
              <w:left w:w="85" w:type="dxa"/>
              <w:bottom w:w="85" w:type="dxa"/>
              <w:right w:w="85" w:type="dxa"/>
            </w:tcMar>
          </w:tcPr>
          <w:p w14:paraId="3D1E3D08" w14:textId="77777777" w:rsidR="00342C07" w:rsidRPr="00630129" w:rsidRDefault="00342C07" w:rsidP="00F60AD8">
            <w:pPr>
              <w:rPr>
                <w:sz w:val="22"/>
                <w:szCs w:val="22"/>
              </w:rPr>
            </w:pPr>
            <w:proofErr w:type="spellStart"/>
            <w:r w:rsidRPr="00630129">
              <w:rPr>
                <w:sz w:val="22"/>
                <w:szCs w:val="22"/>
              </w:rPr>
              <w:t>QMFR</w:t>
            </w:r>
            <w:r w:rsidRPr="00630129">
              <w:rPr>
                <w:sz w:val="22"/>
                <w:szCs w:val="22"/>
                <w:vertAlign w:val="subscript"/>
              </w:rPr>
              <w:t>iaj</w:t>
            </w:r>
            <w:proofErr w:type="spellEnd"/>
          </w:p>
        </w:tc>
        <w:tc>
          <w:tcPr>
            <w:tcW w:w="492" w:type="pct"/>
            <w:tcMar>
              <w:top w:w="85" w:type="dxa"/>
              <w:left w:w="85" w:type="dxa"/>
              <w:bottom w:w="85" w:type="dxa"/>
              <w:right w:w="85" w:type="dxa"/>
            </w:tcMar>
          </w:tcPr>
          <w:p w14:paraId="4C18337F"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577C75F0" w14:textId="77777777" w:rsidR="00342C07" w:rsidRPr="00630129" w:rsidRDefault="00342C07" w:rsidP="00F60AD8">
            <w:pPr>
              <w:spacing w:after="120"/>
              <w:rPr>
                <w:sz w:val="22"/>
                <w:szCs w:val="22"/>
              </w:rPr>
            </w:pPr>
            <w:r w:rsidRPr="00630129">
              <w:rPr>
                <w:sz w:val="22"/>
                <w:szCs w:val="22"/>
              </w:rPr>
              <w:t>A MWh value determined in accordance with Section P4.3.1.</w:t>
            </w:r>
          </w:p>
          <w:p w14:paraId="5CC55A1E" w14:textId="77777777" w:rsidR="00342C07" w:rsidRPr="00630129" w:rsidRDefault="00342C07" w:rsidP="00F60AD8">
            <w:pPr>
              <w:rPr>
                <w:i/>
                <w:sz w:val="22"/>
                <w:szCs w:val="22"/>
              </w:rPr>
            </w:pPr>
            <w:r w:rsidRPr="00630129">
              <w:rPr>
                <w:i/>
                <w:sz w:val="22"/>
                <w:szCs w:val="22"/>
              </w:rPr>
              <w:t xml:space="preserve">In relation to any BM Unit </w:t>
            </w:r>
            <w:proofErr w:type="spellStart"/>
            <w:r w:rsidRPr="00630129">
              <w:rPr>
                <w:i/>
                <w:sz w:val="22"/>
                <w:szCs w:val="22"/>
              </w:rPr>
              <w:t>i</w:t>
            </w:r>
            <w:proofErr w:type="spellEnd"/>
            <w:r w:rsidRPr="00630129">
              <w:rPr>
                <w:i/>
                <w:sz w:val="22"/>
                <w:szCs w:val="22"/>
              </w:rPr>
              <w:t xml:space="preserve">, for any Settlement Period j, </w:t>
            </w:r>
            <w:r w:rsidRPr="00630129">
              <w:rPr>
                <w:rStyle w:val="Emphasis"/>
                <w:sz w:val="22"/>
                <w:szCs w:val="22"/>
              </w:rPr>
              <w:t>Metered Volume Fixed Reallocation</w:t>
            </w:r>
            <w:r w:rsidRPr="00630129">
              <w:rPr>
                <w:sz w:val="22"/>
                <w:szCs w:val="22"/>
              </w:rPr>
              <w:t xml:space="preserve"> </w:t>
            </w:r>
            <w:r w:rsidRPr="00630129">
              <w:rPr>
                <w:i/>
                <w:sz w:val="22"/>
                <w:szCs w:val="22"/>
              </w:rPr>
              <w:t xml:space="preserve">means, for Energy Account a of a Contract trading Party, the aggregate of all </w:t>
            </w:r>
            <w:r w:rsidRPr="00630129">
              <w:rPr>
                <w:rStyle w:val="Emphasis"/>
                <w:sz w:val="22"/>
                <w:szCs w:val="22"/>
              </w:rPr>
              <w:t>Metered Volume Reallocation Notification Fixed Data</w:t>
            </w:r>
            <w:r w:rsidRPr="00630129">
              <w:rPr>
                <w:sz w:val="22"/>
                <w:szCs w:val="22"/>
              </w:rPr>
              <w:t xml:space="preserve"> </w:t>
            </w:r>
            <w:r w:rsidRPr="00630129">
              <w:rPr>
                <w:i/>
                <w:sz w:val="22"/>
                <w:szCs w:val="22"/>
              </w:rPr>
              <w:t xml:space="preserve">for </w:t>
            </w:r>
            <w:r w:rsidRPr="00630129">
              <w:rPr>
                <w:rStyle w:val="Emphasis"/>
                <w:sz w:val="22"/>
                <w:szCs w:val="22"/>
              </w:rPr>
              <w:t xml:space="preserve">Metered Volume Reallocation Notifications </w:t>
            </w:r>
            <w:r w:rsidRPr="00630129">
              <w:rPr>
                <w:i/>
                <w:sz w:val="22"/>
                <w:szCs w:val="22"/>
              </w:rPr>
              <w:t>relating to such Energy Account.</w:t>
            </w:r>
          </w:p>
        </w:tc>
      </w:tr>
      <w:tr w:rsidR="00342C07" w:rsidRPr="00630129" w14:paraId="2792C46B" w14:textId="77777777" w:rsidTr="00A63BA8">
        <w:trPr>
          <w:cantSplit/>
        </w:trPr>
        <w:tc>
          <w:tcPr>
            <w:tcW w:w="994" w:type="pct"/>
            <w:tcMar>
              <w:top w:w="85" w:type="dxa"/>
              <w:left w:w="85" w:type="dxa"/>
              <w:bottom w:w="85" w:type="dxa"/>
              <w:right w:w="85" w:type="dxa"/>
            </w:tcMar>
          </w:tcPr>
          <w:p w14:paraId="363ECB90" w14:textId="77777777" w:rsidR="00342C07" w:rsidRPr="00630129" w:rsidRDefault="00342C07" w:rsidP="00F60AD8">
            <w:pPr>
              <w:rPr>
                <w:sz w:val="22"/>
                <w:szCs w:val="22"/>
              </w:rPr>
            </w:pPr>
            <w:r w:rsidRPr="00630129">
              <w:rPr>
                <w:sz w:val="22"/>
                <w:szCs w:val="22"/>
              </w:rPr>
              <w:lastRenderedPageBreak/>
              <w:t>Metered Volume Percentage Reallocation</w:t>
            </w:r>
          </w:p>
        </w:tc>
        <w:tc>
          <w:tcPr>
            <w:tcW w:w="974" w:type="pct"/>
            <w:tcMar>
              <w:top w:w="85" w:type="dxa"/>
              <w:left w:w="85" w:type="dxa"/>
              <w:bottom w:w="85" w:type="dxa"/>
              <w:right w:w="85" w:type="dxa"/>
            </w:tcMar>
          </w:tcPr>
          <w:p w14:paraId="221423A3" w14:textId="77777777" w:rsidR="00342C07" w:rsidRPr="00630129" w:rsidRDefault="00342C07" w:rsidP="00F60AD8">
            <w:pPr>
              <w:rPr>
                <w:sz w:val="22"/>
                <w:szCs w:val="22"/>
                <w:vertAlign w:val="subscript"/>
              </w:rPr>
            </w:pPr>
            <w:proofErr w:type="spellStart"/>
            <w:r w:rsidRPr="00630129">
              <w:rPr>
                <w:sz w:val="22"/>
                <w:szCs w:val="22"/>
              </w:rPr>
              <w:t>QMPR</w:t>
            </w:r>
            <w:r w:rsidRPr="00630129">
              <w:rPr>
                <w:sz w:val="22"/>
                <w:szCs w:val="22"/>
                <w:vertAlign w:val="subscript"/>
              </w:rPr>
              <w:t>iaj</w:t>
            </w:r>
            <w:proofErr w:type="spellEnd"/>
          </w:p>
        </w:tc>
        <w:tc>
          <w:tcPr>
            <w:tcW w:w="492" w:type="pct"/>
            <w:tcMar>
              <w:top w:w="85" w:type="dxa"/>
              <w:left w:w="85" w:type="dxa"/>
              <w:bottom w:w="85" w:type="dxa"/>
              <w:right w:w="85" w:type="dxa"/>
            </w:tcMar>
          </w:tcPr>
          <w:p w14:paraId="79A7F343"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3B2C4362" w14:textId="77777777" w:rsidR="00342C07" w:rsidRPr="00630129" w:rsidRDefault="00342C07" w:rsidP="00F60AD8">
            <w:pPr>
              <w:spacing w:after="120"/>
              <w:rPr>
                <w:sz w:val="22"/>
                <w:szCs w:val="22"/>
              </w:rPr>
            </w:pPr>
            <w:r w:rsidRPr="00630129">
              <w:rPr>
                <w:sz w:val="22"/>
                <w:szCs w:val="22"/>
              </w:rPr>
              <w:t>A percentage value determined in accordance with Section P4.3.1.</w:t>
            </w:r>
          </w:p>
          <w:p w14:paraId="2C21CBC3" w14:textId="77777777" w:rsidR="00342C07" w:rsidRPr="00630129" w:rsidRDefault="00342C07" w:rsidP="00F60AD8">
            <w:pPr>
              <w:rPr>
                <w:sz w:val="22"/>
                <w:szCs w:val="22"/>
              </w:rPr>
            </w:pPr>
            <w:r w:rsidRPr="00630129">
              <w:rPr>
                <w:i/>
                <w:sz w:val="22"/>
                <w:szCs w:val="22"/>
              </w:rPr>
              <w:t xml:space="preserve">In relation to any BM Unit </w:t>
            </w:r>
            <w:proofErr w:type="spellStart"/>
            <w:r w:rsidRPr="00630129">
              <w:rPr>
                <w:i/>
                <w:sz w:val="22"/>
                <w:szCs w:val="22"/>
              </w:rPr>
              <w:t>i</w:t>
            </w:r>
            <w:proofErr w:type="spellEnd"/>
            <w:r w:rsidRPr="00630129">
              <w:rPr>
                <w:i/>
                <w:sz w:val="22"/>
                <w:szCs w:val="22"/>
              </w:rPr>
              <w:t xml:space="preserve">, for any Settlement Period j, </w:t>
            </w:r>
            <w:r w:rsidRPr="00630129">
              <w:rPr>
                <w:rStyle w:val="Emphasis"/>
                <w:sz w:val="22"/>
                <w:szCs w:val="22"/>
              </w:rPr>
              <w:t>Metered Volume Percentage Reallocation</w:t>
            </w:r>
            <w:r w:rsidRPr="00630129">
              <w:rPr>
                <w:sz w:val="22"/>
                <w:szCs w:val="22"/>
              </w:rPr>
              <w:t xml:space="preserve"> </w:t>
            </w:r>
            <w:r w:rsidRPr="00630129">
              <w:rPr>
                <w:i/>
                <w:sz w:val="22"/>
                <w:szCs w:val="22"/>
              </w:rPr>
              <w:t xml:space="preserve">means, for Energy Account a of Contract Trading Party, the aggregate of all </w:t>
            </w:r>
            <w:r w:rsidRPr="00630129">
              <w:rPr>
                <w:rStyle w:val="Emphasis"/>
                <w:sz w:val="22"/>
                <w:szCs w:val="22"/>
              </w:rPr>
              <w:t>Metered Volume Reallocation Notification Percentage Data</w:t>
            </w:r>
            <w:r w:rsidRPr="00630129">
              <w:rPr>
                <w:sz w:val="22"/>
                <w:szCs w:val="22"/>
              </w:rPr>
              <w:t xml:space="preserve"> </w:t>
            </w:r>
            <w:r w:rsidRPr="00630129">
              <w:rPr>
                <w:i/>
                <w:sz w:val="22"/>
                <w:szCs w:val="22"/>
              </w:rPr>
              <w:t xml:space="preserve">for </w:t>
            </w:r>
            <w:r w:rsidRPr="00630129">
              <w:rPr>
                <w:rStyle w:val="Emphasis"/>
                <w:sz w:val="22"/>
                <w:szCs w:val="22"/>
              </w:rPr>
              <w:t xml:space="preserve">Metered Volume Reallocation Notifications </w:t>
            </w:r>
            <w:r w:rsidRPr="00630129">
              <w:rPr>
                <w:i/>
                <w:sz w:val="22"/>
                <w:szCs w:val="22"/>
              </w:rPr>
              <w:t xml:space="preserve">relating to such Party. </w:t>
            </w:r>
          </w:p>
        </w:tc>
      </w:tr>
      <w:tr w:rsidR="00342C07" w:rsidRPr="00630129" w14:paraId="75D398A6" w14:textId="77777777" w:rsidTr="00A63BA8">
        <w:trPr>
          <w:cantSplit/>
        </w:trPr>
        <w:tc>
          <w:tcPr>
            <w:tcW w:w="994" w:type="pct"/>
            <w:tcMar>
              <w:top w:w="85" w:type="dxa"/>
              <w:left w:w="85" w:type="dxa"/>
              <w:bottom w:w="85" w:type="dxa"/>
              <w:right w:w="85" w:type="dxa"/>
            </w:tcMar>
          </w:tcPr>
          <w:p w14:paraId="448608C6" w14:textId="77777777" w:rsidR="00342C07" w:rsidRPr="00630129" w:rsidRDefault="00342C07" w:rsidP="00F60AD8">
            <w:pPr>
              <w:rPr>
                <w:sz w:val="22"/>
                <w:szCs w:val="22"/>
              </w:rPr>
            </w:pPr>
            <w:r w:rsidRPr="00630129">
              <w:rPr>
                <w:sz w:val="22"/>
                <w:szCs w:val="22"/>
              </w:rPr>
              <w:t>Minimum Non-Zero Time</w:t>
            </w:r>
          </w:p>
        </w:tc>
        <w:tc>
          <w:tcPr>
            <w:tcW w:w="974" w:type="pct"/>
            <w:tcMar>
              <w:top w:w="85" w:type="dxa"/>
              <w:left w:w="85" w:type="dxa"/>
              <w:bottom w:w="85" w:type="dxa"/>
              <w:right w:w="85" w:type="dxa"/>
            </w:tcMar>
          </w:tcPr>
          <w:p w14:paraId="650B6DD7"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0281D01D"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49199771" w14:textId="77777777" w:rsidR="00342C07" w:rsidRPr="00630129" w:rsidRDefault="00342C07" w:rsidP="00F60AD8">
            <w:pPr>
              <w:rPr>
                <w:sz w:val="22"/>
                <w:szCs w:val="22"/>
              </w:rPr>
            </w:pPr>
            <w:r w:rsidRPr="00630129">
              <w:rPr>
                <w:sz w:val="22"/>
                <w:szCs w:val="22"/>
              </w:rPr>
              <w:t>Has the meaning given to that term in BC1 of the Grid Code.</w:t>
            </w:r>
          </w:p>
        </w:tc>
      </w:tr>
      <w:tr w:rsidR="00342C07" w:rsidRPr="00630129" w14:paraId="31E1819A" w14:textId="77777777" w:rsidTr="00A63BA8">
        <w:trPr>
          <w:cantSplit/>
        </w:trPr>
        <w:tc>
          <w:tcPr>
            <w:tcW w:w="994" w:type="pct"/>
            <w:tcMar>
              <w:top w:w="85" w:type="dxa"/>
              <w:left w:w="85" w:type="dxa"/>
              <w:bottom w:w="85" w:type="dxa"/>
              <w:right w:w="85" w:type="dxa"/>
            </w:tcMar>
          </w:tcPr>
          <w:p w14:paraId="51941DE7" w14:textId="77777777" w:rsidR="00342C07" w:rsidRPr="00630129" w:rsidRDefault="00342C07" w:rsidP="00F60AD8">
            <w:pPr>
              <w:rPr>
                <w:sz w:val="22"/>
                <w:szCs w:val="22"/>
              </w:rPr>
            </w:pPr>
            <w:r w:rsidRPr="00630129">
              <w:rPr>
                <w:sz w:val="22"/>
                <w:szCs w:val="22"/>
              </w:rPr>
              <w:t>Minimum Zero Time</w:t>
            </w:r>
          </w:p>
        </w:tc>
        <w:tc>
          <w:tcPr>
            <w:tcW w:w="974" w:type="pct"/>
            <w:tcMar>
              <w:top w:w="85" w:type="dxa"/>
              <w:left w:w="85" w:type="dxa"/>
              <w:bottom w:w="85" w:type="dxa"/>
              <w:right w:w="85" w:type="dxa"/>
            </w:tcMar>
          </w:tcPr>
          <w:p w14:paraId="3A4BFBAA"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10026CF2"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481A3EA1" w14:textId="77777777" w:rsidR="00342C07" w:rsidRPr="00630129" w:rsidRDefault="00342C07" w:rsidP="00F60AD8">
            <w:pPr>
              <w:rPr>
                <w:sz w:val="22"/>
                <w:szCs w:val="22"/>
              </w:rPr>
            </w:pPr>
            <w:r w:rsidRPr="00630129">
              <w:rPr>
                <w:sz w:val="22"/>
                <w:szCs w:val="22"/>
              </w:rPr>
              <w:t>Has the meaning given to that term in BC1 of the Grid Code.</w:t>
            </w:r>
          </w:p>
        </w:tc>
      </w:tr>
      <w:tr w:rsidR="00342C07" w:rsidRPr="00630129" w14:paraId="013FE42F" w14:textId="77777777" w:rsidTr="00A63BA8">
        <w:trPr>
          <w:cantSplit/>
        </w:trPr>
        <w:tc>
          <w:tcPr>
            <w:tcW w:w="994" w:type="pct"/>
            <w:tcMar>
              <w:top w:w="85" w:type="dxa"/>
              <w:left w:w="85" w:type="dxa"/>
              <w:bottom w:w="85" w:type="dxa"/>
              <w:right w:w="85" w:type="dxa"/>
            </w:tcMar>
          </w:tcPr>
          <w:p w14:paraId="3335C5FD" w14:textId="77777777" w:rsidR="00342C07" w:rsidRPr="00630129" w:rsidRDefault="00342C07" w:rsidP="00F60AD8">
            <w:pPr>
              <w:rPr>
                <w:sz w:val="22"/>
                <w:szCs w:val="22"/>
              </w:rPr>
            </w:pPr>
            <w:r w:rsidRPr="00630129">
              <w:rPr>
                <w:sz w:val="22"/>
                <w:szCs w:val="22"/>
              </w:rPr>
              <w:t>Monthly Consumption-Charging Net SVA Costs</w:t>
            </w:r>
          </w:p>
        </w:tc>
        <w:tc>
          <w:tcPr>
            <w:tcW w:w="974" w:type="pct"/>
            <w:tcMar>
              <w:top w:w="85" w:type="dxa"/>
              <w:left w:w="85" w:type="dxa"/>
              <w:bottom w:w="85" w:type="dxa"/>
              <w:right w:w="85" w:type="dxa"/>
            </w:tcMar>
          </w:tcPr>
          <w:p w14:paraId="30F95AF8" w14:textId="77777777" w:rsidR="00342C07" w:rsidRPr="00630129" w:rsidRDefault="00342C07" w:rsidP="00F60AD8">
            <w:pPr>
              <w:rPr>
                <w:sz w:val="22"/>
                <w:szCs w:val="22"/>
                <w:vertAlign w:val="subscript"/>
              </w:rPr>
            </w:pPr>
            <w:proofErr w:type="spellStart"/>
            <w:r w:rsidRPr="00630129">
              <w:rPr>
                <w:sz w:val="22"/>
                <w:szCs w:val="22"/>
              </w:rPr>
              <w:t>MCNSC</w:t>
            </w:r>
            <w:r w:rsidRPr="00630129">
              <w:rPr>
                <w:sz w:val="22"/>
                <w:szCs w:val="22"/>
                <w:vertAlign w:val="subscript"/>
              </w:rPr>
              <w:t>m</w:t>
            </w:r>
            <w:proofErr w:type="spellEnd"/>
          </w:p>
        </w:tc>
        <w:tc>
          <w:tcPr>
            <w:tcW w:w="492" w:type="pct"/>
            <w:tcMar>
              <w:top w:w="85" w:type="dxa"/>
              <w:left w:w="85" w:type="dxa"/>
              <w:bottom w:w="85" w:type="dxa"/>
              <w:right w:w="85" w:type="dxa"/>
            </w:tcMar>
          </w:tcPr>
          <w:p w14:paraId="6923B0B0"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193E2C8D" w14:textId="77777777" w:rsidR="00342C07" w:rsidRPr="00630129" w:rsidRDefault="00342C07" w:rsidP="00F60AD8">
            <w:pPr>
              <w:rPr>
                <w:sz w:val="22"/>
                <w:szCs w:val="22"/>
              </w:rPr>
            </w:pPr>
            <w:r w:rsidRPr="00630129">
              <w:rPr>
                <w:sz w:val="22"/>
                <w:szCs w:val="22"/>
              </w:rPr>
              <w:t>Has the meaning given to that term in Section D4.1(d).</w:t>
            </w:r>
          </w:p>
        </w:tc>
      </w:tr>
      <w:tr w:rsidR="00342C07" w:rsidRPr="00630129" w14:paraId="567210B9" w14:textId="77777777" w:rsidTr="00A63BA8">
        <w:trPr>
          <w:cantSplit/>
        </w:trPr>
        <w:tc>
          <w:tcPr>
            <w:tcW w:w="994" w:type="pct"/>
            <w:tcMar>
              <w:top w:w="85" w:type="dxa"/>
              <w:left w:w="85" w:type="dxa"/>
              <w:bottom w:w="85" w:type="dxa"/>
              <w:right w:w="85" w:type="dxa"/>
            </w:tcMar>
          </w:tcPr>
          <w:p w14:paraId="0B219314" w14:textId="77777777" w:rsidR="00342C07" w:rsidRPr="00630129" w:rsidRDefault="00342C07" w:rsidP="00F60AD8">
            <w:pPr>
              <w:rPr>
                <w:sz w:val="22"/>
                <w:szCs w:val="22"/>
              </w:rPr>
            </w:pPr>
            <w:r w:rsidRPr="00630129">
              <w:rPr>
                <w:sz w:val="22"/>
                <w:szCs w:val="22"/>
              </w:rPr>
              <w:t>Monthly Default Costs</w:t>
            </w:r>
          </w:p>
        </w:tc>
        <w:tc>
          <w:tcPr>
            <w:tcW w:w="974" w:type="pct"/>
            <w:tcMar>
              <w:top w:w="85" w:type="dxa"/>
              <w:left w:w="85" w:type="dxa"/>
              <w:bottom w:w="85" w:type="dxa"/>
              <w:right w:w="85" w:type="dxa"/>
            </w:tcMar>
          </w:tcPr>
          <w:p w14:paraId="22141BFE" w14:textId="77777777" w:rsidR="00342C07" w:rsidRPr="00630129" w:rsidRDefault="00342C07" w:rsidP="00F60AD8">
            <w:pPr>
              <w:rPr>
                <w:sz w:val="22"/>
                <w:szCs w:val="22"/>
                <w:vertAlign w:val="subscript"/>
              </w:rPr>
            </w:pPr>
            <w:proofErr w:type="spellStart"/>
            <w:r w:rsidRPr="00630129">
              <w:rPr>
                <w:sz w:val="22"/>
                <w:szCs w:val="22"/>
              </w:rPr>
              <w:t>MDC</w:t>
            </w:r>
            <w:r w:rsidRPr="00630129">
              <w:rPr>
                <w:sz w:val="22"/>
                <w:szCs w:val="22"/>
                <w:vertAlign w:val="subscript"/>
              </w:rPr>
              <w:t>m</w:t>
            </w:r>
            <w:proofErr w:type="spellEnd"/>
          </w:p>
        </w:tc>
        <w:tc>
          <w:tcPr>
            <w:tcW w:w="492" w:type="pct"/>
            <w:tcMar>
              <w:top w:w="85" w:type="dxa"/>
              <w:left w:w="85" w:type="dxa"/>
              <w:bottom w:w="85" w:type="dxa"/>
              <w:right w:w="85" w:type="dxa"/>
            </w:tcMar>
          </w:tcPr>
          <w:p w14:paraId="7882A750"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4759ADEC" w14:textId="77777777" w:rsidR="00342C07" w:rsidRPr="00630129" w:rsidRDefault="00342C07" w:rsidP="00F60AD8">
            <w:pPr>
              <w:rPr>
                <w:sz w:val="22"/>
                <w:szCs w:val="22"/>
              </w:rPr>
            </w:pPr>
            <w:r w:rsidRPr="00630129">
              <w:rPr>
                <w:sz w:val="22"/>
                <w:szCs w:val="22"/>
              </w:rPr>
              <w:t>Has the meaning given to that term in Section D4.1(e).</w:t>
            </w:r>
          </w:p>
        </w:tc>
      </w:tr>
      <w:tr w:rsidR="00342C07" w:rsidRPr="00630129" w14:paraId="3F1E30CC" w14:textId="77777777" w:rsidTr="00A63BA8">
        <w:trPr>
          <w:cantSplit/>
        </w:trPr>
        <w:tc>
          <w:tcPr>
            <w:tcW w:w="994" w:type="pct"/>
            <w:tcMar>
              <w:top w:w="85" w:type="dxa"/>
              <w:left w:w="85" w:type="dxa"/>
              <w:bottom w:w="85" w:type="dxa"/>
              <w:right w:w="85" w:type="dxa"/>
            </w:tcMar>
          </w:tcPr>
          <w:p w14:paraId="70F868D0" w14:textId="77777777" w:rsidR="00342C07" w:rsidRPr="00630129" w:rsidRDefault="00342C07" w:rsidP="00F60AD8">
            <w:pPr>
              <w:rPr>
                <w:sz w:val="22"/>
                <w:szCs w:val="22"/>
              </w:rPr>
            </w:pPr>
            <w:r w:rsidRPr="00630129">
              <w:rPr>
                <w:sz w:val="22"/>
                <w:szCs w:val="22"/>
              </w:rPr>
              <w:t>Monthly Net Main Costs</w:t>
            </w:r>
          </w:p>
        </w:tc>
        <w:tc>
          <w:tcPr>
            <w:tcW w:w="974" w:type="pct"/>
            <w:tcMar>
              <w:top w:w="85" w:type="dxa"/>
              <w:left w:w="85" w:type="dxa"/>
              <w:bottom w:w="85" w:type="dxa"/>
              <w:right w:w="85" w:type="dxa"/>
            </w:tcMar>
          </w:tcPr>
          <w:p w14:paraId="04D9EB14" w14:textId="77777777" w:rsidR="00342C07" w:rsidRPr="00630129" w:rsidRDefault="00342C07" w:rsidP="00F60AD8">
            <w:pPr>
              <w:rPr>
                <w:sz w:val="22"/>
                <w:szCs w:val="22"/>
                <w:vertAlign w:val="subscript"/>
              </w:rPr>
            </w:pPr>
            <w:proofErr w:type="spellStart"/>
            <w:r w:rsidRPr="00630129">
              <w:rPr>
                <w:sz w:val="22"/>
                <w:szCs w:val="22"/>
              </w:rPr>
              <w:t>MNMC</w:t>
            </w:r>
            <w:r w:rsidRPr="00630129">
              <w:rPr>
                <w:sz w:val="22"/>
                <w:szCs w:val="22"/>
                <w:vertAlign w:val="subscript"/>
              </w:rPr>
              <w:t>m</w:t>
            </w:r>
            <w:proofErr w:type="spellEnd"/>
          </w:p>
        </w:tc>
        <w:tc>
          <w:tcPr>
            <w:tcW w:w="492" w:type="pct"/>
            <w:tcMar>
              <w:top w:w="85" w:type="dxa"/>
              <w:left w:w="85" w:type="dxa"/>
              <w:bottom w:w="85" w:type="dxa"/>
              <w:right w:w="85" w:type="dxa"/>
            </w:tcMar>
          </w:tcPr>
          <w:p w14:paraId="371C06F4"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49438A51" w14:textId="77777777" w:rsidR="00342C07" w:rsidRPr="00630129" w:rsidRDefault="00342C07" w:rsidP="00F60AD8">
            <w:pPr>
              <w:rPr>
                <w:sz w:val="22"/>
                <w:szCs w:val="22"/>
              </w:rPr>
            </w:pPr>
            <w:r w:rsidRPr="00630129">
              <w:rPr>
                <w:sz w:val="22"/>
                <w:szCs w:val="22"/>
              </w:rPr>
              <w:t>Has the meaning given to that term in Section D4.1(d).</w:t>
            </w:r>
          </w:p>
        </w:tc>
      </w:tr>
      <w:tr w:rsidR="00342C07" w:rsidRPr="00630129" w14:paraId="1CE5FF11" w14:textId="77777777" w:rsidTr="00A63BA8">
        <w:trPr>
          <w:cantSplit/>
        </w:trPr>
        <w:tc>
          <w:tcPr>
            <w:tcW w:w="994" w:type="pct"/>
            <w:tcMar>
              <w:top w:w="85" w:type="dxa"/>
              <w:left w:w="85" w:type="dxa"/>
              <w:bottom w:w="85" w:type="dxa"/>
              <w:right w:w="85" w:type="dxa"/>
            </w:tcMar>
          </w:tcPr>
          <w:p w14:paraId="0442E71E" w14:textId="77777777" w:rsidR="00342C07" w:rsidRPr="00630129" w:rsidRDefault="00342C07" w:rsidP="00F60AD8">
            <w:pPr>
              <w:rPr>
                <w:sz w:val="22"/>
                <w:szCs w:val="22"/>
              </w:rPr>
            </w:pPr>
            <w:r w:rsidRPr="00630129">
              <w:rPr>
                <w:sz w:val="22"/>
                <w:szCs w:val="22"/>
              </w:rPr>
              <w:t>Monthly payment</w:t>
            </w:r>
          </w:p>
        </w:tc>
        <w:tc>
          <w:tcPr>
            <w:tcW w:w="974" w:type="pct"/>
            <w:tcMar>
              <w:top w:w="85" w:type="dxa"/>
              <w:left w:w="85" w:type="dxa"/>
              <w:bottom w:w="85" w:type="dxa"/>
              <w:right w:w="85" w:type="dxa"/>
            </w:tcMar>
          </w:tcPr>
          <w:p w14:paraId="15A917AF" w14:textId="77777777" w:rsidR="00342C07" w:rsidRPr="00630129" w:rsidRDefault="00342C07" w:rsidP="00F60AD8">
            <w:pPr>
              <w:rPr>
                <w:sz w:val="22"/>
                <w:szCs w:val="22"/>
                <w:vertAlign w:val="subscript"/>
              </w:rPr>
            </w:pPr>
            <w:r w:rsidRPr="00630129">
              <w:rPr>
                <w:sz w:val="22"/>
                <w:szCs w:val="22"/>
              </w:rPr>
              <w:t>P</w:t>
            </w:r>
            <w:r w:rsidRPr="00630129">
              <w:rPr>
                <w:sz w:val="22"/>
                <w:szCs w:val="22"/>
                <w:vertAlign w:val="subscript"/>
              </w:rPr>
              <w:t>pm</w:t>
            </w:r>
          </w:p>
        </w:tc>
        <w:tc>
          <w:tcPr>
            <w:tcW w:w="492" w:type="pct"/>
            <w:tcMar>
              <w:top w:w="85" w:type="dxa"/>
              <w:left w:w="85" w:type="dxa"/>
              <w:bottom w:w="85" w:type="dxa"/>
              <w:right w:w="85" w:type="dxa"/>
            </w:tcMar>
          </w:tcPr>
          <w:p w14:paraId="12FE4761"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40050D8F" w14:textId="77777777" w:rsidR="00342C07" w:rsidRPr="00630129" w:rsidRDefault="00342C07" w:rsidP="00F60AD8">
            <w:pPr>
              <w:rPr>
                <w:sz w:val="22"/>
                <w:szCs w:val="22"/>
              </w:rPr>
            </w:pPr>
            <w:r w:rsidRPr="00630129">
              <w:rPr>
                <w:sz w:val="22"/>
                <w:szCs w:val="22"/>
              </w:rPr>
              <w:t>Has the meaning given to that term in Annex D4 1.1.</w:t>
            </w:r>
          </w:p>
        </w:tc>
      </w:tr>
      <w:tr w:rsidR="00342C07" w:rsidRPr="00630129" w14:paraId="58FDE509" w14:textId="77777777" w:rsidTr="00A63BA8">
        <w:trPr>
          <w:cantSplit/>
        </w:trPr>
        <w:tc>
          <w:tcPr>
            <w:tcW w:w="994" w:type="pct"/>
            <w:tcMar>
              <w:top w:w="85" w:type="dxa"/>
              <w:left w:w="85" w:type="dxa"/>
              <w:bottom w:w="85" w:type="dxa"/>
              <w:right w:w="85" w:type="dxa"/>
            </w:tcMar>
          </w:tcPr>
          <w:p w14:paraId="3E76FA08" w14:textId="77777777" w:rsidR="00342C07" w:rsidRPr="00630129" w:rsidRDefault="00342C07" w:rsidP="00F60AD8">
            <w:pPr>
              <w:rPr>
                <w:sz w:val="22"/>
                <w:szCs w:val="22"/>
              </w:rPr>
            </w:pPr>
            <w:r w:rsidRPr="00630129">
              <w:rPr>
                <w:sz w:val="22"/>
                <w:szCs w:val="22"/>
              </w:rPr>
              <w:t>Monthly Production-Charging SVA Costs</w:t>
            </w:r>
          </w:p>
        </w:tc>
        <w:tc>
          <w:tcPr>
            <w:tcW w:w="974" w:type="pct"/>
            <w:tcMar>
              <w:top w:w="85" w:type="dxa"/>
              <w:left w:w="85" w:type="dxa"/>
              <w:bottom w:w="85" w:type="dxa"/>
              <w:right w:w="85" w:type="dxa"/>
            </w:tcMar>
          </w:tcPr>
          <w:p w14:paraId="7562C9FD" w14:textId="77777777" w:rsidR="00342C07" w:rsidRPr="00630129" w:rsidRDefault="00342C07" w:rsidP="00F60AD8">
            <w:pPr>
              <w:rPr>
                <w:sz w:val="22"/>
                <w:szCs w:val="22"/>
                <w:vertAlign w:val="subscript"/>
              </w:rPr>
            </w:pPr>
            <w:proofErr w:type="spellStart"/>
            <w:r w:rsidRPr="00630129">
              <w:rPr>
                <w:sz w:val="22"/>
                <w:szCs w:val="22"/>
              </w:rPr>
              <w:t>MPSC</w:t>
            </w:r>
            <w:r w:rsidRPr="00630129">
              <w:rPr>
                <w:sz w:val="22"/>
                <w:szCs w:val="22"/>
                <w:vertAlign w:val="subscript"/>
              </w:rPr>
              <w:t>m</w:t>
            </w:r>
            <w:proofErr w:type="spellEnd"/>
          </w:p>
        </w:tc>
        <w:tc>
          <w:tcPr>
            <w:tcW w:w="492" w:type="pct"/>
            <w:tcMar>
              <w:top w:w="85" w:type="dxa"/>
              <w:left w:w="85" w:type="dxa"/>
              <w:bottom w:w="85" w:type="dxa"/>
              <w:right w:w="85" w:type="dxa"/>
            </w:tcMar>
          </w:tcPr>
          <w:p w14:paraId="69EBDAE1"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1838E034" w14:textId="77777777" w:rsidR="00342C07" w:rsidRPr="00630129" w:rsidRDefault="00342C07" w:rsidP="00F60AD8">
            <w:pPr>
              <w:rPr>
                <w:sz w:val="22"/>
                <w:szCs w:val="22"/>
              </w:rPr>
            </w:pPr>
            <w:r w:rsidRPr="00630129">
              <w:rPr>
                <w:sz w:val="22"/>
                <w:szCs w:val="22"/>
              </w:rPr>
              <w:t>Has the meaning given to that term in Section D4.1(d).</w:t>
            </w:r>
          </w:p>
        </w:tc>
      </w:tr>
      <w:tr w:rsidR="00342C07" w:rsidRPr="00630129" w14:paraId="53D58B46" w14:textId="77777777" w:rsidTr="00A63BA8">
        <w:trPr>
          <w:cantSplit/>
        </w:trPr>
        <w:tc>
          <w:tcPr>
            <w:tcW w:w="994" w:type="pct"/>
            <w:tcMar>
              <w:top w:w="85" w:type="dxa"/>
              <w:left w:w="85" w:type="dxa"/>
              <w:bottom w:w="85" w:type="dxa"/>
              <w:right w:w="85" w:type="dxa"/>
            </w:tcMar>
          </w:tcPr>
          <w:p w14:paraId="1F486250" w14:textId="77777777" w:rsidR="00342C07" w:rsidRPr="00630129" w:rsidRDefault="00342C07" w:rsidP="00FC0D03">
            <w:pPr>
              <w:spacing w:after="120"/>
              <w:rPr>
                <w:sz w:val="22"/>
                <w:szCs w:val="22"/>
              </w:rPr>
            </w:pPr>
            <w:r w:rsidRPr="00FC0D03">
              <w:rPr>
                <w:sz w:val="22"/>
              </w:rPr>
              <w:t>MSID Pair Data</w:t>
            </w:r>
          </w:p>
        </w:tc>
        <w:tc>
          <w:tcPr>
            <w:tcW w:w="974" w:type="pct"/>
            <w:tcMar>
              <w:top w:w="85" w:type="dxa"/>
              <w:left w:w="85" w:type="dxa"/>
              <w:bottom w:w="85" w:type="dxa"/>
              <w:right w:w="85" w:type="dxa"/>
            </w:tcMar>
          </w:tcPr>
          <w:p w14:paraId="36F05AF3" w14:textId="77777777" w:rsidR="00342C07" w:rsidRPr="00630129" w:rsidRDefault="00342C07" w:rsidP="00FC0D03">
            <w:pPr>
              <w:spacing w:after="120"/>
              <w:rPr>
                <w:sz w:val="22"/>
                <w:szCs w:val="22"/>
              </w:rPr>
            </w:pPr>
          </w:p>
        </w:tc>
        <w:tc>
          <w:tcPr>
            <w:tcW w:w="492" w:type="pct"/>
            <w:tcMar>
              <w:top w:w="85" w:type="dxa"/>
              <w:left w:w="85" w:type="dxa"/>
              <w:bottom w:w="85" w:type="dxa"/>
              <w:right w:w="85" w:type="dxa"/>
            </w:tcMar>
          </w:tcPr>
          <w:p w14:paraId="3DDDE57C" w14:textId="77777777" w:rsidR="00342C07" w:rsidRPr="006A10DE" w:rsidRDefault="00342C07" w:rsidP="00FC0D03">
            <w:pPr>
              <w:spacing w:after="120"/>
              <w:rPr>
                <w:sz w:val="22"/>
                <w:szCs w:val="22"/>
              </w:rPr>
            </w:pPr>
          </w:p>
        </w:tc>
        <w:tc>
          <w:tcPr>
            <w:tcW w:w="2540" w:type="pct"/>
            <w:tcMar>
              <w:top w:w="85" w:type="dxa"/>
              <w:left w:w="85" w:type="dxa"/>
              <w:bottom w:w="85" w:type="dxa"/>
              <w:right w:w="85" w:type="dxa"/>
            </w:tcMar>
          </w:tcPr>
          <w:p w14:paraId="04B98B49" w14:textId="77777777" w:rsidR="00EC2611" w:rsidRDefault="00342C07" w:rsidP="00FC0D03">
            <w:pPr>
              <w:spacing w:after="120"/>
              <w:rPr>
                <w:sz w:val="22"/>
              </w:rPr>
            </w:pPr>
            <w:r w:rsidRPr="00FC0D03">
              <w:rPr>
                <w:sz w:val="22"/>
                <w:szCs w:val="22"/>
              </w:rPr>
              <w:t>The</w:t>
            </w:r>
            <w:r w:rsidRPr="00FC0D03">
              <w:rPr>
                <w:sz w:val="22"/>
              </w:rPr>
              <w:t xml:space="preserve"> data comprising the data items pursuant to Section </w:t>
            </w:r>
            <w:r w:rsidR="00EC2611">
              <w:rPr>
                <w:sz w:val="22"/>
              </w:rPr>
              <w:t>S10.1 and may be:</w:t>
            </w:r>
          </w:p>
          <w:p w14:paraId="5D211CB3" w14:textId="77777777" w:rsidR="00EC2611" w:rsidRPr="00EC2611" w:rsidRDefault="00EC2611" w:rsidP="00FC0D03">
            <w:pPr>
              <w:spacing w:after="120"/>
              <w:rPr>
                <w:sz w:val="22"/>
                <w:szCs w:val="22"/>
              </w:rPr>
            </w:pPr>
            <w:r w:rsidRPr="00EC2611">
              <w:rPr>
                <w:sz w:val="22"/>
                <w:szCs w:val="22"/>
              </w:rPr>
              <w:t>(</w:t>
            </w:r>
            <w:proofErr w:type="spellStart"/>
            <w:r w:rsidRPr="00EC2611">
              <w:rPr>
                <w:sz w:val="22"/>
                <w:szCs w:val="22"/>
              </w:rPr>
              <w:t>i</w:t>
            </w:r>
            <w:proofErr w:type="spellEnd"/>
            <w:r w:rsidRPr="00EC2611">
              <w:rPr>
                <w:sz w:val="22"/>
                <w:szCs w:val="22"/>
              </w:rPr>
              <w:t>)</w:t>
            </w:r>
            <w:r w:rsidRPr="00EC2611">
              <w:rPr>
                <w:sz w:val="22"/>
                <w:szCs w:val="22"/>
              </w:rPr>
              <w:tab/>
              <w:t>BM Unit MSID Pair Data; or</w:t>
            </w:r>
          </w:p>
          <w:p w14:paraId="5A56ED2C" w14:textId="77777777" w:rsidR="00EC2611" w:rsidRPr="006A10DE" w:rsidRDefault="00EC2611" w:rsidP="00FC0D03">
            <w:pPr>
              <w:spacing w:after="120"/>
              <w:rPr>
                <w:sz w:val="22"/>
                <w:szCs w:val="22"/>
              </w:rPr>
            </w:pPr>
            <w:r w:rsidRPr="00EC2611">
              <w:rPr>
                <w:sz w:val="22"/>
                <w:szCs w:val="22"/>
              </w:rPr>
              <w:t>(ii)</w:t>
            </w:r>
            <w:r w:rsidRPr="00EC2611">
              <w:rPr>
                <w:sz w:val="22"/>
                <w:szCs w:val="22"/>
              </w:rPr>
              <w:tab/>
              <w:t>Non BM Unit ABSVD MSID Pair Data</w:t>
            </w:r>
          </w:p>
        </w:tc>
      </w:tr>
      <w:tr w:rsidR="00342C07" w:rsidRPr="00630129" w14:paraId="029487C8" w14:textId="77777777" w:rsidTr="00A63BA8">
        <w:trPr>
          <w:cantSplit/>
        </w:trPr>
        <w:tc>
          <w:tcPr>
            <w:tcW w:w="994" w:type="pct"/>
            <w:tcMar>
              <w:top w:w="85" w:type="dxa"/>
              <w:left w:w="85" w:type="dxa"/>
              <w:bottom w:w="85" w:type="dxa"/>
              <w:right w:w="85" w:type="dxa"/>
            </w:tcMar>
          </w:tcPr>
          <w:p w14:paraId="424CD18C" w14:textId="77777777" w:rsidR="00342C07" w:rsidRPr="006A10DE" w:rsidRDefault="00342C07" w:rsidP="00FC0D03">
            <w:pPr>
              <w:spacing w:after="120"/>
              <w:rPr>
                <w:sz w:val="22"/>
              </w:rPr>
            </w:pPr>
            <w:r w:rsidRPr="00FC0D03">
              <w:rPr>
                <w:sz w:val="22"/>
              </w:rPr>
              <w:t>MSID Pair Delivered Volume</w:t>
            </w:r>
          </w:p>
        </w:tc>
        <w:tc>
          <w:tcPr>
            <w:tcW w:w="974" w:type="pct"/>
            <w:tcMar>
              <w:top w:w="85" w:type="dxa"/>
              <w:left w:w="85" w:type="dxa"/>
              <w:bottom w:w="85" w:type="dxa"/>
              <w:right w:w="85" w:type="dxa"/>
            </w:tcMar>
          </w:tcPr>
          <w:p w14:paraId="180FCEE3" w14:textId="77777777" w:rsidR="00342C07" w:rsidRPr="006A10DE" w:rsidRDefault="00342C07" w:rsidP="00FC0D03">
            <w:pPr>
              <w:spacing w:after="120"/>
              <w:rPr>
                <w:sz w:val="22"/>
                <w:szCs w:val="22"/>
              </w:rPr>
            </w:pPr>
            <w:r w:rsidRPr="00FC0D03">
              <w:rPr>
                <w:sz w:val="22"/>
              </w:rPr>
              <w:t>MPDV</w:t>
            </w:r>
          </w:p>
        </w:tc>
        <w:tc>
          <w:tcPr>
            <w:tcW w:w="492" w:type="pct"/>
            <w:tcMar>
              <w:top w:w="85" w:type="dxa"/>
              <w:left w:w="85" w:type="dxa"/>
              <w:bottom w:w="85" w:type="dxa"/>
              <w:right w:w="85" w:type="dxa"/>
            </w:tcMar>
          </w:tcPr>
          <w:p w14:paraId="3180AAF0" w14:textId="77777777" w:rsidR="00342C07" w:rsidRPr="006A10DE" w:rsidRDefault="00342C07" w:rsidP="00FC0D03">
            <w:pPr>
              <w:spacing w:after="120"/>
              <w:rPr>
                <w:sz w:val="22"/>
                <w:szCs w:val="22"/>
              </w:rPr>
            </w:pPr>
            <w:r w:rsidRPr="00FC0D03">
              <w:rPr>
                <w:sz w:val="22"/>
              </w:rPr>
              <w:t>MWh</w:t>
            </w:r>
          </w:p>
        </w:tc>
        <w:tc>
          <w:tcPr>
            <w:tcW w:w="2540" w:type="pct"/>
            <w:tcMar>
              <w:top w:w="85" w:type="dxa"/>
              <w:left w:w="85" w:type="dxa"/>
              <w:bottom w:w="85" w:type="dxa"/>
              <w:right w:w="85" w:type="dxa"/>
            </w:tcMar>
          </w:tcPr>
          <w:p w14:paraId="302A962D" w14:textId="77777777" w:rsidR="00342C07" w:rsidRPr="00FC0D03" w:rsidRDefault="00342C07" w:rsidP="00F60AD8">
            <w:pPr>
              <w:spacing w:after="120"/>
              <w:rPr>
                <w:sz w:val="22"/>
              </w:rPr>
            </w:pPr>
            <w:r w:rsidRPr="00FC0D03">
              <w:rPr>
                <w:sz w:val="22"/>
              </w:rPr>
              <w:t>The amount determined in accordance with Section Q6.4.10</w:t>
            </w:r>
            <w:r w:rsidR="00A40151">
              <w:rPr>
                <w:sz w:val="22"/>
              </w:rPr>
              <w:t xml:space="preserve"> or S11.1.1</w:t>
            </w:r>
            <w:r w:rsidRPr="00FC0D03">
              <w:rPr>
                <w:sz w:val="22"/>
              </w:rPr>
              <w:t>.</w:t>
            </w:r>
          </w:p>
          <w:p w14:paraId="6CCFFFC8" w14:textId="77777777" w:rsidR="00342C07" w:rsidRPr="006A10DE" w:rsidRDefault="00342C07" w:rsidP="003945C1">
            <w:pPr>
              <w:rPr>
                <w:sz w:val="22"/>
              </w:rPr>
            </w:pPr>
            <w:r w:rsidRPr="00FC0D03">
              <w:rPr>
                <w:i/>
                <w:sz w:val="22"/>
              </w:rPr>
              <w:t>.</w:t>
            </w:r>
            <w:r w:rsidR="00A40151" w:rsidRPr="00FC0D03">
              <w:rPr>
                <w:i/>
                <w:sz w:val="22"/>
                <w:szCs w:val="22"/>
              </w:rPr>
              <w:t>MSID Pair Delivered Volume is such volumes of Active Energy notified to the SVAA by the NETSO for the purposes of calculating Non BM Unit ABSVD (</w:t>
            </w:r>
            <w:proofErr w:type="spellStart"/>
            <w:r w:rsidR="00A40151" w:rsidRPr="00FC0D03">
              <w:rPr>
                <w:i/>
                <w:sz w:val="22"/>
                <w:szCs w:val="22"/>
              </w:rPr>
              <w:t>SNBABSVD</w:t>
            </w:r>
            <w:r w:rsidR="00A40151" w:rsidRPr="00FC0D03">
              <w:rPr>
                <w:i/>
                <w:sz w:val="22"/>
                <w:szCs w:val="22"/>
                <w:vertAlign w:val="subscript"/>
              </w:rPr>
              <w:t>ij</w:t>
            </w:r>
            <w:proofErr w:type="spellEnd"/>
            <w:r w:rsidR="00A40151" w:rsidRPr="00FC0D03">
              <w:rPr>
                <w:i/>
                <w:sz w:val="22"/>
                <w:szCs w:val="22"/>
              </w:rPr>
              <w:t>); or by the Virtual Lead Party for the purposes of aggregating Secondary BM Unit Supplier Delivered Volume (</w:t>
            </w:r>
            <w:proofErr w:type="spellStart"/>
            <w:r w:rsidR="00A40151" w:rsidRPr="00FC0D03">
              <w:rPr>
                <w:i/>
                <w:sz w:val="22"/>
                <w:szCs w:val="22"/>
              </w:rPr>
              <w:t>VBMUSDV</w:t>
            </w:r>
            <w:r w:rsidR="00A40151" w:rsidRPr="00FC0D03">
              <w:rPr>
                <w:i/>
                <w:sz w:val="22"/>
                <w:szCs w:val="22"/>
                <w:vertAlign w:val="subscript"/>
              </w:rPr>
              <w:t>iZj</w:t>
            </w:r>
            <w:proofErr w:type="spellEnd"/>
            <w:r w:rsidR="00A40151" w:rsidRPr="00FC0D03">
              <w:rPr>
                <w:i/>
                <w:sz w:val="22"/>
                <w:szCs w:val="22"/>
              </w:rPr>
              <w:t>).</w:t>
            </w:r>
          </w:p>
        </w:tc>
      </w:tr>
      <w:tr w:rsidR="00342C07" w:rsidRPr="00630129" w14:paraId="28F1988E" w14:textId="77777777" w:rsidTr="00A63BA8">
        <w:trPr>
          <w:cantSplit/>
        </w:trPr>
        <w:tc>
          <w:tcPr>
            <w:tcW w:w="994" w:type="pct"/>
            <w:tcMar>
              <w:top w:w="85" w:type="dxa"/>
              <w:left w:w="85" w:type="dxa"/>
              <w:bottom w:w="85" w:type="dxa"/>
              <w:right w:w="85" w:type="dxa"/>
            </w:tcMar>
          </w:tcPr>
          <w:p w14:paraId="1729BB55" w14:textId="77777777" w:rsidR="00342C07" w:rsidRPr="00630129" w:rsidRDefault="00342C07" w:rsidP="00F60AD8">
            <w:pPr>
              <w:rPr>
                <w:i/>
                <w:sz w:val="22"/>
                <w:szCs w:val="22"/>
              </w:rPr>
            </w:pPr>
            <w:r w:rsidRPr="00630129">
              <w:rPr>
                <w:sz w:val="22"/>
                <w:szCs w:val="22"/>
              </w:rPr>
              <w:t>National Demand</w:t>
            </w:r>
          </w:p>
        </w:tc>
        <w:tc>
          <w:tcPr>
            <w:tcW w:w="974" w:type="pct"/>
            <w:tcMar>
              <w:top w:w="85" w:type="dxa"/>
              <w:left w:w="85" w:type="dxa"/>
              <w:bottom w:w="85" w:type="dxa"/>
              <w:right w:w="85" w:type="dxa"/>
            </w:tcMar>
          </w:tcPr>
          <w:p w14:paraId="37045DC9"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3D8EB173"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263A62EB" w14:textId="77777777" w:rsidR="00342C07" w:rsidRPr="00630129" w:rsidRDefault="00342C07" w:rsidP="00F60AD8">
            <w:pPr>
              <w:rPr>
                <w:rFonts w:ascii="MT Extra" w:hAnsi="MT Extra"/>
                <w:sz w:val="22"/>
                <w:szCs w:val="22"/>
                <w:lang w:val="en-US"/>
              </w:rPr>
            </w:pPr>
            <w:r w:rsidRPr="00630129">
              <w:rPr>
                <w:sz w:val="22"/>
                <w:szCs w:val="22"/>
              </w:rPr>
              <w:t>Has the meaning given to the term National Demand as defined in the Grid Code.</w:t>
            </w:r>
          </w:p>
        </w:tc>
      </w:tr>
      <w:tr w:rsidR="00342C07" w:rsidRPr="00630129" w14:paraId="6812EA29" w14:textId="77777777" w:rsidTr="00A63BA8">
        <w:trPr>
          <w:cantSplit/>
        </w:trPr>
        <w:tc>
          <w:tcPr>
            <w:tcW w:w="994" w:type="pct"/>
            <w:tcMar>
              <w:top w:w="85" w:type="dxa"/>
              <w:left w:w="85" w:type="dxa"/>
              <w:bottom w:w="85" w:type="dxa"/>
              <w:right w:w="85" w:type="dxa"/>
            </w:tcMar>
          </w:tcPr>
          <w:p w14:paraId="5776487D" w14:textId="77777777" w:rsidR="00342C07" w:rsidRPr="00630129" w:rsidRDefault="00342C07" w:rsidP="00F60AD8">
            <w:pPr>
              <w:rPr>
                <w:sz w:val="22"/>
                <w:szCs w:val="22"/>
              </w:rPr>
            </w:pPr>
            <w:r w:rsidRPr="00630129">
              <w:rPr>
                <w:sz w:val="22"/>
                <w:szCs w:val="22"/>
              </w:rPr>
              <w:lastRenderedPageBreak/>
              <w:t>Net Imbalance Volume</w:t>
            </w:r>
          </w:p>
        </w:tc>
        <w:tc>
          <w:tcPr>
            <w:tcW w:w="974" w:type="pct"/>
            <w:tcMar>
              <w:top w:w="85" w:type="dxa"/>
              <w:left w:w="85" w:type="dxa"/>
              <w:bottom w:w="85" w:type="dxa"/>
              <w:right w:w="85" w:type="dxa"/>
            </w:tcMar>
          </w:tcPr>
          <w:p w14:paraId="6FC7D97F" w14:textId="77777777" w:rsidR="00342C07" w:rsidRPr="00630129" w:rsidRDefault="00342C07" w:rsidP="00F60AD8">
            <w:pPr>
              <w:rPr>
                <w:sz w:val="22"/>
                <w:szCs w:val="22"/>
              </w:rPr>
            </w:pPr>
            <w:proofErr w:type="spellStart"/>
            <w:r w:rsidRPr="00630129">
              <w:rPr>
                <w:sz w:val="22"/>
                <w:szCs w:val="22"/>
              </w:rPr>
              <w:t>NIV</w:t>
            </w:r>
            <w:r w:rsidRPr="00630129">
              <w:rPr>
                <w:sz w:val="22"/>
                <w:szCs w:val="22"/>
                <w:vertAlign w:val="subscript"/>
              </w:rPr>
              <w:t>j</w:t>
            </w:r>
            <w:proofErr w:type="spellEnd"/>
          </w:p>
        </w:tc>
        <w:tc>
          <w:tcPr>
            <w:tcW w:w="492" w:type="pct"/>
            <w:tcMar>
              <w:top w:w="85" w:type="dxa"/>
              <w:left w:w="85" w:type="dxa"/>
              <w:bottom w:w="85" w:type="dxa"/>
              <w:right w:w="85" w:type="dxa"/>
            </w:tcMar>
          </w:tcPr>
          <w:p w14:paraId="60EFC12A"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68D254FA" w14:textId="77777777" w:rsidR="00342C07" w:rsidRPr="00630129" w:rsidRDefault="00342C07" w:rsidP="00F60AD8">
            <w:pPr>
              <w:rPr>
                <w:i/>
                <w:sz w:val="22"/>
                <w:szCs w:val="22"/>
              </w:rPr>
            </w:pPr>
            <w:r w:rsidRPr="00630129">
              <w:rPr>
                <w:sz w:val="22"/>
                <w:szCs w:val="22"/>
              </w:rPr>
              <w:t>Has the meaning given to that term in paragraph 14.1 of Annex T-1.</w:t>
            </w:r>
          </w:p>
        </w:tc>
      </w:tr>
      <w:tr w:rsidR="00342C07" w:rsidRPr="00630129" w14:paraId="2979F3C3" w14:textId="77777777" w:rsidTr="00A63BA8">
        <w:trPr>
          <w:cantSplit/>
        </w:trPr>
        <w:tc>
          <w:tcPr>
            <w:tcW w:w="994" w:type="pct"/>
            <w:tcMar>
              <w:top w:w="85" w:type="dxa"/>
              <w:left w:w="85" w:type="dxa"/>
              <w:bottom w:w="85" w:type="dxa"/>
              <w:right w:w="85" w:type="dxa"/>
            </w:tcMar>
          </w:tcPr>
          <w:p w14:paraId="38AE23F3" w14:textId="77777777" w:rsidR="00342C07" w:rsidRPr="00630129" w:rsidRDefault="00342C07" w:rsidP="00F60AD8">
            <w:pPr>
              <w:rPr>
                <w:sz w:val="22"/>
                <w:szCs w:val="22"/>
              </w:rPr>
            </w:pPr>
            <w:r w:rsidRPr="00630129">
              <w:rPr>
                <w:sz w:val="22"/>
                <w:szCs w:val="22"/>
              </w:rPr>
              <w:t>NIV Tagged</w:t>
            </w:r>
          </w:p>
        </w:tc>
        <w:tc>
          <w:tcPr>
            <w:tcW w:w="974" w:type="pct"/>
            <w:tcMar>
              <w:top w:w="85" w:type="dxa"/>
              <w:left w:w="85" w:type="dxa"/>
              <w:bottom w:w="85" w:type="dxa"/>
              <w:right w:w="85" w:type="dxa"/>
            </w:tcMar>
          </w:tcPr>
          <w:p w14:paraId="0BA60130"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7A885517"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5B355E92" w14:textId="77777777" w:rsidR="00342C07" w:rsidRPr="00630129" w:rsidRDefault="00342C07" w:rsidP="00F60AD8">
            <w:pPr>
              <w:rPr>
                <w:sz w:val="22"/>
                <w:szCs w:val="22"/>
              </w:rPr>
            </w:pPr>
            <w:r w:rsidRPr="00630129">
              <w:rPr>
                <w:sz w:val="22"/>
                <w:szCs w:val="22"/>
              </w:rPr>
              <w:t>NIV Tagged as provided in paragraph 9 of Part 1 of Annex T-1.</w:t>
            </w:r>
          </w:p>
        </w:tc>
      </w:tr>
      <w:tr w:rsidR="00342C07" w:rsidRPr="00630129" w14:paraId="008B526A" w14:textId="77777777" w:rsidTr="00A63BA8">
        <w:trPr>
          <w:cantSplit/>
        </w:trPr>
        <w:tc>
          <w:tcPr>
            <w:tcW w:w="994" w:type="pct"/>
            <w:tcMar>
              <w:top w:w="85" w:type="dxa"/>
              <w:left w:w="85" w:type="dxa"/>
              <w:bottom w:w="85" w:type="dxa"/>
              <w:right w:w="85" w:type="dxa"/>
            </w:tcMar>
          </w:tcPr>
          <w:p w14:paraId="468948D2" w14:textId="77777777" w:rsidR="00342C07" w:rsidRPr="006A10DE" w:rsidRDefault="00342C07" w:rsidP="00FC0D03">
            <w:pPr>
              <w:spacing w:after="120"/>
              <w:rPr>
                <w:sz w:val="22"/>
              </w:rPr>
            </w:pPr>
            <w:r w:rsidRPr="00FC0D03">
              <w:rPr>
                <w:sz w:val="22"/>
              </w:rPr>
              <w:t>Non BM Unit Applicable Balancing Services Volume Data or Non BM Unit ABSVD</w:t>
            </w:r>
          </w:p>
        </w:tc>
        <w:tc>
          <w:tcPr>
            <w:tcW w:w="974" w:type="pct"/>
            <w:tcMar>
              <w:top w:w="85" w:type="dxa"/>
              <w:left w:w="85" w:type="dxa"/>
              <w:bottom w:w="85" w:type="dxa"/>
              <w:right w:w="85" w:type="dxa"/>
            </w:tcMar>
          </w:tcPr>
          <w:p w14:paraId="1BBB76FC" w14:textId="77777777" w:rsidR="00342C07" w:rsidRPr="006A10DE" w:rsidRDefault="00342C07" w:rsidP="00FC0D03">
            <w:pPr>
              <w:spacing w:after="120"/>
              <w:rPr>
                <w:sz w:val="22"/>
              </w:rPr>
            </w:pPr>
          </w:p>
        </w:tc>
        <w:tc>
          <w:tcPr>
            <w:tcW w:w="492" w:type="pct"/>
            <w:tcMar>
              <w:top w:w="85" w:type="dxa"/>
              <w:left w:w="85" w:type="dxa"/>
              <w:bottom w:w="85" w:type="dxa"/>
              <w:right w:w="85" w:type="dxa"/>
            </w:tcMar>
          </w:tcPr>
          <w:p w14:paraId="01D05B19" w14:textId="77777777" w:rsidR="00342C07" w:rsidRPr="006A10DE" w:rsidRDefault="00342C07" w:rsidP="00FC0D03">
            <w:pPr>
              <w:spacing w:after="120"/>
              <w:rPr>
                <w:sz w:val="22"/>
              </w:rPr>
            </w:pPr>
          </w:p>
        </w:tc>
        <w:tc>
          <w:tcPr>
            <w:tcW w:w="2540" w:type="pct"/>
            <w:tcMar>
              <w:top w:w="85" w:type="dxa"/>
              <w:left w:w="85" w:type="dxa"/>
              <w:bottom w:w="85" w:type="dxa"/>
              <w:right w:w="85" w:type="dxa"/>
            </w:tcMar>
          </w:tcPr>
          <w:p w14:paraId="31436E61" w14:textId="77777777" w:rsidR="00342C07" w:rsidRPr="00FC0D03" w:rsidRDefault="00342C07" w:rsidP="00FC0D03">
            <w:pPr>
              <w:spacing w:after="120"/>
              <w:rPr>
                <w:sz w:val="22"/>
              </w:rPr>
            </w:pPr>
            <w:r w:rsidRPr="00FC0D03">
              <w:rPr>
                <w:sz w:val="22"/>
              </w:rPr>
              <w:t>The following data:</w:t>
            </w:r>
          </w:p>
          <w:p w14:paraId="02EE3DBC" w14:textId="77777777" w:rsidR="00342C07" w:rsidRPr="00FC0D03" w:rsidRDefault="00342C07" w:rsidP="00FC0D03">
            <w:pPr>
              <w:tabs>
                <w:tab w:val="left" w:pos="737"/>
              </w:tabs>
              <w:spacing w:after="120"/>
              <w:ind w:left="567" w:hanging="567"/>
              <w:rPr>
                <w:sz w:val="22"/>
              </w:rPr>
            </w:pPr>
            <w:r w:rsidRPr="00FC0D03">
              <w:rPr>
                <w:sz w:val="22"/>
              </w:rPr>
              <w:t>(</w:t>
            </w:r>
            <w:proofErr w:type="spellStart"/>
            <w:r w:rsidRPr="00FC0D03">
              <w:rPr>
                <w:sz w:val="22"/>
              </w:rPr>
              <w:t>i</w:t>
            </w:r>
            <w:proofErr w:type="spellEnd"/>
            <w:r w:rsidRPr="00FC0D03">
              <w:rPr>
                <w:sz w:val="22"/>
              </w:rPr>
              <w:t>)</w:t>
            </w:r>
            <w:r w:rsidRPr="00FC0D03">
              <w:rPr>
                <w:sz w:val="22"/>
              </w:rPr>
              <w:tab/>
            </w:r>
            <w:r w:rsidR="00F91F1C">
              <w:rPr>
                <w:sz w:val="22"/>
              </w:rPr>
              <w:t xml:space="preserve">Non BM Unit ABSVD MSID Pair Data </w:t>
            </w:r>
            <w:r w:rsidRPr="00FC0D03">
              <w:rPr>
                <w:sz w:val="22"/>
              </w:rPr>
              <w:t>;</w:t>
            </w:r>
            <w:r w:rsidR="007D60E2">
              <w:rPr>
                <w:sz w:val="22"/>
              </w:rPr>
              <w:t xml:space="preserve"> and</w:t>
            </w:r>
          </w:p>
          <w:p w14:paraId="08C30C26" w14:textId="77777777" w:rsidR="00342C07" w:rsidRPr="00FC0D03" w:rsidRDefault="00342C07" w:rsidP="003945C1">
            <w:pPr>
              <w:tabs>
                <w:tab w:val="left" w:pos="737"/>
              </w:tabs>
              <w:spacing w:after="120"/>
              <w:ind w:left="567" w:hanging="567"/>
              <w:rPr>
                <w:sz w:val="22"/>
              </w:rPr>
            </w:pPr>
            <w:r w:rsidRPr="00FC0D03">
              <w:rPr>
                <w:sz w:val="22"/>
              </w:rPr>
              <w:t>(ii)</w:t>
            </w:r>
            <w:r w:rsidRPr="00FC0D03">
              <w:rPr>
                <w:sz w:val="22"/>
              </w:rPr>
              <w:tab/>
            </w:r>
            <w:r w:rsidR="00F91F1C">
              <w:rPr>
                <w:sz w:val="22"/>
              </w:rPr>
              <w:t>the associated MSID Pair Delivered Volume.</w:t>
            </w:r>
          </w:p>
          <w:p w14:paraId="3DB5BFC9" w14:textId="77777777" w:rsidR="00342C07" w:rsidRPr="006A10DE" w:rsidRDefault="00342C07" w:rsidP="003945C1">
            <w:pPr>
              <w:tabs>
                <w:tab w:val="left" w:pos="737"/>
              </w:tabs>
              <w:ind w:left="567" w:hanging="567"/>
              <w:rPr>
                <w:sz w:val="22"/>
              </w:rPr>
            </w:pPr>
          </w:p>
        </w:tc>
      </w:tr>
      <w:tr w:rsidR="00B23009" w:rsidRPr="00630129" w14:paraId="5821A564" w14:textId="77777777" w:rsidTr="00A63BA8">
        <w:trPr>
          <w:cantSplit/>
        </w:trPr>
        <w:tc>
          <w:tcPr>
            <w:tcW w:w="994" w:type="pct"/>
            <w:tcMar>
              <w:top w:w="85" w:type="dxa"/>
              <w:left w:w="85" w:type="dxa"/>
              <w:bottom w:w="85" w:type="dxa"/>
              <w:right w:w="85" w:type="dxa"/>
            </w:tcMar>
          </w:tcPr>
          <w:p w14:paraId="7BE54CE0" w14:textId="77777777" w:rsidR="00B23009" w:rsidRPr="00B23009" w:rsidRDefault="00B23009" w:rsidP="00F60AD8">
            <w:pPr>
              <w:rPr>
                <w:sz w:val="22"/>
              </w:rPr>
            </w:pPr>
            <w:r w:rsidRPr="00FC0D03">
              <w:rPr>
                <w:sz w:val="22"/>
                <w:szCs w:val="22"/>
              </w:rPr>
              <w:t>Non BM Unit ABSVD MSID Pair Data</w:t>
            </w:r>
          </w:p>
        </w:tc>
        <w:tc>
          <w:tcPr>
            <w:tcW w:w="974" w:type="pct"/>
            <w:tcMar>
              <w:top w:w="85" w:type="dxa"/>
              <w:left w:w="85" w:type="dxa"/>
              <w:bottom w:w="85" w:type="dxa"/>
              <w:right w:w="85" w:type="dxa"/>
            </w:tcMar>
          </w:tcPr>
          <w:p w14:paraId="26C31933" w14:textId="77777777" w:rsidR="00B23009" w:rsidRPr="00B23009" w:rsidRDefault="00B23009" w:rsidP="00F60AD8">
            <w:pPr>
              <w:rPr>
                <w:sz w:val="22"/>
              </w:rPr>
            </w:pPr>
          </w:p>
        </w:tc>
        <w:tc>
          <w:tcPr>
            <w:tcW w:w="492" w:type="pct"/>
            <w:tcMar>
              <w:top w:w="85" w:type="dxa"/>
              <w:left w:w="85" w:type="dxa"/>
              <w:bottom w:w="85" w:type="dxa"/>
              <w:right w:w="85" w:type="dxa"/>
            </w:tcMar>
          </w:tcPr>
          <w:p w14:paraId="25AA873B" w14:textId="77777777" w:rsidR="00B23009" w:rsidRPr="00B23009" w:rsidRDefault="00B23009" w:rsidP="00F60AD8">
            <w:pPr>
              <w:rPr>
                <w:sz w:val="22"/>
              </w:rPr>
            </w:pPr>
          </w:p>
        </w:tc>
        <w:tc>
          <w:tcPr>
            <w:tcW w:w="2540" w:type="pct"/>
            <w:tcMar>
              <w:top w:w="85" w:type="dxa"/>
              <w:left w:w="85" w:type="dxa"/>
              <w:bottom w:w="85" w:type="dxa"/>
              <w:right w:w="85" w:type="dxa"/>
            </w:tcMar>
          </w:tcPr>
          <w:p w14:paraId="1A12A3C6" w14:textId="77777777" w:rsidR="00B23009" w:rsidRPr="00B23009" w:rsidRDefault="00B23009" w:rsidP="00F60AD8">
            <w:pPr>
              <w:rPr>
                <w:sz w:val="22"/>
              </w:rPr>
            </w:pPr>
            <w:r w:rsidRPr="00FC0D03">
              <w:rPr>
                <w:sz w:val="22"/>
                <w:szCs w:val="22"/>
              </w:rPr>
              <w:t>Has the meaning given to that term in Section Q paragraph 6.4.8.</w:t>
            </w:r>
          </w:p>
        </w:tc>
      </w:tr>
      <w:tr w:rsidR="00342C07" w:rsidRPr="00630129" w14:paraId="517CD893" w14:textId="77777777" w:rsidTr="00A63BA8">
        <w:trPr>
          <w:cantSplit/>
        </w:trPr>
        <w:tc>
          <w:tcPr>
            <w:tcW w:w="994" w:type="pct"/>
            <w:tcMar>
              <w:top w:w="85" w:type="dxa"/>
              <w:left w:w="85" w:type="dxa"/>
              <w:bottom w:w="85" w:type="dxa"/>
              <w:right w:w="85" w:type="dxa"/>
            </w:tcMar>
          </w:tcPr>
          <w:p w14:paraId="1DD2CB97" w14:textId="77777777" w:rsidR="00342C07" w:rsidRPr="00630129" w:rsidRDefault="00342C07" w:rsidP="00F60AD8">
            <w:pPr>
              <w:rPr>
                <w:sz w:val="22"/>
                <w:szCs w:val="22"/>
              </w:rPr>
            </w:pPr>
            <w:r w:rsidRPr="00630129">
              <w:rPr>
                <w:sz w:val="22"/>
                <w:szCs w:val="22"/>
              </w:rPr>
              <w:t>Non-BM STOR Instructed Volume</w:t>
            </w:r>
          </w:p>
        </w:tc>
        <w:tc>
          <w:tcPr>
            <w:tcW w:w="974" w:type="pct"/>
            <w:tcMar>
              <w:top w:w="85" w:type="dxa"/>
              <w:left w:w="85" w:type="dxa"/>
              <w:bottom w:w="85" w:type="dxa"/>
              <w:right w:w="85" w:type="dxa"/>
            </w:tcMar>
          </w:tcPr>
          <w:p w14:paraId="3AD926AA"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37AD142F"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05EC3368" w14:textId="77777777" w:rsidR="00342C07" w:rsidRPr="00630129" w:rsidRDefault="00342C07" w:rsidP="00F60AD8">
            <w:pPr>
              <w:rPr>
                <w:sz w:val="22"/>
                <w:szCs w:val="22"/>
              </w:rPr>
            </w:pPr>
            <w:r w:rsidRPr="00630129">
              <w:rPr>
                <w:sz w:val="22"/>
                <w:szCs w:val="22"/>
              </w:rPr>
              <w:t>The volume of Short Term Operating Reserve instructed by the NETSO outside of the balancing mechanism in order to increase generation or reduce demand.</w:t>
            </w:r>
          </w:p>
        </w:tc>
      </w:tr>
      <w:tr w:rsidR="00342C07" w:rsidRPr="00630129" w14:paraId="2A0F1C98"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D8D574B" w14:textId="77777777" w:rsidR="00342C07" w:rsidRPr="00630129" w:rsidRDefault="00342C07" w:rsidP="00F60AD8">
            <w:pPr>
              <w:rPr>
                <w:sz w:val="22"/>
                <w:szCs w:val="22"/>
              </w:rPr>
            </w:pPr>
            <w:r w:rsidRPr="00630129">
              <w:rPr>
                <w:sz w:val="22"/>
                <w:szCs w:val="22"/>
              </w:rPr>
              <w:t>Non-BM STOR Instruction</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25AB48E" w14:textId="77777777" w:rsidR="00342C07" w:rsidRPr="00630129" w:rsidRDefault="00342C07" w:rsidP="00F60AD8">
            <w:pPr>
              <w:rPr>
                <w:sz w:val="22"/>
                <w:szCs w:val="22"/>
              </w:rPr>
            </w:pPr>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CCDA366" w14:textId="77777777" w:rsidR="00342C07" w:rsidRPr="00630129" w:rsidRDefault="00342C07" w:rsidP="00F60AD8">
            <w:pPr>
              <w:rPr>
                <w:sz w:val="22"/>
                <w:szCs w:val="22"/>
              </w:rPr>
            </w:pP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802449E" w14:textId="77777777" w:rsidR="00342C07" w:rsidRPr="00630129" w:rsidRDefault="00342C07" w:rsidP="00F60AD8">
            <w:pPr>
              <w:rPr>
                <w:sz w:val="22"/>
                <w:szCs w:val="22"/>
              </w:rPr>
            </w:pPr>
            <w:r w:rsidRPr="00630129">
              <w:rPr>
                <w:sz w:val="22"/>
                <w:szCs w:val="22"/>
              </w:rPr>
              <w:t>A Short Term Operating Reserve instruction given by the NETSO outside of the balancing mechanism in order to increase generation or reduce demand.</w:t>
            </w:r>
          </w:p>
        </w:tc>
      </w:tr>
      <w:tr w:rsidR="00342C07" w:rsidRPr="00630129" w14:paraId="660121C5" w14:textId="77777777" w:rsidTr="00A63BA8">
        <w:trPr>
          <w:cantSplit/>
        </w:trPr>
        <w:tc>
          <w:tcPr>
            <w:tcW w:w="994" w:type="pct"/>
            <w:tcMar>
              <w:top w:w="85" w:type="dxa"/>
              <w:left w:w="85" w:type="dxa"/>
              <w:bottom w:w="85" w:type="dxa"/>
              <w:right w:w="85" w:type="dxa"/>
            </w:tcMar>
          </w:tcPr>
          <w:p w14:paraId="20C8B9BA" w14:textId="77777777" w:rsidR="00342C07" w:rsidRPr="00630129" w:rsidRDefault="00342C07" w:rsidP="00F60AD8">
            <w:pPr>
              <w:rPr>
                <w:sz w:val="22"/>
                <w:szCs w:val="22"/>
              </w:rPr>
            </w:pPr>
            <w:r w:rsidRPr="00630129">
              <w:rPr>
                <w:sz w:val="22"/>
                <w:szCs w:val="22"/>
              </w:rPr>
              <w:t>Non-Delivered Bid Charge</w:t>
            </w:r>
          </w:p>
        </w:tc>
        <w:tc>
          <w:tcPr>
            <w:tcW w:w="974" w:type="pct"/>
            <w:tcMar>
              <w:top w:w="85" w:type="dxa"/>
              <w:left w:w="85" w:type="dxa"/>
              <w:bottom w:w="85" w:type="dxa"/>
              <w:right w:w="85" w:type="dxa"/>
            </w:tcMar>
          </w:tcPr>
          <w:p w14:paraId="4F89EB7D" w14:textId="77777777" w:rsidR="00342C07" w:rsidRPr="00630129" w:rsidRDefault="00342C07" w:rsidP="00F60AD8">
            <w:pPr>
              <w:rPr>
                <w:sz w:val="22"/>
                <w:szCs w:val="22"/>
              </w:rPr>
            </w:pPr>
            <w:proofErr w:type="spellStart"/>
            <w:r w:rsidRPr="00630129">
              <w:rPr>
                <w:sz w:val="22"/>
                <w:szCs w:val="22"/>
              </w:rPr>
              <w:t>CNDB</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791BE8DB"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3EC12094" w14:textId="77777777" w:rsidR="00342C07" w:rsidRPr="00630129" w:rsidRDefault="00342C07" w:rsidP="00F60AD8">
            <w:pPr>
              <w:spacing w:after="120"/>
              <w:rPr>
                <w:sz w:val="22"/>
                <w:szCs w:val="22"/>
              </w:rPr>
            </w:pPr>
            <w:r w:rsidRPr="00630129">
              <w:rPr>
                <w:sz w:val="22"/>
                <w:szCs w:val="22"/>
              </w:rPr>
              <w:t>The amount determined in accordance with Section T4.8.12.</w:t>
            </w:r>
          </w:p>
          <w:p w14:paraId="120BB3E5" w14:textId="77777777" w:rsidR="00342C07" w:rsidRPr="00630129" w:rsidRDefault="00342C07" w:rsidP="00F60AD8">
            <w:pPr>
              <w:rPr>
                <w:i/>
                <w:sz w:val="22"/>
                <w:szCs w:val="22"/>
              </w:rPr>
            </w:pPr>
            <w:r w:rsidRPr="00630129">
              <w:rPr>
                <w:i/>
                <w:sz w:val="22"/>
                <w:szCs w:val="22"/>
              </w:rPr>
              <w:t xml:space="preserve">The Non-Delivered Bid Charge is a charge in Settlement Period j, that may relate to an accepted Bid n, that is determined not to have been delivered (either wholly or in part) from BM Unit </w:t>
            </w:r>
            <w:proofErr w:type="spellStart"/>
            <w:r w:rsidRPr="00630129">
              <w:rPr>
                <w:i/>
                <w:sz w:val="22"/>
                <w:szCs w:val="22"/>
              </w:rPr>
              <w:t>i</w:t>
            </w:r>
            <w:proofErr w:type="spellEnd"/>
            <w:r w:rsidRPr="00630129">
              <w:rPr>
                <w:i/>
                <w:sz w:val="22"/>
                <w:szCs w:val="22"/>
              </w:rPr>
              <w:t>.</w:t>
            </w:r>
          </w:p>
        </w:tc>
      </w:tr>
      <w:tr w:rsidR="00342C07" w:rsidRPr="00630129" w14:paraId="24288983" w14:textId="77777777" w:rsidTr="00A63BA8">
        <w:trPr>
          <w:cantSplit/>
        </w:trPr>
        <w:tc>
          <w:tcPr>
            <w:tcW w:w="994" w:type="pct"/>
            <w:tcMar>
              <w:top w:w="85" w:type="dxa"/>
              <w:left w:w="85" w:type="dxa"/>
              <w:bottom w:w="85" w:type="dxa"/>
              <w:right w:w="85" w:type="dxa"/>
            </w:tcMar>
          </w:tcPr>
          <w:p w14:paraId="54796AA4" w14:textId="77777777" w:rsidR="00342C07" w:rsidRPr="00630129" w:rsidRDefault="00342C07" w:rsidP="00F60AD8">
            <w:pPr>
              <w:rPr>
                <w:sz w:val="22"/>
                <w:szCs w:val="22"/>
              </w:rPr>
            </w:pPr>
            <w:r w:rsidRPr="00630129">
              <w:rPr>
                <w:sz w:val="22"/>
                <w:szCs w:val="22"/>
              </w:rPr>
              <w:t>Non-Delivered Bid Price</w:t>
            </w:r>
          </w:p>
        </w:tc>
        <w:tc>
          <w:tcPr>
            <w:tcW w:w="974" w:type="pct"/>
            <w:tcMar>
              <w:top w:w="85" w:type="dxa"/>
              <w:left w:w="85" w:type="dxa"/>
              <w:bottom w:w="85" w:type="dxa"/>
              <w:right w:w="85" w:type="dxa"/>
            </w:tcMar>
          </w:tcPr>
          <w:p w14:paraId="50FCFAE1" w14:textId="77777777" w:rsidR="00342C07" w:rsidRPr="00630129" w:rsidRDefault="00342C07" w:rsidP="00F60AD8">
            <w:pPr>
              <w:rPr>
                <w:sz w:val="22"/>
                <w:szCs w:val="22"/>
              </w:rPr>
            </w:pPr>
            <w:proofErr w:type="spellStart"/>
            <w:r w:rsidRPr="00630129">
              <w:rPr>
                <w:sz w:val="22"/>
                <w:szCs w:val="22"/>
              </w:rPr>
              <w:t>NDPB</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143179C2"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4918D028" w14:textId="77777777" w:rsidR="00342C07" w:rsidRPr="00630129" w:rsidRDefault="00342C07" w:rsidP="00F60AD8">
            <w:pPr>
              <w:spacing w:after="120"/>
              <w:rPr>
                <w:sz w:val="22"/>
                <w:szCs w:val="22"/>
              </w:rPr>
            </w:pPr>
            <w:r w:rsidRPr="00630129">
              <w:rPr>
                <w:sz w:val="22"/>
                <w:szCs w:val="22"/>
              </w:rPr>
              <w:t>The amount determined in accordance Section T4.8.19, T4.8.20 and T4.8.21.</w:t>
            </w:r>
          </w:p>
          <w:p w14:paraId="57F66FB6" w14:textId="77777777" w:rsidR="00342C07" w:rsidRPr="00630129" w:rsidRDefault="00342C07" w:rsidP="00F60AD8">
            <w:pPr>
              <w:rPr>
                <w:sz w:val="22"/>
                <w:szCs w:val="22"/>
              </w:rPr>
            </w:pPr>
            <w:r w:rsidRPr="00630129">
              <w:rPr>
                <w:i/>
                <w:sz w:val="22"/>
                <w:szCs w:val="22"/>
              </w:rPr>
              <w:t>The amount in £/MWh associated with an Accepted Bid (being an Accepted Bid or a downward Quarter Hour RR Activation) that is allocated to Period BM Non-Delivered Bid Volume.</w:t>
            </w:r>
          </w:p>
        </w:tc>
      </w:tr>
      <w:tr w:rsidR="00342C07" w:rsidRPr="00630129" w14:paraId="3DDC40AA" w14:textId="77777777" w:rsidTr="00A63BA8">
        <w:trPr>
          <w:cantSplit/>
        </w:trPr>
        <w:tc>
          <w:tcPr>
            <w:tcW w:w="994" w:type="pct"/>
            <w:tcMar>
              <w:top w:w="85" w:type="dxa"/>
              <w:left w:w="85" w:type="dxa"/>
              <w:bottom w:w="85" w:type="dxa"/>
              <w:right w:w="85" w:type="dxa"/>
            </w:tcMar>
          </w:tcPr>
          <w:p w14:paraId="42302BC0" w14:textId="77777777" w:rsidR="00342C07" w:rsidRPr="00630129" w:rsidRDefault="00342C07" w:rsidP="00F60AD8">
            <w:pPr>
              <w:rPr>
                <w:sz w:val="22"/>
                <w:szCs w:val="22"/>
              </w:rPr>
            </w:pPr>
            <w:r w:rsidRPr="00630129">
              <w:rPr>
                <w:sz w:val="22"/>
                <w:szCs w:val="22"/>
              </w:rPr>
              <w:t>Non-Delivered Offer Charge</w:t>
            </w:r>
          </w:p>
        </w:tc>
        <w:tc>
          <w:tcPr>
            <w:tcW w:w="974" w:type="pct"/>
            <w:tcMar>
              <w:top w:w="85" w:type="dxa"/>
              <w:left w:w="85" w:type="dxa"/>
              <w:bottom w:w="85" w:type="dxa"/>
              <w:right w:w="85" w:type="dxa"/>
            </w:tcMar>
          </w:tcPr>
          <w:p w14:paraId="4D0B3154" w14:textId="77777777" w:rsidR="00342C07" w:rsidRPr="00630129" w:rsidRDefault="00342C07" w:rsidP="00F60AD8">
            <w:pPr>
              <w:rPr>
                <w:sz w:val="22"/>
                <w:szCs w:val="22"/>
              </w:rPr>
            </w:pPr>
            <w:proofErr w:type="spellStart"/>
            <w:r w:rsidRPr="00630129">
              <w:rPr>
                <w:sz w:val="22"/>
                <w:szCs w:val="22"/>
              </w:rPr>
              <w:t>CNDO</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41702F6B" w14:textId="77777777" w:rsidR="00342C07" w:rsidRPr="00630129" w:rsidRDefault="00342C07" w:rsidP="00F60AD8">
            <w:pPr>
              <w:rPr>
                <w:sz w:val="22"/>
                <w:szCs w:val="22"/>
              </w:rPr>
            </w:pPr>
            <w:r w:rsidRPr="00630129">
              <w:rPr>
                <w:sz w:val="22"/>
                <w:szCs w:val="22"/>
              </w:rPr>
              <w:t>£</w:t>
            </w:r>
          </w:p>
        </w:tc>
        <w:tc>
          <w:tcPr>
            <w:tcW w:w="2540" w:type="pct"/>
            <w:tcMar>
              <w:top w:w="85" w:type="dxa"/>
              <w:left w:w="85" w:type="dxa"/>
              <w:bottom w:w="85" w:type="dxa"/>
              <w:right w:w="85" w:type="dxa"/>
            </w:tcMar>
          </w:tcPr>
          <w:p w14:paraId="07D7F5CA" w14:textId="77777777" w:rsidR="00342C07" w:rsidRPr="00630129" w:rsidRDefault="00342C07" w:rsidP="00F60AD8">
            <w:pPr>
              <w:spacing w:after="120"/>
              <w:rPr>
                <w:sz w:val="22"/>
                <w:szCs w:val="22"/>
              </w:rPr>
            </w:pPr>
            <w:r w:rsidRPr="00630129">
              <w:rPr>
                <w:sz w:val="22"/>
                <w:szCs w:val="22"/>
              </w:rPr>
              <w:t>The amount determined in accordance with Section T4.8.11.</w:t>
            </w:r>
          </w:p>
          <w:p w14:paraId="02FCF8AA" w14:textId="77777777" w:rsidR="00342C07" w:rsidRPr="00630129" w:rsidRDefault="00342C07" w:rsidP="00F60AD8">
            <w:pPr>
              <w:rPr>
                <w:i/>
                <w:sz w:val="22"/>
                <w:szCs w:val="22"/>
              </w:rPr>
            </w:pPr>
            <w:r w:rsidRPr="00630129">
              <w:rPr>
                <w:i/>
                <w:sz w:val="22"/>
                <w:szCs w:val="22"/>
              </w:rPr>
              <w:t xml:space="preserve">The Non-Delivered Offer Charge is a charge in Settlement Period j, that may relate to an accepted Offer n, that is determined not to have been delivered (either wholly or in part) from BM Unit </w:t>
            </w:r>
            <w:proofErr w:type="spellStart"/>
            <w:r w:rsidRPr="00630129">
              <w:rPr>
                <w:i/>
                <w:sz w:val="22"/>
                <w:szCs w:val="22"/>
              </w:rPr>
              <w:t>i</w:t>
            </w:r>
            <w:proofErr w:type="spellEnd"/>
            <w:r w:rsidRPr="00630129">
              <w:rPr>
                <w:i/>
                <w:sz w:val="22"/>
                <w:szCs w:val="22"/>
              </w:rPr>
              <w:t>.</w:t>
            </w:r>
          </w:p>
        </w:tc>
      </w:tr>
      <w:tr w:rsidR="00342C07" w:rsidRPr="00630129" w14:paraId="15B307F8" w14:textId="77777777" w:rsidTr="00A63BA8">
        <w:trPr>
          <w:cantSplit/>
        </w:trPr>
        <w:tc>
          <w:tcPr>
            <w:tcW w:w="994" w:type="pct"/>
            <w:tcMar>
              <w:top w:w="85" w:type="dxa"/>
              <w:left w:w="85" w:type="dxa"/>
              <w:bottom w:w="85" w:type="dxa"/>
              <w:right w:w="85" w:type="dxa"/>
            </w:tcMar>
          </w:tcPr>
          <w:p w14:paraId="45A9885C" w14:textId="77777777" w:rsidR="00342C07" w:rsidRPr="00630129" w:rsidRDefault="00342C07" w:rsidP="00F60AD8">
            <w:pPr>
              <w:rPr>
                <w:sz w:val="22"/>
                <w:szCs w:val="22"/>
              </w:rPr>
            </w:pPr>
            <w:r w:rsidRPr="00630129">
              <w:rPr>
                <w:sz w:val="22"/>
                <w:szCs w:val="22"/>
              </w:rPr>
              <w:lastRenderedPageBreak/>
              <w:t>Non-Delivered Offer Price</w:t>
            </w:r>
          </w:p>
        </w:tc>
        <w:tc>
          <w:tcPr>
            <w:tcW w:w="974" w:type="pct"/>
            <w:tcMar>
              <w:top w:w="85" w:type="dxa"/>
              <w:left w:w="85" w:type="dxa"/>
              <w:bottom w:w="85" w:type="dxa"/>
              <w:right w:w="85" w:type="dxa"/>
            </w:tcMar>
          </w:tcPr>
          <w:p w14:paraId="13E110A9" w14:textId="77777777" w:rsidR="00342C07" w:rsidRPr="00630129" w:rsidRDefault="00342C07" w:rsidP="00F60AD8">
            <w:pPr>
              <w:rPr>
                <w:sz w:val="22"/>
                <w:szCs w:val="22"/>
              </w:rPr>
            </w:pPr>
            <w:proofErr w:type="spellStart"/>
            <w:r w:rsidRPr="00630129">
              <w:rPr>
                <w:sz w:val="22"/>
                <w:szCs w:val="22"/>
              </w:rPr>
              <w:t>NDPO</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3C48D1B3"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50A1A39B" w14:textId="77777777" w:rsidR="00342C07" w:rsidRPr="00630129" w:rsidRDefault="00342C07" w:rsidP="00F60AD8">
            <w:pPr>
              <w:spacing w:after="120"/>
              <w:rPr>
                <w:sz w:val="22"/>
                <w:szCs w:val="22"/>
              </w:rPr>
            </w:pPr>
            <w:r w:rsidRPr="00630129">
              <w:rPr>
                <w:sz w:val="22"/>
                <w:szCs w:val="22"/>
              </w:rPr>
              <w:t>The amount determined in accordance Section T4.8.16, T4.8.17 and T4.8.18.</w:t>
            </w:r>
          </w:p>
          <w:p w14:paraId="640E5A82" w14:textId="77777777" w:rsidR="00342C07" w:rsidRPr="00630129" w:rsidRDefault="00342C07" w:rsidP="00F60AD8">
            <w:pPr>
              <w:rPr>
                <w:sz w:val="22"/>
                <w:szCs w:val="22"/>
              </w:rPr>
            </w:pPr>
            <w:r w:rsidRPr="00630129">
              <w:rPr>
                <w:i/>
                <w:sz w:val="22"/>
                <w:szCs w:val="22"/>
              </w:rPr>
              <w:t>The amount in £/MWh associated with an Accepted Offer (being an Accepted Offer or an upward Quarter Hour RR Activation) that is allocated to Period BM Non-Delivered Offer Volume.</w:t>
            </w:r>
          </w:p>
        </w:tc>
      </w:tr>
      <w:tr w:rsidR="00342C07" w:rsidRPr="00630129" w14:paraId="3CDA8AC2" w14:textId="77777777" w:rsidTr="00A63BA8">
        <w:trPr>
          <w:cantSplit/>
        </w:trPr>
        <w:tc>
          <w:tcPr>
            <w:tcW w:w="994" w:type="pct"/>
            <w:tcMar>
              <w:top w:w="85" w:type="dxa"/>
              <w:left w:w="85" w:type="dxa"/>
              <w:bottom w:w="85" w:type="dxa"/>
              <w:right w:w="85" w:type="dxa"/>
            </w:tcMar>
          </w:tcPr>
          <w:p w14:paraId="1045674D" w14:textId="77777777" w:rsidR="00342C07" w:rsidRPr="00630129" w:rsidRDefault="00342C07" w:rsidP="00F60AD8">
            <w:pPr>
              <w:rPr>
                <w:sz w:val="22"/>
                <w:szCs w:val="22"/>
              </w:rPr>
            </w:pPr>
            <w:r w:rsidRPr="00630129">
              <w:rPr>
                <w:sz w:val="22"/>
                <w:szCs w:val="22"/>
              </w:rPr>
              <w:t>Non-Delivery Order Number</w:t>
            </w:r>
          </w:p>
        </w:tc>
        <w:tc>
          <w:tcPr>
            <w:tcW w:w="974" w:type="pct"/>
            <w:tcMar>
              <w:top w:w="85" w:type="dxa"/>
              <w:left w:w="85" w:type="dxa"/>
              <w:bottom w:w="85" w:type="dxa"/>
              <w:right w:w="85" w:type="dxa"/>
            </w:tcMar>
          </w:tcPr>
          <w:p w14:paraId="51989CE9" w14:textId="77777777" w:rsidR="00342C07" w:rsidRPr="00630129" w:rsidRDefault="00342C07" w:rsidP="00F60AD8">
            <w:pPr>
              <w:rPr>
                <w:sz w:val="22"/>
                <w:szCs w:val="22"/>
              </w:rPr>
            </w:pPr>
            <w:r w:rsidRPr="00630129">
              <w:rPr>
                <w:sz w:val="22"/>
                <w:szCs w:val="22"/>
              </w:rPr>
              <w:t>u</w:t>
            </w:r>
          </w:p>
        </w:tc>
        <w:tc>
          <w:tcPr>
            <w:tcW w:w="492" w:type="pct"/>
            <w:tcMar>
              <w:top w:w="85" w:type="dxa"/>
              <w:left w:w="85" w:type="dxa"/>
              <w:bottom w:w="85" w:type="dxa"/>
              <w:right w:w="85" w:type="dxa"/>
            </w:tcMar>
          </w:tcPr>
          <w:p w14:paraId="66C8695D"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317F0302" w14:textId="77777777" w:rsidR="00342C07" w:rsidRPr="00630129" w:rsidRDefault="00342C07" w:rsidP="00F60AD8">
            <w:pPr>
              <w:spacing w:after="120"/>
              <w:rPr>
                <w:sz w:val="22"/>
                <w:szCs w:val="22"/>
              </w:rPr>
            </w:pPr>
            <w:r w:rsidRPr="00630129">
              <w:rPr>
                <w:sz w:val="22"/>
                <w:szCs w:val="22"/>
              </w:rPr>
              <w:t>The number allocated to an Offer or Bid in accordance with Section T4.8.4 or T4.8.8.</w:t>
            </w:r>
          </w:p>
          <w:p w14:paraId="70A31E9E" w14:textId="77777777" w:rsidR="00342C07" w:rsidRPr="00630129" w:rsidRDefault="00342C07" w:rsidP="00F60AD8">
            <w:pPr>
              <w:rPr>
                <w:i/>
                <w:sz w:val="22"/>
                <w:szCs w:val="22"/>
              </w:rPr>
            </w:pPr>
            <w:r w:rsidRPr="00630129">
              <w:rPr>
                <w:i/>
                <w:sz w:val="22"/>
                <w:szCs w:val="22"/>
              </w:rPr>
              <w:t>The Non-Delivery Order Number (u) is an index used to rank non-delivered Offers or Bids from a BM Unit in a particular Settlement Period in order to determine the order of allocation the Period BM Unit Non-Delivered Offer Volume, or the Period BM Unit Non-Delivered Bid Volume.</w:t>
            </w:r>
          </w:p>
        </w:tc>
      </w:tr>
      <w:tr w:rsidR="00342C07" w:rsidRPr="00630129" w14:paraId="28F042F8" w14:textId="77777777" w:rsidTr="00A63BA8">
        <w:trPr>
          <w:cantSplit/>
        </w:trPr>
        <w:tc>
          <w:tcPr>
            <w:tcW w:w="994" w:type="pct"/>
            <w:tcMar>
              <w:top w:w="85" w:type="dxa"/>
              <w:left w:w="85" w:type="dxa"/>
              <w:bottom w:w="85" w:type="dxa"/>
              <w:right w:w="85" w:type="dxa"/>
            </w:tcMar>
          </w:tcPr>
          <w:p w14:paraId="270A1BF4" w14:textId="77777777" w:rsidR="00342C07" w:rsidRPr="00630129" w:rsidRDefault="00342C07" w:rsidP="00F60AD8">
            <w:pPr>
              <w:rPr>
                <w:sz w:val="22"/>
                <w:szCs w:val="22"/>
              </w:rPr>
            </w:pPr>
            <w:r w:rsidRPr="00630129">
              <w:rPr>
                <w:sz w:val="22"/>
                <w:szCs w:val="22"/>
              </w:rPr>
              <w:t>Non-Working Day Credit Assessment Load Factor</w:t>
            </w:r>
          </w:p>
        </w:tc>
        <w:tc>
          <w:tcPr>
            <w:tcW w:w="974" w:type="pct"/>
            <w:tcMar>
              <w:top w:w="85" w:type="dxa"/>
              <w:left w:w="85" w:type="dxa"/>
              <w:bottom w:w="85" w:type="dxa"/>
              <w:right w:w="85" w:type="dxa"/>
            </w:tcMar>
          </w:tcPr>
          <w:p w14:paraId="49DF338F" w14:textId="77777777" w:rsidR="00342C07" w:rsidRPr="00630129" w:rsidRDefault="00342C07" w:rsidP="00F60AD8">
            <w:pPr>
              <w:rPr>
                <w:sz w:val="22"/>
                <w:szCs w:val="22"/>
              </w:rPr>
            </w:pPr>
            <w:proofErr w:type="spellStart"/>
            <w:r w:rsidRPr="00630129">
              <w:rPr>
                <w:sz w:val="22"/>
                <w:szCs w:val="22"/>
              </w:rPr>
              <w:t>NWDCALF</w:t>
            </w:r>
            <w:r w:rsidRPr="00630129">
              <w:rPr>
                <w:sz w:val="22"/>
                <w:szCs w:val="22"/>
                <w:vertAlign w:val="subscript"/>
              </w:rPr>
              <w:t>i</w:t>
            </w:r>
            <w:proofErr w:type="spellEnd"/>
          </w:p>
        </w:tc>
        <w:tc>
          <w:tcPr>
            <w:tcW w:w="492" w:type="pct"/>
            <w:tcMar>
              <w:top w:w="85" w:type="dxa"/>
              <w:left w:w="85" w:type="dxa"/>
              <w:bottom w:w="85" w:type="dxa"/>
              <w:right w:w="85" w:type="dxa"/>
            </w:tcMar>
          </w:tcPr>
          <w:p w14:paraId="12C9DF93"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6592D015" w14:textId="77777777" w:rsidR="00342C07" w:rsidRPr="00630129" w:rsidRDefault="00342C07" w:rsidP="00F60AD8">
            <w:pPr>
              <w:spacing w:after="120"/>
              <w:rPr>
                <w:sz w:val="22"/>
                <w:szCs w:val="22"/>
              </w:rPr>
            </w:pPr>
            <w:r w:rsidRPr="00630129">
              <w:rPr>
                <w:sz w:val="22"/>
                <w:szCs w:val="22"/>
              </w:rPr>
              <w:t>Is defined in Annex X-1.</w:t>
            </w:r>
          </w:p>
          <w:p w14:paraId="4C45B2FC" w14:textId="77777777" w:rsidR="00342C07" w:rsidRPr="00630129" w:rsidRDefault="00342C07" w:rsidP="00F60AD8">
            <w:pPr>
              <w:rPr>
                <w:sz w:val="22"/>
                <w:szCs w:val="22"/>
              </w:rPr>
            </w:pPr>
            <w:r w:rsidRPr="00630129">
              <w:rPr>
                <w:i/>
                <w:sz w:val="22"/>
                <w:szCs w:val="22"/>
              </w:rPr>
              <w:t>The factor is used to establish the BM Unit Credit Assessment Export Capability and BM Unit Credit Assessment Import Capability for BM Unit </w:t>
            </w:r>
            <w:proofErr w:type="spellStart"/>
            <w:r w:rsidRPr="00630129">
              <w:rPr>
                <w:i/>
                <w:sz w:val="22"/>
                <w:szCs w:val="22"/>
              </w:rPr>
              <w:t>i</w:t>
            </w:r>
            <w:proofErr w:type="spellEnd"/>
            <w:r w:rsidRPr="00630129">
              <w:rPr>
                <w:i/>
                <w:sz w:val="22"/>
                <w:szCs w:val="22"/>
              </w:rPr>
              <w:t xml:space="preserve"> on a CALF Non-Working Day determined for the purposes of Credit Assessment Load Factor.</w:t>
            </w:r>
          </w:p>
        </w:tc>
      </w:tr>
      <w:tr w:rsidR="00342C07" w:rsidRPr="00630129" w14:paraId="30F3542E" w14:textId="77777777" w:rsidTr="00A63BA8">
        <w:trPr>
          <w:cantSplit/>
        </w:trPr>
        <w:tc>
          <w:tcPr>
            <w:tcW w:w="994" w:type="pct"/>
            <w:tcMar>
              <w:top w:w="85" w:type="dxa"/>
              <w:left w:w="85" w:type="dxa"/>
              <w:bottom w:w="85" w:type="dxa"/>
              <w:right w:w="85" w:type="dxa"/>
            </w:tcMar>
          </w:tcPr>
          <w:p w14:paraId="2445DA45" w14:textId="77777777" w:rsidR="00342C07" w:rsidRPr="00630129" w:rsidRDefault="00342C07" w:rsidP="00F60AD8">
            <w:pPr>
              <w:rPr>
                <w:sz w:val="22"/>
                <w:szCs w:val="22"/>
              </w:rPr>
            </w:pPr>
            <w:r w:rsidRPr="00630129">
              <w:rPr>
                <w:sz w:val="22"/>
                <w:szCs w:val="22"/>
              </w:rPr>
              <w:t>Normal Reference Temperature</w:t>
            </w:r>
          </w:p>
        </w:tc>
        <w:tc>
          <w:tcPr>
            <w:tcW w:w="974" w:type="pct"/>
            <w:tcMar>
              <w:top w:w="85" w:type="dxa"/>
              <w:left w:w="85" w:type="dxa"/>
              <w:bottom w:w="85" w:type="dxa"/>
              <w:right w:w="85" w:type="dxa"/>
            </w:tcMar>
          </w:tcPr>
          <w:p w14:paraId="26D3490F"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12A67C93" w14:textId="77777777" w:rsidR="00342C07" w:rsidRPr="00630129" w:rsidRDefault="00342C07" w:rsidP="00F60AD8">
            <w:pPr>
              <w:rPr>
                <w:sz w:val="22"/>
                <w:szCs w:val="22"/>
              </w:rPr>
            </w:pPr>
            <w:r w:rsidRPr="00630129">
              <w:rPr>
                <w:sz w:val="22"/>
                <w:szCs w:val="22"/>
              </w:rPr>
              <w:t xml:space="preserve">Degrees </w:t>
            </w:r>
            <w:proofErr w:type="spellStart"/>
            <w:r w:rsidRPr="00630129">
              <w:rPr>
                <w:sz w:val="22"/>
                <w:szCs w:val="22"/>
              </w:rPr>
              <w:t>celsius</w:t>
            </w:r>
            <w:proofErr w:type="spellEnd"/>
          </w:p>
        </w:tc>
        <w:tc>
          <w:tcPr>
            <w:tcW w:w="2540" w:type="pct"/>
            <w:tcMar>
              <w:top w:w="85" w:type="dxa"/>
              <w:left w:w="85" w:type="dxa"/>
              <w:bottom w:w="85" w:type="dxa"/>
              <w:right w:w="85" w:type="dxa"/>
            </w:tcMar>
          </w:tcPr>
          <w:p w14:paraId="1805C8C1" w14:textId="77777777" w:rsidR="00342C07" w:rsidRPr="00630129" w:rsidRDefault="00342C07" w:rsidP="00F60AD8">
            <w:pPr>
              <w:rPr>
                <w:sz w:val="22"/>
                <w:szCs w:val="22"/>
              </w:rPr>
            </w:pPr>
            <w:r w:rsidRPr="00630129">
              <w:rPr>
                <w:sz w:val="22"/>
                <w:szCs w:val="22"/>
              </w:rPr>
              <w:t>The daily average temperature for Great Britain which was exceeded on 50% of days during a 30 year historic period.</w:t>
            </w:r>
          </w:p>
        </w:tc>
      </w:tr>
      <w:tr w:rsidR="00342C07" w:rsidRPr="00630129" w14:paraId="5D588060" w14:textId="77777777" w:rsidTr="00A63BA8">
        <w:trPr>
          <w:cantSplit/>
        </w:trPr>
        <w:tc>
          <w:tcPr>
            <w:tcW w:w="994" w:type="pct"/>
            <w:tcMar>
              <w:top w:w="85" w:type="dxa"/>
              <w:left w:w="85" w:type="dxa"/>
              <w:bottom w:w="85" w:type="dxa"/>
              <w:right w:w="85" w:type="dxa"/>
            </w:tcMar>
          </w:tcPr>
          <w:p w14:paraId="01F127CE" w14:textId="77777777" w:rsidR="00342C07" w:rsidRPr="00630129" w:rsidRDefault="00342C07" w:rsidP="00F60AD8">
            <w:pPr>
              <w:rPr>
                <w:sz w:val="22"/>
                <w:szCs w:val="22"/>
              </w:rPr>
            </w:pPr>
            <w:r w:rsidRPr="00630129">
              <w:rPr>
                <w:sz w:val="22"/>
                <w:szCs w:val="22"/>
              </w:rPr>
              <w:t>Normal Reference Transmission Energy</w:t>
            </w:r>
          </w:p>
        </w:tc>
        <w:tc>
          <w:tcPr>
            <w:tcW w:w="974" w:type="pct"/>
            <w:tcMar>
              <w:top w:w="85" w:type="dxa"/>
              <w:left w:w="85" w:type="dxa"/>
              <w:bottom w:w="85" w:type="dxa"/>
              <w:right w:w="85" w:type="dxa"/>
            </w:tcMar>
          </w:tcPr>
          <w:p w14:paraId="1B90BB11"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1A653B9E"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38ACEEF8" w14:textId="77777777" w:rsidR="00342C07" w:rsidRPr="00630129" w:rsidRDefault="00342C07" w:rsidP="00F60AD8">
            <w:pPr>
              <w:rPr>
                <w:sz w:val="22"/>
                <w:szCs w:val="22"/>
              </w:rPr>
            </w:pPr>
            <w:r w:rsidRPr="00630129">
              <w:rPr>
                <w:sz w:val="22"/>
                <w:szCs w:val="22"/>
              </w:rPr>
              <w:t>The daily aggregate Transmission Energy which was exceeded on 50% of days during a 30 year historic period.</w:t>
            </w:r>
          </w:p>
        </w:tc>
      </w:tr>
      <w:tr w:rsidR="00342C07" w:rsidRPr="00630129" w14:paraId="239CD539" w14:textId="77777777" w:rsidTr="00A63BA8">
        <w:trPr>
          <w:cantSplit/>
        </w:trPr>
        <w:tc>
          <w:tcPr>
            <w:tcW w:w="994" w:type="pct"/>
            <w:tcMar>
              <w:top w:w="85" w:type="dxa"/>
              <w:left w:w="85" w:type="dxa"/>
              <w:bottom w:w="85" w:type="dxa"/>
              <w:right w:w="85" w:type="dxa"/>
            </w:tcMar>
          </w:tcPr>
          <w:p w14:paraId="2741CC60" w14:textId="77777777" w:rsidR="00342C07" w:rsidRPr="00630129" w:rsidRDefault="00342C07" w:rsidP="00F60AD8">
            <w:pPr>
              <w:rPr>
                <w:sz w:val="22"/>
                <w:szCs w:val="22"/>
              </w:rPr>
            </w:pPr>
            <w:r w:rsidRPr="00630129">
              <w:rPr>
                <w:sz w:val="22"/>
                <w:szCs w:val="22"/>
              </w:rPr>
              <w:t>Notice to Deliver Bids</w:t>
            </w:r>
          </w:p>
        </w:tc>
        <w:tc>
          <w:tcPr>
            <w:tcW w:w="974" w:type="pct"/>
            <w:tcMar>
              <w:top w:w="85" w:type="dxa"/>
              <w:left w:w="85" w:type="dxa"/>
              <w:bottom w:w="85" w:type="dxa"/>
              <w:right w:w="85" w:type="dxa"/>
            </w:tcMar>
          </w:tcPr>
          <w:p w14:paraId="224A4F20"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17CA46B5"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46075D8D" w14:textId="77777777" w:rsidR="00342C07" w:rsidRPr="00630129" w:rsidRDefault="00342C07" w:rsidP="00F60AD8">
            <w:pPr>
              <w:rPr>
                <w:sz w:val="22"/>
                <w:szCs w:val="22"/>
              </w:rPr>
            </w:pPr>
            <w:r w:rsidRPr="00630129">
              <w:rPr>
                <w:sz w:val="22"/>
                <w:szCs w:val="22"/>
              </w:rPr>
              <w:t>Has the meaning given to that term in BC1 of the Grid Code.</w:t>
            </w:r>
          </w:p>
        </w:tc>
      </w:tr>
      <w:tr w:rsidR="00342C07" w:rsidRPr="00630129" w14:paraId="0BD31165" w14:textId="77777777" w:rsidTr="00A63BA8">
        <w:trPr>
          <w:cantSplit/>
        </w:trPr>
        <w:tc>
          <w:tcPr>
            <w:tcW w:w="994" w:type="pct"/>
            <w:tcMar>
              <w:top w:w="85" w:type="dxa"/>
              <w:left w:w="85" w:type="dxa"/>
              <w:bottom w:w="85" w:type="dxa"/>
              <w:right w:w="85" w:type="dxa"/>
            </w:tcMar>
          </w:tcPr>
          <w:p w14:paraId="52ACADDE" w14:textId="77777777" w:rsidR="00342C07" w:rsidRPr="00630129" w:rsidRDefault="00342C07" w:rsidP="00F60AD8">
            <w:pPr>
              <w:rPr>
                <w:sz w:val="22"/>
                <w:szCs w:val="22"/>
              </w:rPr>
            </w:pPr>
            <w:r w:rsidRPr="00630129">
              <w:rPr>
                <w:sz w:val="22"/>
                <w:szCs w:val="22"/>
              </w:rPr>
              <w:t>Notice to Deliver Offers</w:t>
            </w:r>
          </w:p>
        </w:tc>
        <w:tc>
          <w:tcPr>
            <w:tcW w:w="974" w:type="pct"/>
            <w:tcMar>
              <w:top w:w="85" w:type="dxa"/>
              <w:left w:w="85" w:type="dxa"/>
              <w:bottom w:w="85" w:type="dxa"/>
              <w:right w:w="85" w:type="dxa"/>
            </w:tcMar>
          </w:tcPr>
          <w:p w14:paraId="45970666"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4DDD4E58"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3E137743" w14:textId="77777777" w:rsidR="00342C07" w:rsidRPr="00630129" w:rsidRDefault="00342C07" w:rsidP="00F60AD8">
            <w:pPr>
              <w:rPr>
                <w:sz w:val="22"/>
                <w:szCs w:val="22"/>
              </w:rPr>
            </w:pPr>
            <w:r w:rsidRPr="00630129">
              <w:rPr>
                <w:sz w:val="22"/>
                <w:szCs w:val="22"/>
              </w:rPr>
              <w:t>Has the meaning given to that term in BC1 of the Grid Code.</w:t>
            </w:r>
          </w:p>
        </w:tc>
      </w:tr>
      <w:tr w:rsidR="00342C07" w:rsidRPr="00630129" w14:paraId="307983E2" w14:textId="77777777" w:rsidTr="00A63BA8">
        <w:trPr>
          <w:cantSplit/>
        </w:trPr>
        <w:tc>
          <w:tcPr>
            <w:tcW w:w="994" w:type="pct"/>
            <w:tcMar>
              <w:top w:w="85" w:type="dxa"/>
              <w:left w:w="85" w:type="dxa"/>
              <w:bottom w:w="85" w:type="dxa"/>
              <w:right w:w="85" w:type="dxa"/>
            </w:tcMar>
          </w:tcPr>
          <w:p w14:paraId="3B4F112E" w14:textId="77777777" w:rsidR="00342C07" w:rsidRPr="00630129" w:rsidRDefault="00342C07" w:rsidP="00F60AD8">
            <w:pPr>
              <w:rPr>
                <w:sz w:val="22"/>
                <w:szCs w:val="22"/>
              </w:rPr>
            </w:pPr>
            <w:r w:rsidRPr="00630129">
              <w:rPr>
                <w:sz w:val="22"/>
                <w:szCs w:val="22"/>
              </w:rPr>
              <w:t>Notice to Deviate from Zero</w:t>
            </w:r>
          </w:p>
        </w:tc>
        <w:tc>
          <w:tcPr>
            <w:tcW w:w="974" w:type="pct"/>
            <w:tcMar>
              <w:top w:w="85" w:type="dxa"/>
              <w:left w:w="85" w:type="dxa"/>
              <w:bottom w:w="85" w:type="dxa"/>
              <w:right w:w="85" w:type="dxa"/>
            </w:tcMar>
          </w:tcPr>
          <w:p w14:paraId="6352E21B"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7DB92230"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4261795C" w14:textId="77777777" w:rsidR="00342C07" w:rsidRPr="00630129" w:rsidRDefault="00342C07" w:rsidP="00F60AD8">
            <w:pPr>
              <w:rPr>
                <w:sz w:val="22"/>
                <w:szCs w:val="22"/>
              </w:rPr>
            </w:pPr>
            <w:r w:rsidRPr="00630129">
              <w:rPr>
                <w:sz w:val="22"/>
                <w:szCs w:val="22"/>
              </w:rPr>
              <w:t>Has the meaning given to that term in BC1 of the Grid Code.</w:t>
            </w:r>
          </w:p>
        </w:tc>
      </w:tr>
      <w:tr w:rsidR="00342C07" w:rsidRPr="00630129" w14:paraId="1DA2087C" w14:textId="77777777" w:rsidTr="00A63BA8">
        <w:trPr>
          <w:cantSplit/>
        </w:trPr>
        <w:tc>
          <w:tcPr>
            <w:tcW w:w="994" w:type="pct"/>
            <w:tcMar>
              <w:top w:w="85" w:type="dxa"/>
              <w:left w:w="85" w:type="dxa"/>
              <w:bottom w:w="85" w:type="dxa"/>
              <w:right w:w="85" w:type="dxa"/>
            </w:tcMar>
          </w:tcPr>
          <w:p w14:paraId="40C53730" w14:textId="77777777" w:rsidR="00342C07" w:rsidRPr="00630129" w:rsidRDefault="00342C07" w:rsidP="00F60AD8">
            <w:pPr>
              <w:rPr>
                <w:sz w:val="22"/>
                <w:szCs w:val="22"/>
              </w:rPr>
            </w:pPr>
            <w:r w:rsidRPr="00630129">
              <w:rPr>
                <w:sz w:val="22"/>
                <w:szCs w:val="22"/>
              </w:rPr>
              <w:t>Offer</w:t>
            </w:r>
          </w:p>
        </w:tc>
        <w:tc>
          <w:tcPr>
            <w:tcW w:w="974" w:type="pct"/>
            <w:tcMar>
              <w:top w:w="85" w:type="dxa"/>
              <w:left w:w="85" w:type="dxa"/>
              <w:bottom w:w="85" w:type="dxa"/>
              <w:right w:w="85" w:type="dxa"/>
            </w:tcMar>
          </w:tcPr>
          <w:p w14:paraId="68E30E37"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69A555C1"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06D7BE09" w14:textId="77777777" w:rsidR="00342C07" w:rsidRPr="00630129" w:rsidRDefault="00342C07" w:rsidP="00F60AD8">
            <w:pPr>
              <w:rPr>
                <w:sz w:val="22"/>
                <w:szCs w:val="22"/>
              </w:rPr>
            </w:pPr>
            <w:r w:rsidRPr="00630129">
              <w:rPr>
                <w:sz w:val="22"/>
                <w:szCs w:val="22"/>
              </w:rPr>
              <w:t>The quantity (as provided in Section Q4.1.3(a) or, where applicable, established in Section T3.4B.3) in a Bid-Offer Pair if considered as a possible increase in Export or decrease in Import of the relevant BM Unit at a given time.</w:t>
            </w:r>
          </w:p>
        </w:tc>
      </w:tr>
      <w:tr w:rsidR="00342C07" w:rsidRPr="00630129" w14:paraId="4148A1A1" w14:textId="77777777" w:rsidTr="00A63BA8">
        <w:trPr>
          <w:cantSplit/>
        </w:trPr>
        <w:tc>
          <w:tcPr>
            <w:tcW w:w="994" w:type="pct"/>
            <w:tcMar>
              <w:top w:w="85" w:type="dxa"/>
              <w:left w:w="85" w:type="dxa"/>
              <w:bottom w:w="85" w:type="dxa"/>
              <w:right w:w="85" w:type="dxa"/>
            </w:tcMar>
          </w:tcPr>
          <w:p w14:paraId="6C2C2CC6" w14:textId="77777777" w:rsidR="00342C07" w:rsidRPr="00630129" w:rsidRDefault="00342C07" w:rsidP="00F60AD8">
            <w:pPr>
              <w:rPr>
                <w:sz w:val="22"/>
                <w:szCs w:val="22"/>
              </w:rPr>
            </w:pPr>
            <w:r w:rsidRPr="00630129">
              <w:rPr>
                <w:sz w:val="22"/>
                <w:szCs w:val="22"/>
              </w:rPr>
              <w:t>Offer Non-Delivery Volume</w:t>
            </w:r>
          </w:p>
        </w:tc>
        <w:tc>
          <w:tcPr>
            <w:tcW w:w="974" w:type="pct"/>
            <w:tcMar>
              <w:top w:w="85" w:type="dxa"/>
              <w:left w:w="85" w:type="dxa"/>
              <w:bottom w:w="85" w:type="dxa"/>
              <w:right w:w="85" w:type="dxa"/>
            </w:tcMar>
          </w:tcPr>
          <w:p w14:paraId="75BE9CD1" w14:textId="77777777" w:rsidR="00342C07" w:rsidRPr="00630129" w:rsidRDefault="00342C07" w:rsidP="00F60AD8">
            <w:pPr>
              <w:rPr>
                <w:sz w:val="22"/>
                <w:szCs w:val="22"/>
              </w:rPr>
            </w:pPr>
            <w:proofErr w:type="spellStart"/>
            <w:r w:rsidRPr="00630129">
              <w:rPr>
                <w:sz w:val="22"/>
                <w:szCs w:val="22"/>
              </w:rPr>
              <w:t>QNDO</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2C92E58E"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1A7D3428" w14:textId="77777777" w:rsidR="00342C07" w:rsidRPr="00630129" w:rsidRDefault="00342C07" w:rsidP="00F60AD8">
            <w:pPr>
              <w:spacing w:after="120"/>
              <w:rPr>
                <w:sz w:val="22"/>
                <w:szCs w:val="22"/>
              </w:rPr>
            </w:pPr>
            <w:r w:rsidRPr="00630129">
              <w:rPr>
                <w:sz w:val="22"/>
                <w:szCs w:val="22"/>
              </w:rPr>
              <w:t>The quantity determined in accordance with Section T4.8.6.</w:t>
            </w:r>
          </w:p>
          <w:p w14:paraId="5046A584" w14:textId="77777777" w:rsidR="00342C07" w:rsidRPr="00630129" w:rsidRDefault="00342C07" w:rsidP="00F60AD8">
            <w:pPr>
              <w:rPr>
                <w:i/>
                <w:sz w:val="22"/>
                <w:szCs w:val="22"/>
              </w:rPr>
            </w:pPr>
            <w:r w:rsidRPr="00630129">
              <w:rPr>
                <w:i/>
                <w:sz w:val="22"/>
                <w:szCs w:val="22"/>
              </w:rPr>
              <w:t xml:space="preserve">The Offer Non-Delivery Volume is the quantity of non-delivery apportioned to Offer n from BM Unit </w:t>
            </w:r>
            <w:proofErr w:type="spellStart"/>
            <w:r w:rsidRPr="00630129">
              <w:rPr>
                <w:i/>
                <w:sz w:val="22"/>
                <w:szCs w:val="22"/>
              </w:rPr>
              <w:t>i</w:t>
            </w:r>
            <w:proofErr w:type="spellEnd"/>
            <w:r w:rsidRPr="00630129">
              <w:rPr>
                <w:i/>
                <w:sz w:val="22"/>
                <w:szCs w:val="22"/>
              </w:rPr>
              <w:t xml:space="preserve"> in Settlement Period j.</w:t>
            </w:r>
          </w:p>
        </w:tc>
      </w:tr>
      <w:tr w:rsidR="00342C07" w:rsidRPr="00630129" w14:paraId="69706E27" w14:textId="77777777" w:rsidTr="00A63BA8">
        <w:trPr>
          <w:cantSplit/>
        </w:trPr>
        <w:tc>
          <w:tcPr>
            <w:tcW w:w="994" w:type="pct"/>
            <w:tcMar>
              <w:top w:w="85" w:type="dxa"/>
              <w:left w:w="85" w:type="dxa"/>
              <w:bottom w:w="85" w:type="dxa"/>
              <w:right w:w="85" w:type="dxa"/>
            </w:tcMar>
          </w:tcPr>
          <w:p w14:paraId="1A6D6DD0" w14:textId="77777777" w:rsidR="00342C07" w:rsidRPr="00630129" w:rsidRDefault="00342C07" w:rsidP="00F60AD8">
            <w:pPr>
              <w:rPr>
                <w:sz w:val="22"/>
                <w:szCs w:val="22"/>
              </w:rPr>
            </w:pPr>
            <w:r w:rsidRPr="00630129">
              <w:rPr>
                <w:sz w:val="22"/>
                <w:szCs w:val="22"/>
              </w:rPr>
              <w:lastRenderedPageBreak/>
              <w:t>Offer Price</w:t>
            </w:r>
          </w:p>
        </w:tc>
        <w:tc>
          <w:tcPr>
            <w:tcW w:w="974" w:type="pct"/>
            <w:tcMar>
              <w:top w:w="85" w:type="dxa"/>
              <w:left w:w="85" w:type="dxa"/>
              <w:bottom w:w="85" w:type="dxa"/>
              <w:right w:w="85" w:type="dxa"/>
            </w:tcMar>
          </w:tcPr>
          <w:p w14:paraId="731A939C" w14:textId="77777777" w:rsidR="00342C07" w:rsidRPr="00630129" w:rsidRDefault="00342C07" w:rsidP="00F60AD8">
            <w:pPr>
              <w:rPr>
                <w:sz w:val="22"/>
                <w:szCs w:val="22"/>
              </w:rPr>
            </w:pPr>
            <w:proofErr w:type="spellStart"/>
            <w:r w:rsidRPr="00630129">
              <w:rPr>
                <w:sz w:val="22"/>
                <w:szCs w:val="22"/>
              </w:rPr>
              <w:t>PO</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5D9DB9B6" w14:textId="77777777" w:rsidR="00342C07" w:rsidRPr="00630129" w:rsidRDefault="00342C07" w:rsidP="00F60AD8">
            <w:pPr>
              <w:rPr>
                <w:sz w:val="22"/>
                <w:szCs w:val="22"/>
              </w:rPr>
            </w:pPr>
            <w:r w:rsidRPr="00630129">
              <w:rPr>
                <w:sz w:val="22"/>
                <w:szCs w:val="22"/>
              </w:rPr>
              <w:t>£/MWh</w:t>
            </w:r>
          </w:p>
        </w:tc>
        <w:tc>
          <w:tcPr>
            <w:tcW w:w="2540" w:type="pct"/>
            <w:tcMar>
              <w:top w:w="85" w:type="dxa"/>
              <w:left w:w="85" w:type="dxa"/>
              <w:bottom w:w="85" w:type="dxa"/>
              <w:right w:w="85" w:type="dxa"/>
            </w:tcMar>
          </w:tcPr>
          <w:p w14:paraId="06EA66A5" w14:textId="77777777" w:rsidR="00342C07" w:rsidRPr="00630129" w:rsidRDefault="00342C07" w:rsidP="00F60AD8">
            <w:pPr>
              <w:rPr>
                <w:sz w:val="22"/>
                <w:szCs w:val="22"/>
              </w:rPr>
            </w:pPr>
            <w:r w:rsidRPr="00630129">
              <w:rPr>
                <w:sz w:val="22"/>
                <w:szCs w:val="22"/>
              </w:rPr>
              <w:t>The amount in £/MWh associated with an Offer and comprising part of a Bid-Offer Pair.</w:t>
            </w:r>
          </w:p>
        </w:tc>
      </w:tr>
      <w:tr w:rsidR="00342C07" w:rsidRPr="00630129" w14:paraId="25542A5C" w14:textId="77777777" w:rsidTr="00A63BA8">
        <w:trPr>
          <w:cantSplit/>
        </w:trPr>
        <w:tc>
          <w:tcPr>
            <w:tcW w:w="994" w:type="pct"/>
            <w:tcMar>
              <w:top w:w="85" w:type="dxa"/>
              <w:left w:w="85" w:type="dxa"/>
              <w:bottom w:w="85" w:type="dxa"/>
              <w:right w:w="85" w:type="dxa"/>
            </w:tcMar>
          </w:tcPr>
          <w:p w14:paraId="193EC070" w14:textId="77777777" w:rsidR="00342C07" w:rsidRPr="00630129" w:rsidRDefault="00342C07" w:rsidP="00F60AD8">
            <w:pPr>
              <w:rPr>
                <w:sz w:val="22"/>
                <w:szCs w:val="22"/>
              </w:rPr>
            </w:pPr>
            <w:proofErr w:type="spellStart"/>
            <w:r w:rsidRPr="00630129">
              <w:rPr>
                <w:sz w:val="22"/>
                <w:szCs w:val="22"/>
              </w:rPr>
              <w:t>Offtaking</w:t>
            </w:r>
            <w:proofErr w:type="spellEnd"/>
            <w:r w:rsidRPr="00630129">
              <w:rPr>
                <w:sz w:val="22"/>
                <w:szCs w:val="22"/>
              </w:rPr>
              <w:t xml:space="preserve"> Transmission Losses Adjustment</w:t>
            </w:r>
          </w:p>
        </w:tc>
        <w:tc>
          <w:tcPr>
            <w:tcW w:w="974" w:type="pct"/>
            <w:tcMar>
              <w:top w:w="85" w:type="dxa"/>
              <w:left w:w="85" w:type="dxa"/>
              <w:bottom w:w="85" w:type="dxa"/>
              <w:right w:w="85" w:type="dxa"/>
            </w:tcMar>
          </w:tcPr>
          <w:p w14:paraId="17693C3E" w14:textId="77777777" w:rsidR="00342C07" w:rsidRPr="00630129" w:rsidRDefault="00342C07" w:rsidP="00F60AD8">
            <w:pPr>
              <w:rPr>
                <w:sz w:val="22"/>
                <w:szCs w:val="22"/>
              </w:rPr>
            </w:pPr>
            <w:r w:rsidRPr="00630129">
              <w:rPr>
                <w:sz w:val="22"/>
                <w:szCs w:val="22"/>
              </w:rPr>
              <w:t>TLMO</w:t>
            </w:r>
            <w:r w:rsidRPr="00630129">
              <w:rPr>
                <w:sz w:val="22"/>
                <w:szCs w:val="22"/>
                <w:vertAlign w:val="superscript"/>
              </w:rPr>
              <w:t>-</w:t>
            </w:r>
            <w:r w:rsidRPr="00630129">
              <w:rPr>
                <w:sz w:val="22"/>
                <w:szCs w:val="22"/>
                <w:vertAlign w:val="subscript"/>
              </w:rPr>
              <w:t>j</w:t>
            </w:r>
          </w:p>
        </w:tc>
        <w:tc>
          <w:tcPr>
            <w:tcW w:w="492" w:type="pct"/>
            <w:tcMar>
              <w:top w:w="85" w:type="dxa"/>
              <w:left w:w="85" w:type="dxa"/>
              <w:bottom w:w="85" w:type="dxa"/>
              <w:right w:w="85" w:type="dxa"/>
            </w:tcMar>
          </w:tcPr>
          <w:p w14:paraId="3B38C8CD"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0C7C35BF" w14:textId="77777777" w:rsidR="00342C07" w:rsidRPr="00630129" w:rsidRDefault="00342C07" w:rsidP="00F60AD8">
            <w:pPr>
              <w:spacing w:after="120"/>
              <w:rPr>
                <w:sz w:val="22"/>
                <w:szCs w:val="22"/>
              </w:rPr>
            </w:pPr>
            <w:r w:rsidRPr="00630129">
              <w:rPr>
                <w:sz w:val="22"/>
                <w:szCs w:val="22"/>
              </w:rPr>
              <w:t>The factor determined as such in accordance with Section T2.3.1.</w:t>
            </w:r>
          </w:p>
          <w:p w14:paraId="142688A0" w14:textId="77777777" w:rsidR="00342C07" w:rsidRPr="00630129" w:rsidRDefault="00342C07" w:rsidP="00F60AD8">
            <w:pPr>
              <w:rPr>
                <w:i/>
                <w:sz w:val="22"/>
                <w:szCs w:val="22"/>
              </w:rPr>
            </w:pPr>
            <w:r w:rsidRPr="00630129">
              <w:rPr>
                <w:i/>
                <w:sz w:val="22"/>
                <w:szCs w:val="22"/>
              </w:rPr>
              <w:t xml:space="preserve">The factor used in the determination of the Transmission Loss Multiplier for BM Units in </w:t>
            </w:r>
            <w:proofErr w:type="spellStart"/>
            <w:r w:rsidRPr="00630129">
              <w:rPr>
                <w:i/>
                <w:sz w:val="22"/>
                <w:szCs w:val="22"/>
              </w:rPr>
              <w:t>Offtaking</w:t>
            </w:r>
            <w:proofErr w:type="spellEnd"/>
            <w:r w:rsidRPr="00630129">
              <w:rPr>
                <w:i/>
                <w:sz w:val="22"/>
                <w:szCs w:val="22"/>
              </w:rPr>
              <w:t xml:space="preserve"> in Trading Units in Settlement Period j</w:t>
            </w:r>
          </w:p>
        </w:tc>
      </w:tr>
      <w:tr w:rsidR="00342C07" w:rsidRPr="00630129" w14:paraId="4B6371A9" w14:textId="77777777" w:rsidTr="00A63BA8">
        <w:trPr>
          <w:cantSplit/>
        </w:trPr>
        <w:tc>
          <w:tcPr>
            <w:tcW w:w="994" w:type="pct"/>
            <w:tcMar>
              <w:top w:w="85" w:type="dxa"/>
              <w:left w:w="85" w:type="dxa"/>
              <w:bottom w:w="85" w:type="dxa"/>
              <w:right w:w="85" w:type="dxa"/>
            </w:tcMar>
          </w:tcPr>
          <w:p w14:paraId="28E9C2CC" w14:textId="77777777" w:rsidR="00342C07" w:rsidRPr="00630129" w:rsidRDefault="00342C07" w:rsidP="00F60AD8">
            <w:pPr>
              <w:rPr>
                <w:sz w:val="22"/>
                <w:szCs w:val="22"/>
              </w:rPr>
            </w:pPr>
            <w:r w:rsidRPr="00630129">
              <w:rPr>
                <w:sz w:val="22"/>
                <w:szCs w:val="22"/>
              </w:rPr>
              <w:t>Output Usable</w:t>
            </w:r>
          </w:p>
        </w:tc>
        <w:tc>
          <w:tcPr>
            <w:tcW w:w="974" w:type="pct"/>
            <w:tcMar>
              <w:top w:w="85" w:type="dxa"/>
              <w:left w:w="85" w:type="dxa"/>
              <w:bottom w:w="85" w:type="dxa"/>
              <w:right w:w="85" w:type="dxa"/>
            </w:tcMar>
          </w:tcPr>
          <w:p w14:paraId="2AE2C881"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5932BFC6" w14:textId="77777777" w:rsidR="00342C07" w:rsidRPr="00630129" w:rsidRDefault="00342C07" w:rsidP="00F60AD8">
            <w:pPr>
              <w:rPr>
                <w:sz w:val="22"/>
                <w:szCs w:val="22"/>
              </w:rPr>
            </w:pPr>
            <w:r w:rsidRPr="00630129">
              <w:rPr>
                <w:sz w:val="22"/>
                <w:szCs w:val="22"/>
              </w:rPr>
              <w:t>MW</w:t>
            </w:r>
          </w:p>
        </w:tc>
        <w:tc>
          <w:tcPr>
            <w:tcW w:w="2540" w:type="pct"/>
            <w:tcMar>
              <w:top w:w="85" w:type="dxa"/>
              <w:left w:w="85" w:type="dxa"/>
              <w:bottom w:w="85" w:type="dxa"/>
              <w:right w:w="85" w:type="dxa"/>
            </w:tcMar>
          </w:tcPr>
          <w:p w14:paraId="0AF3F0A4" w14:textId="77777777" w:rsidR="00342C07" w:rsidRPr="00630129" w:rsidRDefault="00342C07" w:rsidP="00F60AD8">
            <w:pPr>
              <w:rPr>
                <w:sz w:val="22"/>
                <w:szCs w:val="22"/>
              </w:rPr>
            </w:pPr>
            <w:r w:rsidRPr="00630129">
              <w:rPr>
                <w:sz w:val="22"/>
                <w:szCs w:val="22"/>
              </w:rPr>
              <w:t>Has the meaning given to that term in the Grid Code.</w:t>
            </w:r>
          </w:p>
        </w:tc>
      </w:tr>
      <w:tr w:rsidR="00342C07" w:rsidRPr="00630129" w14:paraId="50A0A3B3" w14:textId="77777777" w:rsidTr="00A63BA8">
        <w:trPr>
          <w:cantSplit/>
        </w:trPr>
        <w:tc>
          <w:tcPr>
            <w:tcW w:w="994" w:type="pct"/>
            <w:tcMar>
              <w:top w:w="85" w:type="dxa"/>
              <w:left w:w="85" w:type="dxa"/>
              <w:bottom w:w="85" w:type="dxa"/>
              <w:right w:w="85" w:type="dxa"/>
            </w:tcMar>
          </w:tcPr>
          <w:p w14:paraId="410C2F12" w14:textId="77777777" w:rsidR="00342C07" w:rsidRPr="00630129" w:rsidRDefault="00342C07" w:rsidP="00F60AD8">
            <w:pPr>
              <w:rPr>
                <w:snapToGrid w:val="0"/>
                <w:sz w:val="22"/>
                <w:szCs w:val="22"/>
              </w:rPr>
            </w:pPr>
            <w:r w:rsidRPr="00630129">
              <w:rPr>
                <w:snapToGrid w:val="0"/>
                <w:sz w:val="22"/>
                <w:szCs w:val="22"/>
              </w:rPr>
              <w:t>Out-Turn Temperature</w:t>
            </w:r>
          </w:p>
        </w:tc>
        <w:tc>
          <w:tcPr>
            <w:tcW w:w="974" w:type="pct"/>
            <w:tcMar>
              <w:top w:w="85" w:type="dxa"/>
              <w:left w:w="85" w:type="dxa"/>
              <w:bottom w:w="85" w:type="dxa"/>
              <w:right w:w="85" w:type="dxa"/>
            </w:tcMar>
          </w:tcPr>
          <w:p w14:paraId="0B7694BE"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5F34F046" w14:textId="77777777" w:rsidR="00342C07" w:rsidRPr="00630129" w:rsidRDefault="00342C07" w:rsidP="00F60AD8">
            <w:pPr>
              <w:rPr>
                <w:sz w:val="22"/>
                <w:szCs w:val="22"/>
              </w:rPr>
            </w:pPr>
            <w:r w:rsidRPr="00630129">
              <w:rPr>
                <w:sz w:val="22"/>
                <w:szCs w:val="22"/>
              </w:rPr>
              <w:t xml:space="preserve">Degrees </w:t>
            </w:r>
            <w:proofErr w:type="spellStart"/>
            <w:r w:rsidRPr="00630129">
              <w:rPr>
                <w:sz w:val="22"/>
                <w:szCs w:val="22"/>
              </w:rPr>
              <w:t>celsius</w:t>
            </w:r>
            <w:proofErr w:type="spellEnd"/>
          </w:p>
        </w:tc>
        <w:tc>
          <w:tcPr>
            <w:tcW w:w="2540" w:type="pct"/>
            <w:tcMar>
              <w:top w:w="85" w:type="dxa"/>
              <w:left w:w="85" w:type="dxa"/>
              <w:bottom w:w="85" w:type="dxa"/>
              <w:right w:w="85" w:type="dxa"/>
            </w:tcMar>
          </w:tcPr>
          <w:p w14:paraId="0CF29090" w14:textId="77777777" w:rsidR="00342C07" w:rsidRPr="00630129" w:rsidRDefault="00342C07" w:rsidP="00F60AD8">
            <w:pPr>
              <w:rPr>
                <w:snapToGrid w:val="0"/>
                <w:sz w:val="22"/>
                <w:szCs w:val="22"/>
              </w:rPr>
            </w:pPr>
            <w:r w:rsidRPr="00630129">
              <w:rPr>
                <w:snapToGrid w:val="0"/>
                <w:sz w:val="22"/>
                <w:szCs w:val="22"/>
              </w:rPr>
              <w:t xml:space="preserve">A single value deemed to be representative of the temperature for Great Britain as measured at </w:t>
            </w:r>
            <w:smartTag w:uri="urn:schemas-microsoft-com:office:smarttags" w:element="time">
              <w:smartTagPr>
                <w:attr w:name="Hour" w:val="12"/>
                <w:attr w:name="Minute" w:val="0"/>
              </w:smartTagPr>
              <w:r w:rsidRPr="00630129">
                <w:rPr>
                  <w:snapToGrid w:val="0"/>
                  <w:sz w:val="22"/>
                  <w:szCs w:val="22"/>
                </w:rPr>
                <w:t>midday</w:t>
              </w:r>
            </w:smartTag>
            <w:r w:rsidRPr="00630129">
              <w:rPr>
                <w:snapToGrid w:val="0"/>
                <w:sz w:val="22"/>
                <w:szCs w:val="22"/>
              </w:rPr>
              <w:t>.</w:t>
            </w:r>
          </w:p>
        </w:tc>
      </w:tr>
      <w:tr w:rsidR="00342C07" w:rsidRPr="00630129" w14:paraId="5E506149" w14:textId="77777777" w:rsidTr="00A63BA8">
        <w:trPr>
          <w:cantSplit/>
        </w:trPr>
        <w:tc>
          <w:tcPr>
            <w:tcW w:w="994" w:type="pct"/>
            <w:tcMar>
              <w:top w:w="85" w:type="dxa"/>
              <w:left w:w="85" w:type="dxa"/>
              <w:bottom w:w="85" w:type="dxa"/>
              <w:right w:w="85" w:type="dxa"/>
            </w:tcMar>
          </w:tcPr>
          <w:p w14:paraId="3DB4FD7E" w14:textId="77777777" w:rsidR="00342C07" w:rsidRPr="00630129" w:rsidRDefault="00342C07" w:rsidP="00F60AD8">
            <w:pPr>
              <w:rPr>
                <w:snapToGrid w:val="0"/>
                <w:sz w:val="22"/>
                <w:szCs w:val="22"/>
              </w:rPr>
            </w:pPr>
            <w:r w:rsidRPr="00630129">
              <w:rPr>
                <w:sz w:val="22"/>
                <w:szCs w:val="22"/>
              </w:rPr>
              <w:t>PAR Tagged</w:t>
            </w:r>
          </w:p>
        </w:tc>
        <w:tc>
          <w:tcPr>
            <w:tcW w:w="974" w:type="pct"/>
            <w:tcMar>
              <w:top w:w="85" w:type="dxa"/>
              <w:left w:w="85" w:type="dxa"/>
              <w:bottom w:w="85" w:type="dxa"/>
              <w:right w:w="85" w:type="dxa"/>
            </w:tcMar>
          </w:tcPr>
          <w:p w14:paraId="636DA117"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7FC9D2C8"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7CA84447" w14:textId="77777777" w:rsidR="00342C07" w:rsidRPr="00630129" w:rsidRDefault="00342C07" w:rsidP="00F60AD8">
            <w:pPr>
              <w:rPr>
                <w:snapToGrid w:val="0"/>
                <w:sz w:val="22"/>
                <w:szCs w:val="22"/>
              </w:rPr>
            </w:pPr>
            <w:r w:rsidRPr="00630129">
              <w:rPr>
                <w:sz w:val="22"/>
                <w:szCs w:val="22"/>
              </w:rPr>
              <w:t>PAR Tagged as provided in paragraph 11 of Part 1 of Annex T-1.</w:t>
            </w:r>
          </w:p>
        </w:tc>
      </w:tr>
      <w:tr w:rsidR="00342C07" w:rsidRPr="00630129" w14:paraId="54D7EFD8" w14:textId="77777777" w:rsidTr="00A63BA8">
        <w:trPr>
          <w:cantSplit/>
        </w:trPr>
        <w:tc>
          <w:tcPr>
            <w:tcW w:w="994" w:type="pct"/>
            <w:tcMar>
              <w:top w:w="85" w:type="dxa"/>
              <w:left w:w="85" w:type="dxa"/>
              <w:bottom w:w="85" w:type="dxa"/>
              <w:right w:w="85" w:type="dxa"/>
            </w:tcMar>
          </w:tcPr>
          <w:p w14:paraId="4CB11359" w14:textId="77777777" w:rsidR="00342C07" w:rsidRPr="00630129" w:rsidRDefault="00342C07" w:rsidP="00F60AD8">
            <w:pPr>
              <w:rPr>
                <w:sz w:val="22"/>
                <w:szCs w:val="22"/>
              </w:rPr>
            </w:pPr>
            <w:r w:rsidRPr="00630129">
              <w:rPr>
                <w:sz w:val="22"/>
                <w:szCs w:val="22"/>
              </w:rPr>
              <w:t>Party Daily Reallocation Proportion</w:t>
            </w:r>
          </w:p>
        </w:tc>
        <w:tc>
          <w:tcPr>
            <w:tcW w:w="974" w:type="pct"/>
            <w:tcMar>
              <w:top w:w="85" w:type="dxa"/>
              <w:left w:w="85" w:type="dxa"/>
              <w:bottom w:w="85" w:type="dxa"/>
              <w:right w:w="85" w:type="dxa"/>
            </w:tcMar>
          </w:tcPr>
          <w:p w14:paraId="40401167" w14:textId="77777777" w:rsidR="00342C07" w:rsidRPr="00630129" w:rsidRDefault="00342C07" w:rsidP="00F60AD8">
            <w:pPr>
              <w:rPr>
                <w:sz w:val="22"/>
                <w:szCs w:val="22"/>
              </w:rPr>
            </w:pPr>
          </w:p>
        </w:tc>
        <w:tc>
          <w:tcPr>
            <w:tcW w:w="492" w:type="pct"/>
            <w:tcMar>
              <w:top w:w="85" w:type="dxa"/>
              <w:left w:w="85" w:type="dxa"/>
              <w:bottom w:w="85" w:type="dxa"/>
              <w:right w:w="85" w:type="dxa"/>
            </w:tcMar>
          </w:tcPr>
          <w:p w14:paraId="74E86E9D" w14:textId="77777777" w:rsidR="00342C07" w:rsidRPr="00630129" w:rsidRDefault="00342C07" w:rsidP="00F60AD8">
            <w:pPr>
              <w:rPr>
                <w:sz w:val="22"/>
                <w:szCs w:val="22"/>
              </w:rPr>
            </w:pPr>
          </w:p>
        </w:tc>
        <w:tc>
          <w:tcPr>
            <w:tcW w:w="2540" w:type="pct"/>
            <w:tcMar>
              <w:top w:w="85" w:type="dxa"/>
              <w:left w:w="85" w:type="dxa"/>
              <w:bottom w:w="85" w:type="dxa"/>
              <w:right w:w="85" w:type="dxa"/>
            </w:tcMar>
          </w:tcPr>
          <w:p w14:paraId="13E860D8" w14:textId="77777777" w:rsidR="00342C07" w:rsidRPr="00630129" w:rsidRDefault="00342C07" w:rsidP="00F60AD8">
            <w:pPr>
              <w:rPr>
                <w:sz w:val="22"/>
                <w:szCs w:val="22"/>
              </w:rPr>
            </w:pPr>
            <w:r w:rsidRPr="00630129">
              <w:rPr>
                <w:sz w:val="22"/>
                <w:szCs w:val="22"/>
              </w:rPr>
              <w:t>Has the meaning given to that term in Section G1.3.</w:t>
            </w:r>
          </w:p>
        </w:tc>
      </w:tr>
      <w:tr w:rsidR="0099110B" w:rsidRPr="00630129" w14:paraId="584FCBF7" w14:textId="77777777" w:rsidTr="0058731E">
        <w:trPr>
          <w:cantSplit/>
          <w:ins w:id="6" w:author="Aditi Tulpule" w:date="2021-02-24T16:16:00Z"/>
        </w:trPr>
        <w:tc>
          <w:tcPr>
            <w:tcW w:w="994" w:type="pct"/>
            <w:tcMar>
              <w:top w:w="85" w:type="dxa"/>
              <w:left w:w="85" w:type="dxa"/>
              <w:bottom w:w="85" w:type="dxa"/>
              <w:right w:w="85" w:type="dxa"/>
            </w:tcMar>
          </w:tcPr>
          <w:p w14:paraId="5BB1D2CF" w14:textId="5CD64DF2" w:rsidR="0099110B" w:rsidRPr="00630129" w:rsidRDefault="0099110B" w:rsidP="0099110B">
            <w:pPr>
              <w:rPr>
                <w:ins w:id="7" w:author="Aditi Tulpule" w:date="2021-02-24T16:16:00Z"/>
                <w:sz w:val="22"/>
                <w:szCs w:val="22"/>
              </w:rPr>
            </w:pPr>
            <w:ins w:id="8" w:author="Aditi Tulpule" w:date="2021-02-24T16:16:00Z">
              <w:r>
                <w:rPr>
                  <w:sz w:val="22"/>
                </w:rPr>
                <w:t>[P376]Party Submitted Expected Volumes</w:t>
              </w:r>
            </w:ins>
          </w:p>
        </w:tc>
        <w:tc>
          <w:tcPr>
            <w:tcW w:w="974" w:type="pct"/>
            <w:tcMar>
              <w:top w:w="85" w:type="dxa"/>
              <w:left w:w="85" w:type="dxa"/>
              <w:bottom w:w="85" w:type="dxa"/>
              <w:right w:w="85" w:type="dxa"/>
            </w:tcMar>
          </w:tcPr>
          <w:p w14:paraId="4FF13BEB" w14:textId="24791B53" w:rsidR="0099110B" w:rsidRPr="00630129" w:rsidRDefault="0099110B" w:rsidP="0099110B">
            <w:pPr>
              <w:rPr>
                <w:ins w:id="9" w:author="Aditi Tulpule" w:date="2021-02-24T16:16:00Z"/>
                <w:sz w:val="22"/>
                <w:szCs w:val="22"/>
              </w:rPr>
            </w:pPr>
            <w:ins w:id="10" w:author="Aditi Tulpule" w:date="2021-02-24T16:16:00Z">
              <w:r>
                <w:rPr>
                  <w:sz w:val="22"/>
                </w:rPr>
                <w:t>PSEV</w:t>
              </w:r>
            </w:ins>
          </w:p>
        </w:tc>
        <w:tc>
          <w:tcPr>
            <w:tcW w:w="492" w:type="pct"/>
            <w:tcMar>
              <w:top w:w="85" w:type="dxa"/>
              <w:left w:w="85" w:type="dxa"/>
              <w:bottom w:w="85" w:type="dxa"/>
              <w:right w:w="85" w:type="dxa"/>
            </w:tcMar>
          </w:tcPr>
          <w:p w14:paraId="749495B6" w14:textId="551A13E5" w:rsidR="0099110B" w:rsidRPr="00630129" w:rsidRDefault="0099110B" w:rsidP="0099110B">
            <w:pPr>
              <w:rPr>
                <w:ins w:id="11" w:author="Aditi Tulpule" w:date="2021-02-24T16:16:00Z"/>
                <w:sz w:val="22"/>
                <w:szCs w:val="22"/>
              </w:rPr>
            </w:pPr>
            <w:ins w:id="12" w:author="Aditi Tulpule" w:date="2021-02-24T16:16:00Z">
              <w:r>
                <w:rPr>
                  <w:sz w:val="22"/>
                </w:rPr>
                <w:t>MWh</w:t>
              </w:r>
            </w:ins>
          </w:p>
        </w:tc>
        <w:tc>
          <w:tcPr>
            <w:tcW w:w="2540" w:type="pct"/>
            <w:tcMar>
              <w:top w:w="85" w:type="dxa"/>
              <w:left w:w="85" w:type="dxa"/>
              <w:bottom w:w="85" w:type="dxa"/>
              <w:right w:w="85" w:type="dxa"/>
            </w:tcMar>
          </w:tcPr>
          <w:p w14:paraId="0340642D" w14:textId="647A22BD" w:rsidR="0099110B" w:rsidRPr="00630129" w:rsidRDefault="0099110B" w:rsidP="0099110B">
            <w:pPr>
              <w:spacing w:after="120"/>
              <w:rPr>
                <w:ins w:id="13" w:author="Aditi Tulpule" w:date="2021-02-24T16:16:00Z"/>
                <w:sz w:val="22"/>
                <w:szCs w:val="22"/>
              </w:rPr>
            </w:pPr>
            <w:ins w:id="14" w:author="Aditi Tulpule" w:date="2021-02-24T16:16:00Z">
              <w:r>
                <w:rPr>
                  <w:sz w:val="22"/>
                </w:rPr>
                <w:t>The volume submitted by the Party which represents the Party’s forecast of expected volumes per Settlement Period for all MSID Pairs not selected for Baselining within a BMU providing Balancing Services</w:t>
              </w:r>
            </w:ins>
          </w:p>
        </w:tc>
      </w:tr>
      <w:tr w:rsidR="0099110B" w:rsidRPr="00630129" w14:paraId="013F94D6" w14:textId="77777777" w:rsidTr="00A63BA8">
        <w:trPr>
          <w:cantSplit/>
        </w:trPr>
        <w:tc>
          <w:tcPr>
            <w:tcW w:w="994" w:type="pct"/>
            <w:tcMar>
              <w:top w:w="85" w:type="dxa"/>
              <w:left w:w="85" w:type="dxa"/>
              <w:bottom w:w="85" w:type="dxa"/>
              <w:right w:w="85" w:type="dxa"/>
            </w:tcMar>
          </w:tcPr>
          <w:p w14:paraId="7B192634" w14:textId="77777777" w:rsidR="0099110B" w:rsidRPr="00630129" w:rsidRDefault="0099110B" w:rsidP="0099110B">
            <w:pPr>
              <w:rPr>
                <w:sz w:val="22"/>
                <w:szCs w:val="22"/>
              </w:rPr>
            </w:pPr>
            <w:r w:rsidRPr="00630129">
              <w:rPr>
                <w:sz w:val="22"/>
                <w:szCs w:val="22"/>
              </w:rPr>
              <w:t>Period Accepted Bid Volume</w:t>
            </w:r>
          </w:p>
        </w:tc>
        <w:tc>
          <w:tcPr>
            <w:tcW w:w="974" w:type="pct"/>
            <w:tcMar>
              <w:top w:w="85" w:type="dxa"/>
              <w:left w:w="85" w:type="dxa"/>
              <w:bottom w:w="85" w:type="dxa"/>
              <w:right w:w="85" w:type="dxa"/>
            </w:tcMar>
          </w:tcPr>
          <w:p w14:paraId="0EDB98F2" w14:textId="77777777" w:rsidR="0099110B" w:rsidRPr="00630129" w:rsidRDefault="0099110B" w:rsidP="0099110B">
            <w:pPr>
              <w:rPr>
                <w:sz w:val="22"/>
                <w:szCs w:val="22"/>
              </w:rPr>
            </w:pPr>
            <w:proofErr w:type="spellStart"/>
            <w:r w:rsidRPr="00630129">
              <w:rPr>
                <w:sz w:val="22"/>
                <w:szCs w:val="22"/>
              </w:rPr>
              <w:t>QAB</w:t>
            </w:r>
            <w:r w:rsidRPr="00630129">
              <w:rPr>
                <w:sz w:val="22"/>
                <w:szCs w:val="22"/>
                <w:vertAlign w:val="superscript"/>
              </w:rPr>
              <w:t>kn</w:t>
            </w:r>
            <w:r w:rsidRPr="00630129">
              <w:rPr>
                <w:sz w:val="22"/>
                <w:szCs w:val="22"/>
                <w:vertAlign w:val="subscript"/>
              </w:rPr>
              <w:t>ij</w:t>
            </w:r>
            <w:proofErr w:type="spellEnd"/>
          </w:p>
        </w:tc>
        <w:tc>
          <w:tcPr>
            <w:tcW w:w="492" w:type="pct"/>
            <w:tcMar>
              <w:top w:w="85" w:type="dxa"/>
              <w:left w:w="85" w:type="dxa"/>
              <w:bottom w:w="85" w:type="dxa"/>
              <w:right w:w="85" w:type="dxa"/>
            </w:tcMar>
          </w:tcPr>
          <w:p w14:paraId="19873FBA"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74A484CE" w14:textId="77777777" w:rsidR="0099110B" w:rsidRPr="00630129" w:rsidRDefault="0099110B" w:rsidP="0099110B">
            <w:pPr>
              <w:spacing w:after="120"/>
              <w:rPr>
                <w:sz w:val="22"/>
                <w:szCs w:val="22"/>
              </w:rPr>
            </w:pPr>
            <w:r w:rsidRPr="00630129">
              <w:rPr>
                <w:sz w:val="22"/>
                <w:szCs w:val="22"/>
              </w:rPr>
              <w:t>The quantity established in accordance with Section T3.8.2.</w:t>
            </w:r>
          </w:p>
          <w:p w14:paraId="6687C28D" w14:textId="77777777" w:rsidR="0099110B" w:rsidRPr="00630129" w:rsidRDefault="0099110B" w:rsidP="0099110B">
            <w:pPr>
              <w:rPr>
                <w:i/>
                <w:sz w:val="22"/>
                <w:szCs w:val="22"/>
              </w:rPr>
            </w:pPr>
            <w:r w:rsidRPr="00630129">
              <w:rPr>
                <w:i/>
                <w:sz w:val="22"/>
                <w:szCs w:val="22"/>
              </w:rPr>
              <w:t xml:space="preserve">The Period Accepted Bid Volume is the volume of Bid n, accepted in respect of BM Unit </w:t>
            </w:r>
            <w:proofErr w:type="spellStart"/>
            <w:r w:rsidRPr="00630129">
              <w:rPr>
                <w:i/>
                <w:sz w:val="22"/>
                <w:szCs w:val="22"/>
              </w:rPr>
              <w:t>i</w:t>
            </w:r>
            <w:proofErr w:type="spellEnd"/>
            <w:r w:rsidRPr="00630129">
              <w:rPr>
                <w:i/>
                <w:sz w:val="22"/>
                <w:szCs w:val="22"/>
              </w:rPr>
              <w:t>, in Settlement Period j, as a result of Acceptance k, where that Acceptance is not flagged as relating to an RR Schedule.</w:t>
            </w:r>
          </w:p>
        </w:tc>
      </w:tr>
      <w:tr w:rsidR="0099110B" w:rsidRPr="00630129" w14:paraId="334BB19E" w14:textId="77777777" w:rsidTr="00A63BA8">
        <w:trPr>
          <w:cantSplit/>
        </w:trPr>
        <w:tc>
          <w:tcPr>
            <w:tcW w:w="994" w:type="pct"/>
            <w:tcMar>
              <w:top w:w="85" w:type="dxa"/>
              <w:left w:w="85" w:type="dxa"/>
              <w:bottom w:w="85" w:type="dxa"/>
              <w:right w:w="85" w:type="dxa"/>
            </w:tcMar>
          </w:tcPr>
          <w:p w14:paraId="7F3D81A6" w14:textId="77777777" w:rsidR="0099110B" w:rsidRPr="00630129" w:rsidRDefault="0099110B" w:rsidP="0099110B">
            <w:pPr>
              <w:rPr>
                <w:sz w:val="22"/>
                <w:szCs w:val="22"/>
              </w:rPr>
            </w:pPr>
            <w:r w:rsidRPr="00630129">
              <w:rPr>
                <w:sz w:val="22"/>
                <w:szCs w:val="22"/>
              </w:rPr>
              <w:t>Period Accepted Offer Volume</w:t>
            </w:r>
          </w:p>
        </w:tc>
        <w:tc>
          <w:tcPr>
            <w:tcW w:w="974" w:type="pct"/>
            <w:tcMar>
              <w:top w:w="85" w:type="dxa"/>
              <w:left w:w="85" w:type="dxa"/>
              <w:bottom w:w="85" w:type="dxa"/>
              <w:right w:w="85" w:type="dxa"/>
            </w:tcMar>
          </w:tcPr>
          <w:p w14:paraId="75A3A813" w14:textId="77777777" w:rsidR="0099110B" w:rsidRPr="00630129" w:rsidRDefault="0099110B" w:rsidP="0099110B">
            <w:pPr>
              <w:rPr>
                <w:sz w:val="22"/>
                <w:szCs w:val="22"/>
              </w:rPr>
            </w:pPr>
            <w:proofErr w:type="spellStart"/>
            <w:r w:rsidRPr="00630129">
              <w:rPr>
                <w:sz w:val="22"/>
                <w:szCs w:val="22"/>
              </w:rPr>
              <w:t>QAO</w:t>
            </w:r>
            <w:r w:rsidRPr="00630129">
              <w:rPr>
                <w:sz w:val="22"/>
                <w:szCs w:val="22"/>
                <w:vertAlign w:val="superscript"/>
              </w:rPr>
              <w:t>kn</w:t>
            </w:r>
            <w:r w:rsidRPr="00630129">
              <w:rPr>
                <w:sz w:val="22"/>
                <w:szCs w:val="22"/>
                <w:vertAlign w:val="subscript"/>
              </w:rPr>
              <w:t>ij</w:t>
            </w:r>
            <w:proofErr w:type="spellEnd"/>
          </w:p>
        </w:tc>
        <w:tc>
          <w:tcPr>
            <w:tcW w:w="492" w:type="pct"/>
            <w:tcMar>
              <w:top w:w="85" w:type="dxa"/>
              <w:left w:w="85" w:type="dxa"/>
              <w:bottom w:w="85" w:type="dxa"/>
              <w:right w:w="85" w:type="dxa"/>
            </w:tcMar>
          </w:tcPr>
          <w:p w14:paraId="2273E680"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535E913E" w14:textId="77777777" w:rsidR="0099110B" w:rsidRPr="00630129" w:rsidRDefault="0099110B" w:rsidP="0099110B">
            <w:pPr>
              <w:spacing w:after="120"/>
              <w:rPr>
                <w:sz w:val="22"/>
                <w:szCs w:val="22"/>
              </w:rPr>
            </w:pPr>
            <w:r w:rsidRPr="00630129">
              <w:rPr>
                <w:sz w:val="22"/>
                <w:szCs w:val="22"/>
              </w:rPr>
              <w:t>The quantity established in accordance with Section T3.8.1.</w:t>
            </w:r>
          </w:p>
          <w:p w14:paraId="6DF6E212" w14:textId="77777777" w:rsidR="0099110B" w:rsidRPr="00630129" w:rsidRDefault="0099110B" w:rsidP="0099110B">
            <w:pPr>
              <w:rPr>
                <w:i/>
                <w:sz w:val="22"/>
                <w:szCs w:val="22"/>
              </w:rPr>
            </w:pPr>
            <w:r w:rsidRPr="00630129">
              <w:rPr>
                <w:i/>
                <w:sz w:val="22"/>
                <w:szCs w:val="22"/>
              </w:rPr>
              <w:t xml:space="preserve">The Period Accepted Offer Volume is the volume of Offer n, accepted in respect of BM Unit </w:t>
            </w:r>
            <w:proofErr w:type="spellStart"/>
            <w:r w:rsidRPr="00630129">
              <w:rPr>
                <w:i/>
                <w:sz w:val="22"/>
                <w:szCs w:val="22"/>
              </w:rPr>
              <w:t>i</w:t>
            </w:r>
            <w:proofErr w:type="spellEnd"/>
            <w:r w:rsidRPr="00630129">
              <w:rPr>
                <w:i/>
                <w:sz w:val="22"/>
                <w:szCs w:val="22"/>
              </w:rPr>
              <w:t>, in Settlement Period j as a result of Acceptance k, where that Acceptance is not flagged as relating to an RR Schedule.</w:t>
            </w:r>
          </w:p>
        </w:tc>
      </w:tr>
      <w:tr w:rsidR="0099110B" w:rsidRPr="00630129" w14:paraId="485EB19C" w14:textId="77777777" w:rsidTr="00A63BA8">
        <w:trPr>
          <w:cantSplit/>
        </w:trPr>
        <w:tc>
          <w:tcPr>
            <w:tcW w:w="994" w:type="pct"/>
            <w:tcMar>
              <w:top w:w="85" w:type="dxa"/>
              <w:left w:w="85" w:type="dxa"/>
              <w:bottom w:w="85" w:type="dxa"/>
              <w:right w:w="85" w:type="dxa"/>
            </w:tcMar>
          </w:tcPr>
          <w:p w14:paraId="79E9D595" w14:textId="77777777" w:rsidR="0099110B" w:rsidRPr="00630129" w:rsidRDefault="0099110B" w:rsidP="0099110B">
            <w:pPr>
              <w:rPr>
                <w:sz w:val="22"/>
                <w:szCs w:val="22"/>
              </w:rPr>
            </w:pPr>
            <w:r w:rsidRPr="00630129">
              <w:rPr>
                <w:sz w:val="22"/>
                <w:szCs w:val="22"/>
              </w:rPr>
              <w:t>Period BM Unit Balancing Services Volume</w:t>
            </w:r>
          </w:p>
        </w:tc>
        <w:tc>
          <w:tcPr>
            <w:tcW w:w="974" w:type="pct"/>
            <w:tcMar>
              <w:top w:w="85" w:type="dxa"/>
              <w:left w:w="85" w:type="dxa"/>
              <w:bottom w:w="85" w:type="dxa"/>
              <w:right w:w="85" w:type="dxa"/>
            </w:tcMar>
          </w:tcPr>
          <w:p w14:paraId="1AB3B782" w14:textId="77777777" w:rsidR="0099110B" w:rsidRPr="00630129" w:rsidRDefault="0099110B" w:rsidP="0099110B">
            <w:pPr>
              <w:rPr>
                <w:sz w:val="22"/>
                <w:szCs w:val="22"/>
              </w:rPr>
            </w:pPr>
            <w:proofErr w:type="spellStart"/>
            <w:r w:rsidRPr="00630129">
              <w:rPr>
                <w:sz w:val="22"/>
                <w:szCs w:val="22"/>
              </w:rPr>
              <w:t>QBS</w:t>
            </w:r>
            <w:r w:rsidRPr="00630129">
              <w:rPr>
                <w:sz w:val="22"/>
                <w:szCs w:val="22"/>
                <w:vertAlign w:val="subscript"/>
              </w:rPr>
              <w:t>ij</w:t>
            </w:r>
            <w:proofErr w:type="spellEnd"/>
          </w:p>
        </w:tc>
        <w:tc>
          <w:tcPr>
            <w:tcW w:w="492" w:type="pct"/>
            <w:tcMar>
              <w:top w:w="85" w:type="dxa"/>
              <w:left w:w="85" w:type="dxa"/>
              <w:bottom w:w="85" w:type="dxa"/>
              <w:right w:w="85" w:type="dxa"/>
            </w:tcMar>
          </w:tcPr>
          <w:p w14:paraId="7B93ABCC"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6B32AC70" w14:textId="77777777" w:rsidR="0099110B" w:rsidRPr="00630129" w:rsidRDefault="0099110B" w:rsidP="0099110B">
            <w:pPr>
              <w:spacing w:after="120"/>
              <w:rPr>
                <w:sz w:val="22"/>
                <w:szCs w:val="22"/>
              </w:rPr>
            </w:pPr>
            <w:r w:rsidRPr="00630129">
              <w:rPr>
                <w:sz w:val="22"/>
                <w:szCs w:val="22"/>
              </w:rPr>
              <w:t>The quantity determined in accordance with Section T4.3.2.</w:t>
            </w:r>
          </w:p>
          <w:p w14:paraId="120E444B" w14:textId="77777777" w:rsidR="0099110B" w:rsidRPr="00630129" w:rsidRDefault="0099110B" w:rsidP="0099110B">
            <w:pPr>
              <w:rPr>
                <w:i/>
                <w:sz w:val="22"/>
                <w:szCs w:val="22"/>
              </w:rPr>
            </w:pPr>
            <w:r w:rsidRPr="00630129">
              <w:rPr>
                <w:i/>
                <w:sz w:val="22"/>
                <w:szCs w:val="22"/>
              </w:rPr>
              <w:t xml:space="preserve">The Period BM Unit Balancing Services Volume is the sum of the net quantity of accepted Bids and Offers and the net quantity of energy associated with delivery of Applicable Balancing Services from BM Unit </w:t>
            </w:r>
            <w:proofErr w:type="spellStart"/>
            <w:r w:rsidRPr="00630129">
              <w:rPr>
                <w:i/>
                <w:sz w:val="22"/>
                <w:szCs w:val="22"/>
              </w:rPr>
              <w:t>i</w:t>
            </w:r>
            <w:proofErr w:type="spellEnd"/>
            <w:r w:rsidRPr="00630129">
              <w:rPr>
                <w:i/>
                <w:sz w:val="22"/>
                <w:szCs w:val="22"/>
              </w:rPr>
              <w:t xml:space="preserve"> in Settlement Period j.</w:t>
            </w:r>
          </w:p>
        </w:tc>
      </w:tr>
      <w:tr w:rsidR="0099110B" w:rsidRPr="00630129" w14:paraId="5841D915" w14:textId="77777777" w:rsidTr="00A63BA8">
        <w:trPr>
          <w:cantSplit/>
        </w:trPr>
        <w:tc>
          <w:tcPr>
            <w:tcW w:w="994" w:type="pct"/>
            <w:tcMar>
              <w:top w:w="85" w:type="dxa"/>
              <w:left w:w="85" w:type="dxa"/>
              <w:bottom w:w="85" w:type="dxa"/>
              <w:right w:w="85" w:type="dxa"/>
            </w:tcMar>
          </w:tcPr>
          <w:p w14:paraId="73D088A2" w14:textId="77777777" w:rsidR="0099110B" w:rsidRPr="00630129" w:rsidRDefault="0099110B" w:rsidP="0099110B">
            <w:pPr>
              <w:rPr>
                <w:sz w:val="22"/>
                <w:szCs w:val="22"/>
              </w:rPr>
            </w:pPr>
            <w:r w:rsidRPr="00630129">
              <w:rPr>
                <w:sz w:val="22"/>
                <w:szCs w:val="22"/>
              </w:rPr>
              <w:lastRenderedPageBreak/>
              <w:t xml:space="preserve">Period BM Unit Bid </w:t>
            </w:r>
            <w:proofErr w:type="spellStart"/>
            <w:r w:rsidRPr="00630129">
              <w:rPr>
                <w:sz w:val="22"/>
                <w:szCs w:val="22"/>
              </w:rPr>
              <w:t>Cashflow</w:t>
            </w:r>
            <w:proofErr w:type="spellEnd"/>
          </w:p>
        </w:tc>
        <w:tc>
          <w:tcPr>
            <w:tcW w:w="974" w:type="pct"/>
            <w:tcMar>
              <w:top w:w="85" w:type="dxa"/>
              <w:left w:w="85" w:type="dxa"/>
              <w:bottom w:w="85" w:type="dxa"/>
              <w:right w:w="85" w:type="dxa"/>
            </w:tcMar>
          </w:tcPr>
          <w:p w14:paraId="22169C53" w14:textId="77777777" w:rsidR="0099110B" w:rsidRPr="00630129" w:rsidRDefault="0099110B" w:rsidP="0099110B">
            <w:pPr>
              <w:rPr>
                <w:sz w:val="22"/>
                <w:szCs w:val="22"/>
              </w:rPr>
            </w:pPr>
            <w:proofErr w:type="spellStart"/>
            <w:r w:rsidRPr="00630129">
              <w:rPr>
                <w:sz w:val="22"/>
                <w:szCs w:val="22"/>
              </w:rPr>
              <w:t>CB</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5877DE2A"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0992CC13" w14:textId="77777777" w:rsidR="0099110B" w:rsidRPr="00630129" w:rsidRDefault="0099110B" w:rsidP="0099110B">
            <w:pPr>
              <w:spacing w:after="120"/>
              <w:rPr>
                <w:sz w:val="22"/>
                <w:szCs w:val="22"/>
              </w:rPr>
            </w:pPr>
            <w:r w:rsidRPr="00630129">
              <w:rPr>
                <w:sz w:val="22"/>
                <w:szCs w:val="22"/>
              </w:rPr>
              <w:t>The amount determined in accordance with Section T3.10.2.</w:t>
            </w:r>
          </w:p>
          <w:p w14:paraId="5FABAE12" w14:textId="77777777" w:rsidR="0099110B" w:rsidRPr="00630129" w:rsidRDefault="0099110B" w:rsidP="0099110B">
            <w:pPr>
              <w:rPr>
                <w:i/>
                <w:sz w:val="22"/>
                <w:szCs w:val="22"/>
              </w:rPr>
            </w:pPr>
            <w:r w:rsidRPr="00630129">
              <w:rPr>
                <w:i/>
                <w:sz w:val="22"/>
                <w:szCs w:val="22"/>
              </w:rPr>
              <w:t xml:space="preserve">The Period BM Unit Bid </w:t>
            </w:r>
            <w:proofErr w:type="spellStart"/>
            <w:r w:rsidRPr="00630129">
              <w:rPr>
                <w:i/>
                <w:sz w:val="22"/>
                <w:szCs w:val="22"/>
              </w:rPr>
              <w:t>Cashflow</w:t>
            </w:r>
            <w:proofErr w:type="spellEnd"/>
            <w:r w:rsidRPr="00630129">
              <w:rPr>
                <w:i/>
                <w:sz w:val="22"/>
                <w:szCs w:val="22"/>
              </w:rPr>
              <w:t xml:space="preserve"> is the total </w:t>
            </w:r>
            <w:proofErr w:type="spellStart"/>
            <w:r w:rsidRPr="00630129">
              <w:rPr>
                <w:i/>
                <w:sz w:val="22"/>
                <w:szCs w:val="22"/>
              </w:rPr>
              <w:t>cashflow</w:t>
            </w:r>
            <w:proofErr w:type="spellEnd"/>
            <w:r w:rsidRPr="00630129">
              <w:rPr>
                <w:i/>
                <w:sz w:val="22"/>
                <w:szCs w:val="22"/>
              </w:rPr>
              <w:t xml:space="preserve"> resulting from accepted volumes of Bid n from BM Unit </w:t>
            </w:r>
            <w:proofErr w:type="spellStart"/>
            <w:r w:rsidRPr="00630129">
              <w:rPr>
                <w:i/>
                <w:sz w:val="22"/>
                <w:szCs w:val="22"/>
              </w:rPr>
              <w:t>i</w:t>
            </w:r>
            <w:proofErr w:type="spellEnd"/>
            <w:r w:rsidRPr="00630129">
              <w:rPr>
                <w:i/>
                <w:sz w:val="22"/>
                <w:szCs w:val="22"/>
              </w:rPr>
              <w:t xml:space="preserve"> in Settlement Period j.</w:t>
            </w:r>
          </w:p>
        </w:tc>
      </w:tr>
      <w:tr w:rsidR="0099110B" w:rsidRPr="00630129" w14:paraId="2E224285" w14:textId="77777777" w:rsidTr="00A63BA8">
        <w:trPr>
          <w:cantSplit/>
        </w:trPr>
        <w:tc>
          <w:tcPr>
            <w:tcW w:w="994" w:type="pct"/>
            <w:tcMar>
              <w:top w:w="85" w:type="dxa"/>
              <w:left w:w="85" w:type="dxa"/>
              <w:bottom w:w="85" w:type="dxa"/>
              <w:right w:w="85" w:type="dxa"/>
            </w:tcMar>
          </w:tcPr>
          <w:p w14:paraId="7131CDB9" w14:textId="77777777" w:rsidR="0099110B" w:rsidRPr="00630129" w:rsidRDefault="0099110B" w:rsidP="0099110B">
            <w:pPr>
              <w:rPr>
                <w:sz w:val="22"/>
                <w:szCs w:val="22"/>
              </w:rPr>
            </w:pPr>
            <w:r w:rsidRPr="00630129">
              <w:rPr>
                <w:sz w:val="22"/>
                <w:szCs w:val="22"/>
              </w:rPr>
              <w:t xml:space="preserve">Period BM Unit </w:t>
            </w:r>
            <w:proofErr w:type="spellStart"/>
            <w:r w:rsidRPr="00630129">
              <w:rPr>
                <w:sz w:val="22"/>
                <w:szCs w:val="22"/>
              </w:rPr>
              <w:t>Cashflow</w:t>
            </w:r>
            <w:proofErr w:type="spellEnd"/>
          </w:p>
        </w:tc>
        <w:tc>
          <w:tcPr>
            <w:tcW w:w="974" w:type="pct"/>
            <w:tcMar>
              <w:top w:w="85" w:type="dxa"/>
              <w:left w:w="85" w:type="dxa"/>
              <w:bottom w:w="85" w:type="dxa"/>
              <w:right w:w="85" w:type="dxa"/>
            </w:tcMar>
          </w:tcPr>
          <w:p w14:paraId="1EAE1CE8" w14:textId="77777777" w:rsidR="0099110B" w:rsidRPr="00630129" w:rsidRDefault="0099110B" w:rsidP="0099110B">
            <w:pPr>
              <w:rPr>
                <w:sz w:val="22"/>
                <w:szCs w:val="22"/>
              </w:rPr>
            </w:pPr>
            <w:proofErr w:type="spellStart"/>
            <w:r w:rsidRPr="00630129">
              <w:rPr>
                <w:sz w:val="22"/>
                <w:szCs w:val="22"/>
              </w:rPr>
              <w:t>CBM</w:t>
            </w:r>
            <w:r w:rsidRPr="00630129">
              <w:rPr>
                <w:sz w:val="22"/>
                <w:szCs w:val="22"/>
                <w:vertAlign w:val="subscript"/>
              </w:rPr>
              <w:t>ij</w:t>
            </w:r>
            <w:proofErr w:type="spellEnd"/>
          </w:p>
        </w:tc>
        <w:tc>
          <w:tcPr>
            <w:tcW w:w="492" w:type="pct"/>
            <w:tcMar>
              <w:top w:w="85" w:type="dxa"/>
              <w:left w:w="85" w:type="dxa"/>
              <w:bottom w:w="85" w:type="dxa"/>
              <w:right w:w="85" w:type="dxa"/>
            </w:tcMar>
          </w:tcPr>
          <w:p w14:paraId="1897BCF0"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1037EFB3" w14:textId="77777777" w:rsidR="0099110B" w:rsidRPr="00630129" w:rsidRDefault="0099110B" w:rsidP="0099110B">
            <w:pPr>
              <w:spacing w:after="120"/>
              <w:rPr>
                <w:sz w:val="22"/>
                <w:szCs w:val="22"/>
              </w:rPr>
            </w:pPr>
            <w:r w:rsidRPr="00630129">
              <w:rPr>
                <w:sz w:val="22"/>
                <w:szCs w:val="22"/>
              </w:rPr>
              <w:t>The amount determined in accordance with Section T3.11.1.</w:t>
            </w:r>
          </w:p>
          <w:p w14:paraId="4CF35575" w14:textId="77777777" w:rsidR="0099110B" w:rsidRPr="00630129" w:rsidRDefault="0099110B" w:rsidP="0099110B">
            <w:pPr>
              <w:rPr>
                <w:i/>
                <w:sz w:val="22"/>
                <w:szCs w:val="22"/>
              </w:rPr>
            </w:pPr>
            <w:r w:rsidRPr="00630129">
              <w:rPr>
                <w:i/>
                <w:sz w:val="22"/>
                <w:szCs w:val="22"/>
              </w:rPr>
              <w:t xml:space="preserve">The Period BM Unit </w:t>
            </w:r>
            <w:proofErr w:type="spellStart"/>
            <w:r w:rsidRPr="00630129">
              <w:rPr>
                <w:i/>
                <w:sz w:val="22"/>
                <w:szCs w:val="22"/>
              </w:rPr>
              <w:t>Cashflow</w:t>
            </w:r>
            <w:proofErr w:type="spellEnd"/>
            <w:r w:rsidRPr="00630129">
              <w:rPr>
                <w:i/>
                <w:sz w:val="22"/>
                <w:szCs w:val="22"/>
              </w:rPr>
              <w:t xml:space="preserve"> is the total </w:t>
            </w:r>
            <w:proofErr w:type="spellStart"/>
            <w:r w:rsidRPr="00630129">
              <w:rPr>
                <w:i/>
                <w:sz w:val="22"/>
                <w:szCs w:val="22"/>
              </w:rPr>
              <w:t>cashflow</w:t>
            </w:r>
            <w:proofErr w:type="spellEnd"/>
            <w:r w:rsidRPr="00630129">
              <w:rPr>
                <w:i/>
                <w:sz w:val="22"/>
                <w:szCs w:val="22"/>
              </w:rPr>
              <w:t xml:space="preserve"> resulting from all accepted Bids and Offers from BM Unit </w:t>
            </w:r>
            <w:proofErr w:type="spellStart"/>
            <w:r w:rsidRPr="00630129">
              <w:rPr>
                <w:i/>
                <w:sz w:val="22"/>
                <w:szCs w:val="22"/>
              </w:rPr>
              <w:t>i</w:t>
            </w:r>
            <w:proofErr w:type="spellEnd"/>
            <w:r w:rsidRPr="00630129">
              <w:rPr>
                <w:i/>
                <w:sz w:val="22"/>
                <w:szCs w:val="22"/>
              </w:rPr>
              <w:t xml:space="preserve"> in Settlement Period j.</w:t>
            </w:r>
          </w:p>
        </w:tc>
      </w:tr>
      <w:tr w:rsidR="0099110B" w:rsidRPr="00630129" w14:paraId="5D553A49"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35EBA0F" w14:textId="77777777" w:rsidR="0099110B" w:rsidRPr="00630129" w:rsidRDefault="0099110B" w:rsidP="0099110B">
            <w:pPr>
              <w:rPr>
                <w:sz w:val="22"/>
                <w:szCs w:val="22"/>
              </w:rPr>
            </w:pPr>
            <w:r w:rsidRPr="00630129">
              <w:rPr>
                <w:sz w:val="22"/>
                <w:szCs w:val="22"/>
              </w:rPr>
              <w:t>Period BM Unit Demand Disconnection Volume</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414D82C" w14:textId="77777777" w:rsidR="0099110B" w:rsidRPr="00630129" w:rsidRDefault="0099110B" w:rsidP="0099110B">
            <w:pPr>
              <w:rPr>
                <w:sz w:val="22"/>
                <w:szCs w:val="22"/>
              </w:rPr>
            </w:pPr>
            <w:proofErr w:type="spellStart"/>
            <w:r w:rsidRPr="00630129">
              <w:rPr>
                <w:sz w:val="22"/>
                <w:szCs w:val="22"/>
              </w:rPr>
              <w:t>QDD</w:t>
            </w:r>
            <w:r w:rsidRPr="00630129">
              <w:rPr>
                <w:sz w:val="22"/>
                <w:szCs w:val="22"/>
                <w:vertAlign w:val="subscript"/>
              </w:rPr>
              <w:t>ij</w:t>
            </w:r>
            <w:proofErr w:type="spellEnd"/>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EB5DA3C" w14:textId="77777777" w:rsidR="0099110B" w:rsidRPr="00630129" w:rsidRDefault="0099110B" w:rsidP="0099110B">
            <w:pPr>
              <w:rPr>
                <w:sz w:val="22"/>
                <w:szCs w:val="22"/>
              </w:rPr>
            </w:pPr>
            <w:r w:rsidRPr="00630129">
              <w:rPr>
                <w:sz w:val="22"/>
                <w:szCs w:val="22"/>
              </w:rPr>
              <w:t>MWh</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182303A" w14:textId="77777777" w:rsidR="0099110B" w:rsidRPr="00630129" w:rsidRDefault="0099110B" w:rsidP="0099110B">
            <w:pPr>
              <w:spacing w:after="120"/>
              <w:rPr>
                <w:sz w:val="22"/>
                <w:szCs w:val="22"/>
              </w:rPr>
            </w:pPr>
            <w:r w:rsidRPr="00630129">
              <w:rPr>
                <w:sz w:val="22"/>
                <w:szCs w:val="22"/>
              </w:rPr>
              <w:t>The quantity established in accordance with Section R8.2.1.</w:t>
            </w:r>
          </w:p>
          <w:p w14:paraId="1A80E170" w14:textId="77777777" w:rsidR="0099110B" w:rsidRPr="00630129" w:rsidRDefault="0099110B" w:rsidP="0099110B">
            <w:pPr>
              <w:rPr>
                <w:i/>
                <w:sz w:val="22"/>
                <w:szCs w:val="22"/>
              </w:rPr>
            </w:pPr>
            <w:r w:rsidRPr="00630129">
              <w:rPr>
                <w:i/>
                <w:sz w:val="22"/>
                <w:szCs w:val="22"/>
              </w:rPr>
              <w:t xml:space="preserve">The Period BM Unit Demand Disconnection Volume is the volume of energy for BM Unit </w:t>
            </w:r>
            <w:proofErr w:type="spellStart"/>
            <w:r w:rsidRPr="00630129">
              <w:rPr>
                <w:i/>
                <w:sz w:val="22"/>
                <w:szCs w:val="22"/>
              </w:rPr>
              <w:t>i</w:t>
            </w:r>
            <w:proofErr w:type="spellEnd"/>
            <w:r w:rsidRPr="00630129">
              <w:rPr>
                <w:i/>
                <w:sz w:val="22"/>
                <w:szCs w:val="22"/>
              </w:rPr>
              <w:t xml:space="preserve"> in Settlement Period j that was subject to Demand Disconnection.</w:t>
            </w:r>
          </w:p>
        </w:tc>
      </w:tr>
      <w:tr w:rsidR="0099110B" w:rsidRPr="00630129" w14:paraId="56E7698E" w14:textId="77777777" w:rsidTr="00A63BA8">
        <w:trPr>
          <w:cantSplit/>
        </w:trPr>
        <w:tc>
          <w:tcPr>
            <w:tcW w:w="994" w:type="pct"/>
            <w:tcMar>
              <w:top w:w="85" w:type="dxa"/>
              <w:left w:w="85" w:type="dxa"/>
              <w:bottom w:w="85" w:type="dxa"/>
              <w:right w:w="85" w:type="dxa"/>
            </w:tcMar>
          </w:tcPr>
          <w:p w14:paraId="29A9EFFE" w14:textId="77777777" w:rsidR="0099110B" w:rsidRPr="00630129" w:rsidRDefault="0099110B" w:rsidP="0099110B">
            <w:pPr>
              <w:rPr>
                <w:sz w:val="22"/>
                <w:szCs w:val="22"/>
              </w:rPr>
            </w:pPr>
            <w:r w:rsidRPr="00630129">
              <w:rPr>
                <w:sz w:val="22"/>
                <w:szCs w:val="22"/>
              </w:rPr>
              <w:t>Period BM Unit Non-Delivered Bid Volume</w:t>
            </w:r>
          </w:p>
        </w:tc>
        <w:tc>
          <w:tcPr>
            <w:tcW w:w="974" w:type="pct"/>
            <w:tcMar>
              <w:top w:w="85" w:type="dxa"/>
              <w:left w:w="85" w:type="dxa"/>
              <w:bottom w:w="85" w:type="dxa"/>
              <w:right w:w="85" w:type="dxa"/>
            </w:tcMar>
          </w:tcPr>
          <w:p w14:paraId="7768A535" w14:textId="77777777" w:rsidR="0099110B" w:rsidRPr="00630129" w:rsidRDefault="0099110B" w:rsidP="0099110B">
            <w:pPr>
              <w:rPr>
                <w:sz w:val="22"/>
                <w:szCs w:val="22"/>
              </w:rPr>
            </w:pPr>
            <w:proofErr w:type="spellStart"/>
            <w:r w:rsidRPr="00630129">
              <w:rPr>
                <w:sz w:val="22"/>
                <w:szCs w:val="22"/>
              </w:rPr>
              <w:t>QNDB</w:t>
            </w:r>
            <w:r w:rsidRPr="00630129">
              <w:rPr>
                <w:sz w:val="22"/>
                <w:szCs w:val="22"/>
                <w:vertAlign w:val="subscript"/>
              </w:rPr>
              <w:t>ij</w:t>
            </w:r>
            <w:proofErr w:type="spellEnd"/>
          </w:p>
        </w:tc>
        <w:tc>
          <w:tcPr>
            <w:tcW w:w="492" w:type="pct"/>
            <w:tcMar>
              <w:top w:w="85" w:type="dxa"/>
              <w:left w:w="85" w:type="dxa"/>
              <w:bottom w:w="85" w:type="dxa"/>
              <w:right w:w="85" w:type="dxa"/>
            </w:tcMar>
          </w:tcPr>
          <w:p w14:paraId="0496DC77"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2A947E99" w14:textId="77777777" w:rsidR="0099110B" w:rsidRPr="00630129" w:rsidRDefault="0099110B" w:rsidP="0099110B">
            <w:pPr>
              <w:spacing w:after="120"/>
              <w:rPr>
                <w:sz w:val="22"/>
                <w:szCs w:val="22"/>
              </w:rPr>
            </w:pPr>
            <w:r w:rsidRPr="00630129">
              <w:rPr>
                <w:sz w:val="22"/>
                <w:szCs w:val="22"/>
              </w:rPr>
              <w:t>The quantity determined in accordance with Section T4.8.2.</w:t>
            </w:r>
          </w:p>
          <w:p w14:paraId="1DC9845B" w14:textId="77777777" w:rsidR="0099110B" w:rsidRPr="00630129" w:rsidRDefault="0099110B" w:rsidP="0099110B">
            <w:pPr>
              <w:rPr>
                <w:i/>
                <w:sz w:val="22"/>
                <w:szCs w:val="22"/>
              </w:rPr>
            </w:pPr>
            <w:r w:rsidRPr="00630129">
              <w:rPr>
                <w:i/>
                <w:sz w:val="22"/>
                <w:szCs w:val="22"/>
              </w:rPr>
              <w:t xml:space="preserve">The Period BM Unit Non-Delivered Bid Volume is the quantity of non-delivered Bids from BM Unit </w:t>
            </w:r>
            <w:proofErr w:type="spellStart"/>
            <w:r w:rsidRPr="00630129">
              <w:rPr>
                <w:i/>
                <w:sz w:val="22"/>
                <w:szCs w:val="22"/>
              </w:rPr>
              <w:t>i</w:t>
            </w:r>
            <w:proofErr w:type="spellEnd"/>
            <w:r w:rsidRPr="00630129">
              <w:rPr>
                <w:i/>
                <w:sz w:val="22"/>
                <w:szCs w:val="22"/>
              </w:rPr>
              <w:t xml:space="preserve"> in Settlement Period j.</w:t>
            </w:r>
          </w:p>
        </w:tc>
      </w:tr>
      <w:tr w:rsidR="0099110B" w:rsidRPr="00630129" w14:paraId="62441338" w14:textId="77777777" w:rsidTr="00A63BA8">
        <w:trPr>
          <w:cantSplit/>
        </w:trPr>
        <w:tc>
          <w:tcPr>
            <w:tcW w:w="994" w:type="pct"/>
            <w:tcMar>
              <w:top w:w="85" w:type="dxa"/>
              <w:left w:w="85" w:type="dxa"/>
              <w:bottom w:w="85" w:type="dxa"/>
              <w:right w:w="85" w:type="dxa"/>
            </w:tcMar>
          </w:tcPr>
          <w:p w14:paraId="06C945E7" w14:textId="77777777" w:rsidR="0099110B" w:rsidRPr="00630129" w:rsidRDefault="0099110B" w:rsidP="0099110B">
            <w:pPr>
              <w:rPr>
                <w:sz w:val="22"/>
                <w:szCs w:val="22"/>
              </w:rPr>
            </w:pPr>
            <w:r w:rsidRPr="00630129">
              <w:rPr>
                <w:sz w:val="22"/>
                <w:szCs w:val="22"/>
              </w:rPr>
              <w:t xml:space="preserve">Period BM Unit Non-Delivered Offer Volume </w:t>
            </w:r>
          </w:p>
        </w:tc>
        <w:tc>
          <w:tcPr>
            <w:tcW w:w="974" w:type="pct"/>
            <w:tcMar>
              <w:top w:w="85" w:type="dxa"/>
              <w:left w:w="85" w:type="dxa"/>
              <w:bottom w:w="85" w:type="dxa"/>
              <w:right w:w="85" w:type="dxa"/>
            </w:tcMar>
          </w:tcPr>
          <w:p w14:paraId="728B762C" w14:textId="77777777" w:rsidR="0099110B" w:rsidRPr="00630129" w:rsidRDefault="0099110B" w:rsidP="0099110B">
            <w:pPr>
              <w:rPr>
                <w:sz w:val="22"/>
                <w:szCs w:val="22"/>
              </w:rPr>
            </w:pPr>
            <w:proofErr w:type="spellStart"/>
            <w:r w:rsidRPr="00630129">
              <w:rPr>
                <w:sz w:val="22"/>
                <w:szCs w:val="22"/>
              </w:rPr>
              <w:t>QNDO</w:t>
            </w:r>
            <w:r w:rsidRPr="00630129">
              <w:rPr>
                <w:sz w:val="22"/>
                <w:szCs w:val="22"/>
                <w:vertAlign w:val="subscript"/>
              </w:rPr>
              <w:t>ij</w:t>
            </w:r>
            <w:proofErr w:type="spellEnd"/>
          </w:p>
        </w:tc>
        <w:tc>
          <w:tcPr>
            <w:tcW w:w="492" w:type="pct"/>
            <w:tcMar>
              <w:top w:w="85" w:type="dxa"/>
              <w:left w:w="85" w:type="dxa"/>
              <w:bottom w:w="85" w:type="dxa"/>
              <w:right w:w="85" w:type="dxa"/>
            </w:tcMar>
          </w:tcPr>
          <w:p w14:paraId="6B416C38"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47E19276" w14:textId="77777777" w:rsidR="0099110B" w:rsidRPr="00630129" w:rsidRDefault="0099110B" w:rsidP="0099110B">
            <w:pPr>
              <w:spacing w:after="120"/>
              <w:rPr>
                <w:sz w:val="22"/>
                <w:szCs w:val="22"/>
              </w:rPr>
            </w:pPr>
            <w:r w:rsidRPr="00630129">
              <w:rPr>
                <w:sz w:val="22"/>
                <w:szCs w:val="22"/>
              </w:rPr>
              <w:t>The quantity determined in accordance with Section T4.8.1.</w:t>
            </w:r>
          </w:p>
          <w:p w14:paraId="33BC84EC" w14:textId="77777777" w:rsidR="0099110B" w:rsidRPr="00630129" w:rsidRDefault="0099110B" w:rsidP="0099110B">
            <w:pPr>
              <w:rPr>
                <w:i/>
                <w:sz w:val="22"/>
                <w:szCs w:val="22"/>
              </w:rPr>
            </w:pPr>
            <w:r w:rsidRPr="00630129">
              <w:rPr>
                <w:i/>
                <w:sz w:val="22"/>
                <w:szCs w:val="22"/>
              </w:rPr>
              <w:t xml:space="preserve">The Period BM Unit Non-Delivered Offer Volume is the quantity of non-delivered Offers from BM Unit </w:t>
            </w:r>
            <w:proofErr w:type="spellStart"/>
            <w:r w:rsidRPr="00630129">
              <w:rPr>
                <w:i/>
                <w:sz w:val="22"/>
                <w:szCs w:val="22"/>
              </w:rPr>
              <w:t>i</w:t>
            </w:r>
            <w:proofErr w:type="spellEnd"/>
            <w:r w:rsidRPr="00630129">
              <w:rPr>
                <w:i/>
                <w:sz w:val="22"/>
                <w:szCs w:val="22"/>
              </w:rPr>
              <w:t xml:space="preserve"> in Settlement Period j.</w:t>
            </w:r>
          </w:p>
        </w:tc>
      </w:tr>
      <w:tr w:rsidR="0099110B" w:rsidRPr="00630129" w14:paraId="2DE9C767" w14:textId="77777777" w:rsidTr="00A63BA8">
        <w:trPr>
          <w:cantSplit/>
        </w:trPr>
        <w:tc>
          <w:tcPr>
            <w:tcW w:w="994" w:type="pct"/>
            <w:tcMar>
              <w:top w:w="85" w:type="dxa"/>
              <w:left w:w="85" w:type="dxa"/>
              <w:bottom w:w="85" w:type="dxa"/>
              <w:right w:w="85" w:type="dxa"/>
            </w:tcMar>
          </w:tcPr>
          <w:p w14:paraId="68A2421A" w14:textId="77777777" w:rsidR="0099110B" w:rsidRPr="00630129" w:rsidRDefault="0099110B" w:rsidP="0099110B">
            <w:pPr>
              <w:rPr>
                <w:sz w:val="22"/>
                <w:szCs w:val="22"/>
              </w:rPr>
            </w:pPr>
            <w:r w:rsidRPr="00630129">
              <w:rPr>
                <w:sz w:val="22"/>
                <w:szCs w:val="22"/>
              </w:rPr>
              <w:t xml:space="preserve">Period BM Unit Offer </w:t>
            </w:r>
            <w:proofErr w:type="spellStart"/>
            <w:r w:rsidRPr="00630129">
              <w:rPr>
                <w:sz w:val="22"/>
                <w:szCs w:val="22"/>
              </w:rPr>
              <w:t>Cashflow</w:t>
            </w:r>
            <w:proofErr w:type="spellEnd"/>
          </w:p>
        </w:tc>
        <w:tc>
          <w:tcPr>
            <w:tcW w:w="974" w:type="pct"/>
            <w:tcMar>
              <w:top w:w="85" w:type="dxa"/>
              <w:left w:w="85" w:type="dxa"/>
              <w:bottom w:w="85" w:type="dxa"/>
              <w:right w:w="85" w:type="dxa"/>
            </w:tcMar>
          </w:tcPr>
          <w:p w14:paraId="33CEDBD4" w14:textId="77777777" w:rsidR="0099110B" w:rsidRPr="00630129" w:rsidRDefault="0099110B" w:rsidP="0099110B">
            <w:pPr>
              <w:rPr>
                <w:sz w:val="22"/>
                <w:szCs w:val="22"/>
              </w:rPr>
            </w:pPr>
            <w:proofErr w:type="spellStart"/>
            <w:r w:rsidRPr="00630129">
              <w:rPr>
                <w:sz w:val="22"/>
                <w:szCs w:val="22"/>
              </w:rPr>
              <w:t>CO</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21D41B93"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61329BC9" w14:textId="77777777" w:rsidR="0099110B" w:rsidRPr="00630129" w:rsidRDefault="0099110B" w:rsidP="0099110B">
            <w:pPr>
              <w:spacing w:after="120"/>
              <w:rPr>
                <w:sz w:val="22"/>
                <w:szCs w:val="22"/>
              </w:rPr>
            </w:pPr>
            <w:r w:rsidRPr="00630129">
              <w:rPr>
                <w:sz w:val="22"/>
                <w:szCs w:val="22"/>
              </w:rPr>
              <w:t>The amount determined in accordance with Section T3.10.1.</w:t>
            </w:r>
          </w:p>
          <w:p w14:paraId="6D8F4F80" w14:textId="77777777" w:rsidR="0099110B" w:rsidRPr="00630129" w:rsidRDefault="0099110B" w:rsidP="0099110B">
            <w:pPr>
              <w:rPr>
                <w:i/>
                <w:sz w:val="22"/>
                <w:szCs w:val="22"/>
              </w:rPr>
            </w:pPr>
            <w:r w:rsidRPr="00630129">
              <w:rPr>
                <w:i/>
                <w:sz w:val="22"/>
                <w:szCs w:val="22"/>
              </w:rPr>
              <w:t xml:space="preserve">The Period BM Unit Offer </w:t>
            </w:r>
            <w:proofErr w:type="spellStart"/>
            <w:r w:rsidRPr="00630129">
              <w:rPr>
                <w:i/>
                <w:sz w:val="22"/>
                <w:szCs w:val="22"/>
              </w:rPr>
              <w:t>Cashflow</w:t>
            </w:r>
            <w:proofErr w:type="spellEnd"/>
            <w:r w:rsidRPr="00630129">
              <w:rPr>
                <w:i/>
                <w:sz w:val="22"/>
                <w:szCs w:val="22"/>
              </w:rPr>
              <w:t xml:space="preserve"> is the total </w:t>
            </w:r>
            <w:proofErr w:type="spellStart"/>
            <w:r w:rsidRPr="00630129">
              <w:rPr>
                <w:i/>
                <w:sz w:val="22"/>
                <w:szCs w:val="22"/>
              </w:rPr>
              <w:t>cashflow</w:t>
            </w:r>
            <w:proofErr w:type="spellEnd"/>
            <w:r w:rsidRPr="00630129">
              <w:rPr>
                <w:i/>
                <w:sz w:val="22"/>
                <w:szCs w:val="22"/>
              </w:rPr>
              <w:t xml:space="preserve"> resulting from accepted volumes of Offer n from BM Unit </w:t>
            </w:r>
            <w:proofErr w:type="spellStart"/>
            <w:r w:rsidRPr="00630129">
              <w:rPr>
                <w:i/>
                <w:sz w:val="22"/>
                <w:szCs w:val="22"/>
              </w:rPr>
              <w:t>i</w:t>
            </w:r>
            <w:proofErr w:type="spellEnd"/>
            <w:r w:rsidRPr="00630129">
              <w:rPr>
                <w:i/>
                <w:sz w:val="22"/>
                <w:szCs w:val="22"/>
              </w:rPr>
              <w:t xml:space="preserve"> in Settlement Period j.</w:t>
            </w:r>
          </w:p>
        </w:tc>
      </w:tr>
      <w:tr w:rsidR="0099110B" w:rsidRPr="00630129" w14:paraId="26B57D04" w14:textId="77777777" w:rsidTr="00A63BA8">
        <w:trPr>
          <w:cantSplit/>
        </w:trPr>
        <w:tc>
          <w:tcPr>
            <w:tcW w:w="994" w:type="pct"/>
            <w:tcMar>
              <w:top w:w="85" w:type="dxa"/>
              <w:left w:w="85" w:type="dxa"/>
              <w:bottom w:w="85" w:type="dxa"/>
              <w:right w:w="85" w:type="dxa"/>
            </w:tcMar>
          </w:tcPr>
          <w:p w14:paraId="7C939574" w14:textId="77777777" w:rsidR="0099110B" w:rsidRPr="00630129" w:rsidRDefault="0099110B" w:rsidP="0099110B">
            <w:pPr>
              <w:rPr>
                <w:sz w:val="22"/>
                <w:szCs w:val="22"/>
              </w:rPr>
            </w:pPr>
            <w:r w:rsidRPr="00630129">
              <w:rPr>
                <w:sz w:val="22"/>
                <w:szCs w:val="22"/>
              </w:rPr>
              <w:t xml:space="preserve">Period BM Unit Total Accepted Bid Volume </w:t>
            </w:r>
          </w:p>
        </w:tc>
        <w:tc>
          <w:tcPr>
            <w:tcW w:w="974" w:type="pct"/>
            <w:tcMar>
              <w:top w:w="85" w:type="dxa"/>
              <w:left w:w="85" w:type="dxa"/>
              <w:bottom w:w="85" w:type="dxa"/>
              <w:right w:w="85" w:type="dxa"/>
            </w:tcMar>
          </w:tcPr>
          <w:p w14:paraId="44D97794" w14:textId="77777777" w:rsidR="0099110B" w:rsidRPr="00630129" w:rsidRDefault="0099110B" w:rsidP="0099110B">
            <w:pPr>
              <w:rPr>
                <w:sz w:val="22"/>
                <w:szCs w:val="22"/>
              </w:rPr>
            </w:pPr>
            <w:proofErr w:type="spellStart"/>
            <w:r w:rsidRPr="00630129">
              <w:rPr>
                <w:sz w:val="22"/>
                <w:szCs w:val="22"/>
              </w:rPr>
              <w:t>QAB</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65CD4D18"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101373E1" w14:textId="77777777" w:rsidR="0099110B" w:rsidRPr="00630129" w:rsidRDefault="0099110B" w:rsidP="0099110B">
            <w:pPr>
              <w:spacing w:after="120"/>
              <w:rPr>
                <w:sz w:val="22"/>
                <w:szCs w:val="22"/>
              </w:rPr>
            </w:pPr>
            <w:r w:rsidRPr="00630129">
              <w:rPr>
                <w:sz w:val="22"/>
                <w:szCs w:val="22"/>
              </w:rPr>
              <w:t>The quantity established in accordance with Section T3.9.2.</w:t>
            </w:r>
          </w:p>
          <w:p w14:paraId="55513044" w14:textId="77777777" w:rsidR="0099110B" w:rsidRPr="00630129" w:rsidRDefault="0099110B" w:rsidP="0099110B">
            <w:pPr>
              <w:rPr>
                <w:i/>
                <w:sz w:val="22"/>
                <w:szCs w:val="22"/>
              </w:rPr>
            </w:pPr>
            <w:r w:rsidRPr="00630129">
              <w:rPr>
                <w:i/>
                <w:sz w:val="22"/>
                <w:szCs w:val="22"/>
              </w:rPr>
              <w:t>The Period</w:t>
            </w:r>
            <w:r w:rsidRPr="00630129">
              <w:t xml:space="preserve"> </w:t>
            </w:r>
            <w:r w:rsidRPr="00630129">
              <w:rPr>
                <w:i/>
                <w:sz w:val="22"/>
                <w:szCs w:val="22"/>
              </w:rPr>
              <w:t xml:space="preserve">BM Unit Total Accepted Bid Volume is the quantity of Bid n, accepted in respect of BM Unit </w:t>
            </w:r>
            <w:proofErr w:type="spellStart"/>
            <w:r w:rsidRPr="00630129">
              <w:rPr>
                <w:i/>
                <w:sz w:val="22"/>
                <w:szCs w:val="22"/>
              </w:rPr>
              <w:t>i</w:t>
            </w:r>
            <w:proofErr w:type="spellEnd"/>
            <w:r w:rsidRPr="00630129">
              <w:rPr>
                <w:i/>
                <w:sz w:val="22"/>
                <w:szCs w:val="22"/>
              </w:rPr>
              <w:t>, in Settlement Period j, as a result of all Acceptances that are not flagged as relating to an RR Schedule.</w:t>
            </w:r>
          </w:p>
        </w:tc>
      </w:tr>
      <w:tr w:rsidR="0099110B" w:rsidRPr="00630129" w14:paraId="3300B4EB" w14:textId="77777777" w:rsidTr="00A63BA8">
        <w:trPr>
          <w:cantSplit/>
        </w:trPr>
        <w:tc>
          <w:tcPr>
            <w:tcW w:w="994" w:type="pct"/>
            <w:tcMar>
              <w:top w:w="85" w:type="dxa"/>
              <w:left w:w="85" w:type="dxa"/>
              <w:bottom w:w="85" w:type="dxa"/>
              <w:right w:w="85" w:type="dxa"/>
            </w:tcMar>
          </w:tcPr>
          <w:p w14:paraId="1B89D3E7" w14:textId="77777777" w:rsidR="0099110B" w:rsidRPr="00630129" w:rsidRDefault="0099110B" w:rsidP="0099110B">
            <w:pPr>
              <w:rPr>
                <w:sz w:val="22"/>
                <w:szCs w:val="22"/>
              </w:rPr>
            </w:pPr>
            <w:r w:rsidRPr="00630129">
              <w:rPr>
                <w:sz w:val="22"/>
                <w:szCs w:val="22"/>
              </w:rPr>
              <w:lastRenderedPageBreak/>
              <w:t>Period BM Unit Total Accepted Offer Volume</w:t>
            </w:r>
          </w:p>
        </w:tc>
        <w:tc>
          <w:tcPr>
            <w:tcW w:w="974" w:type="pct"/>
            <w:tcMar>
              <w:top w:w="85" w:type="dxa"/>
              <w:left w:w="85" w:type="dxa"/>
              <w:bottom w:w="85" w:type="dxa"/>
              <w:right w:w="85" w:type="dxa"/>
            </w:tcMar>
          </w:tcPr>
          <w:p w14:paraId="11930968" w14:textId="77777777" w:rsidR="0099110B" w:rsidRPr="00630129" w:rsidRDefault="0099110B" w:rsidP="0099110B">
            <w:pPr>
              <w:rPr>
                <w:sz w:val="22"/>
                <w:szCs w:val="22"/>
              </w:rPr>
            </w:pPr>
            <w:proofErr w:type="spellStart"/>
            <w:r w:rsidRPr="00630129">
              <w:rPr>
                <w:sz w:val="22"/>
                <w:szCs w:val="22"/>
              </w:rPr>
              <w:t>QAO</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50DC8F01"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38670A5B" w14:textId="77777777" w:rsidR="0099110B" w:rsidRPr="00630129" w:rsidRDefault="0099110B" w:rsidP="0099110B">
            <w:pPr>
              <w:spacing w:after="120"/>
              <w:rPr>
                <w:sz w:val="22"/>
                <w:szCs w:val="22"/>
              </w:rPr>
            </w:pPr>
            <w:r w:rsidRPr="00630129">
              <w:rPr>
                <w:sz w:val="22"/>
                <w:szCs w:val="22"/>
              </w:rPr>
              <w:t>The quantity established in accordance with Section T3.9.1.</w:t>
            </w:r>
          </w:p>
          <w:p w14:paraId="64051B99" w14:textId="77777777" w:rsidR="0099110B" w:rsidRPr="00630129" w:rsidRDefault="0099110B" w:rsidP="0099110B">
            <w:pPr>
              <w:rPr>
                <w:i/>
                <w:sz w:val="22"/>
                <w:szCs w:val="22"/>
              </w:rPr>
            </w:pPr>
            <w:r w:rsidRPr="00630129">
              <w:rPr>
                <w:i/>
                <w:sz w:val="22"/>
                <w:szCs w:val="22"/>
              </w:rPr>
              <w:t>The Period</w:t>
            </w:r>
            <w:r w:rsidRPr="00630129">
              <w:t xml:space="preserve"> </w:t>
            </w:r>
            <w:r w:rsidRPr="00630129">
              <w:rPr>
                <w:i/>
                <w:sz w:val="22"/>
                <w:szCs w:val="22"/>
              </w:rPr>
              <w:t xml:space="preserve">BM Unit Total Accepted Offer Volume is the quantity of Offer n, accepted in respect of BM Unit </w:t>
            </w:r>
            <w:proofErr w:type="spellStart"/>
            <w:r w:rsidRPr="00630129">
              <w:rPr>
                <w:i/>
                <w:sz w:val="22"/>
                <w:szCs w:val="22"/>
              </w:rPr>
              <w:t>i</w:t>
            </w:r>
            <w:proofErr w:type="spellEnd"/>
            <w:r w:rsidRPr="00630129">
              <w:rPr>
                <w:i/>
                <w:sz w:val="22"/>
                <w:szCs w:val="22"/>
              </w:rPr>
              <w:t>, in Settlement Period j, as a result of all Acceptances that are not flagged as relating to an RR Schedule.</w:t>
            </w:r>
          </w:p>
        </w:tc>
      </w:tr>
      <w:tr w:rsidR="0099110B" w:rsidRPr="00630129" w14:paraId="7379618B" w14:textId="77777777" w:rsidTr="00A63BA8">
        <w:trPr>
          <w:cantSplit/>
        </w:trPr>
        <w:tc>
          <w:tcPr>
            <w:tcW w:w="994" w:type="pct"/>
            <w:tcMar>
              <w:top w:w="85" w:type="dxa"/>
              <w:left w:w="85" w:type="dxa"/>
              <w:bottom w:w="85" w:type="dxa"/>
              <w:right w:w="85" w:type="dxa"/>
            </w:tcMar>
          </w:tcPr>
          <w:p w14:paraId="3D296A45" w14:textId="77777777" w:rsidR="0099110B" w:rsidRPr="00630129" w:rsidRDefault="0099110B" w:rsidP="0099110B">
            <w:pPr>
              <w:rPr>
                <w:sz w:val="22"/>
                <w:szCs w:val="22"/>
              </w:rPr>
            </w:pPr>
            <w:r w:rsidRPr="00630129">
              <w:rPr>
                <w:sz w:val="22"/>
                <w:szCs w:val="22"/>
              </w:rPr>
              <w:t>Period Deemed Standard Product Bid Volume</w:t>
            </w:r>
          </w:p>
        </w:tc>
        <w:tc>
          <w:tcPr>
            <w:tcW w:w="974" w:type="pct"/>
            <w:tcMar>
              <w:top w:w="85" w:type="dxa"/>
              <w:left w:w="85" w:type="dxa"/>
              <w:bottom w:w="85" w:type="dxa"/>
              <w:right w:w="85" w:type="dxa"/>
            </w:tcMar>
          </w:tcPr>
          <w:p w14:paraId="78DEBD2B" w14:textId="77777777" w:rsidR="0099110B" w:rsidRPr="00630129" w:rsidRDefault="0099110B" w:rsidP="0099110B">
            <w:pPr>
              <w:rPr>
                <w:sz w:val="22"/>
                <w:szCs w:val="22"/>
              </w:rPr>
            </w:pPr>
            <w:proofErr w:type="spellStart"/>
            <w:r w:rsidRPr="00630129">
              <w:rPr>
                <w:sz w:val="22"/>
                <w:szCs w:val="22"/>
              </w:rPr>
              <w:t>DSPB</w:t>
            </w:r>
            <w:r w:rsidRPr="00630129">
              <w:rPr>
                <w:sz w:val="22"/>
                <w:szCs w:val="22"/>
                <w:vertAlign w:val="superscript"/>
              </w:rPr>
              <w:t>J</w:t>
            </w:r>
            <w:r w:rsidRPr="00630129">
              <w:rPr>
                <w:sz w:val="22"/>
                <w:szCs w:val="22"/>
                <w:vertAlign w:val="subscript"/>
              </w:rPr>
              <w:t>ij</w:t>
            </w:r>
            <w:proofErr w:type="spellEnd"/>
          </w:p>
        </w:tc>
        <w:tc>
          <w:tcPr>
            <w:tcW w:w="492" w:type="pct"/>
            <w:tcMar>
              <w:top w:w="85" w:type="dxa"/>
              <w:left w:w="85" w:type="dxa"/>
              <w:bottom w:w="85" w:type="dxa"/>
              <w:right w:w="85" w:type="dxa"/>
            </w:tcMar>
          </w:tcPr>
          <w:p w14:paraId="140C0E3D"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2D8AF821" w14:textId="77777777" w:rsidR="0099110B" w:rsidRPr="00630129" w:rsidRDefault="0099110B" w:rsidP="0099110B">
            <w:pPr>
              <w:spacing w:after="120"/>
              <w:rPr>
                <w:sz w:val="22"/>
                <w:szCs w:val="22"/>
              </w:rPr>
            </w:pPr>
            <w:r w:rsidRPr="00630129">
              <w:rPr>
                <w:sz w:val="22"/>
                <w:szCs w:val="22"/>
              </w:rPr>
              <w:t>The quantity established in accordance with Section T3.20.2.</w:t>
            </w:r>
          </w:p>
          <w:p w14:paraId="475DC5C8" w14:textId="77777777" w:rsidR="0099110B" w:rsidRPr="00630129" w:rsidRDefault="0099110B" w:rsidP="0099110B">
            <w:pPr>
              <w:rPr>
                <w:sz w:val="22"/>
                <w:szCs w:val="22"/>
              </w:rPr>
            </w:pPr>
            <w:r w:rsidRPr="00630129">
              <w:rPr>
                <w:i/>
                <w:sz w:val="22"/>
                <w:szCs w:val="22"/>
              </w:rPr>
              <w:t xml:space="preserve">The Period Deemed Standard Product Bid Volume is the volume of Bid, accepted in respect of BM Unit </w:t>
            </w:r>
            <w:proofErr w:type="spellStart"/>
            <w:r w:rsidRPr="00630129">
              <w:rPr>
                <w:i/>
                <w:sz w:val="22"/>
                <w:szCs w:val="22"/>
              </w:rPr>
              <w:t>i</w:t>
            </w:r>
            <w:proofErr w:type="spellEnd"/>
            <w:r w:rsidRPr="00630129">
              <w:rPr>
                <w:i/>
                <w:sz w:val="22"/>
                <w:szCs w:val="22"/>
              </w:rPr>
              <w:t>, in Settlement Period j as a result of an acceptance of a Replacement Reserve Bid in Quarter Hour J.</w:t>
            </w:r>
          </w:p>
        </w:tc>
      </w:tr>
      <w:tr w:rsidR="0099110B" w:rsidRPr="00630129" w14:paraId="78646BA1" w14:textId="77777777" w:rsidTr="00A63BA8">
        <w:trPr>
          <w:cantSplit/>
        </w:trPr>
        <w:tc>
          <w:tcPr>
            <w:tcW w:w="994" w:type="pct"/>
            <w:tcMar>
              <w:top w:w="85" w:type="dxa"/>
              <w:left w:w="85" w:type="dxa"/>
              <w:bottom w:w="85" w:type="dxa"/>
              <w:right w:w="85" w:type="dxa"/>
            </w:tcMar>
          </w:tcPr>
          <w:p w14:paraId="12A0142D" w14:textId="77777777" w:rsidR="0099110B" w:rsidRPr="00630129" w:rsidRDefault="0099110B" w:rsidP="0099110B">
            <w:pPr>
              <w:rPr>
                <w:sz w:val="22"/>
                <w:szCs w:val="22"/>
              </w:rPr>
            </w:pPr>
            <w:r w:rsidRPr="00630129">
              <w:rPr>
                <w:sz w:val="22"/>
                <w:szCs w:val="22"/>
              </w:rPr>
              <w:t>Period Deemed Standard Product Offer Volume</w:t>
            </w:r>
          </w:p>
        </w:tc>
        <w:tc>
          <w:tcPr>
            <w:tcW w:w="974" w:type="pct"/>
            <w:tcMar>
              <w:top w:w="85" w:type="dxa"/>
              <w:left w:w="85" w:type="dxa"/>
              <w:bottom w:w="85" w:type="dxa"/>
              <w:right w:w="85" w:type="dxa"/>
            </w:tcMar>
          </w:tcPr>
          <w:p w14:paraId="2232AD6F" w14:textId="77777777" w:rsidR="0099110B" w:rsidRPr="00630129" w:rsidRDefault="0099110B" w:rsidP="0099110B">
            <w:pPr>
              <w:rPr>
                <w:sz w:val="22"/>
                <w:szCs w:val="22"/>
              </w:rPr>
            </w:pPr>
            <w:proofErr w:type="spellStart"/>
            <w:r w:rsidRPr="00630129">
              <w:rPr>
                <w:sz w:val="22"/>
                <w:szCs w:val="22"/>
              </w:rPr>
              <w:t>DSPO</w:t>
            </w:r>
            <w:r w:rsidRPr="00630129">
              <w:rPr>
                <w:sz w:val="22"/>
                <w:szCs w:val="22"/>
                <w:vertAlign w:val="superscript"/>
              </w:rPr>
              <w:t>J</w:t>
            </w:r>
            <w:r w:rsidRPr="00630129">
              <w:rPr>
                <w:sz w:val="22"/>
                <w:szCs w:val="22"/>
                <w:vertAlign w:val="subscript"/>
              </w:rPr>
              <w:t>ij</w:t>
            </w:r>
            <w:proofErr w:type="spellEnd"/>
          </w:p>
        </w:tc>
        <w:tc>
          <w:tcPr>
            <w:tcW w:w="492" w:type="pct"/>
            <w:tcMar>
              <w:top w:w="85" w:type="dxa"/>
              <w:left w:w="85" w:type="dxa"/>
              <w:bottom w:w="85" w:type="dxa"/>
              <w:right w:w="85" w:type="dxa"/>
            </w:tcMar>
          </w:tcPr>
          <w:p w14:paraId="0D343FD0"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2880C2CA" w14:textId="77777777" w:rsidR="0099110B" w:rsidRPr="00630129" w:rsidRDefault="0099110B" w:rsidP="0099110B">
            <w:pPr>
              <w:spacing w:after="120"/>
              <w:rPr>
                <w:sz w:val="22"/>
                <w:szCs w:val="22"/>
              </w:rPr>
            </w:pPr>
            <w:r w:rsidRPr="00630129">
              <w:rPr>
                <w:sz w:val="22"/>
                <w:szCs w:val="22"/>
              </w:rPr>
              <w:t>The quantity established in accordance with Section T3.20.1.</w:t>
            </w:r>
          </w:p>
          <w:p w14:paraId="6EBD8A02" w14:textId="77777777" w:rsidR="0099110B" w:rsidRPr="00630129" w:rsidRDefault="0099110B" w:rsidP="0099110B">
            <w:pPr>
              <w:rPr>
                <w:sz w:val="22"/>
                <w:szCs w:val="22"/>
              </w:rPr>
            </w:pPr>
            <w:r w:rsidRPr="00630129">
              <w:rPr>
                <w:i/>
                <w:sz w:val="22"/>
                <w:szCs w:val="22"/>
              </w:rPr>
              <w:t xml:space="preserve">The Period Deemed Standard Product Offer Volume is the volume of Offer, accepted in respect of BM Unit </w:t>
            </w:r>
            <w:proofErr w:type="spellStart"/>
            <w:r w:rsidRPr="00630129">
              <w:rPr>
                <w:i/>
                <w:sz w:val="22"/>
                <w:szCs w:val="22"/>
              </w:rPr>
              <w:t>i</w:t>
            </w:r>
            <w:proofErr w:type="spellEnd"/>
            <w:r w:rsidRPr="00630129">
              <w:rPr>
                <w:i/>
                <w:sz w:val="22"/>
                <w:szCs w:val="22"/>
              </w:rPr>
              <w:t>, in Settlement Period j as a result of an acceptance of a Replacement Reserve Bid in Quarter Hour J.</w:t>
            </w:r>
          </w:p>
        </w:tc>
      </w:tr>
      <w:tr w:rsidR="0099110B" w:rsidRPr="00630129" w14:paraId="556C24BF" w14:textId="77777777" w:rsidTr="00A63BA8">
        <w:trPr>
          <w:cantSplit/>
        </w:trPr>
        <w:tc>
          <w:tcPr>
            <w:tcW w:w="994" w:type="pct"/>
            <w:tcMar>
              <w:top w:w="85" w:type="dxa"/>
              <w:left w:w="85" w:type="dxa"/>
              <w:bottom w:w="85" w:type="dxa"/>
              <w:right w:w="85" w:type="dxa"/>
            </w:tcMar>
          </w:tcPr>
          <w:p w14:paraId="3F81F7E6" w14:textId="77777777" w:rsidR="0099110B" w:rsidRPr="00630129" w:rsidRDefault="0099110B" w:rsidP="0099110B">
            <w:pPr>
              <w:rPr>
                <w:sz w:val="22"/>
                <w:szCs w:val="22"/>
              </w:rPr>
            </w:pPr>
            <w:r w:rsidRPr="00630129">
              <w:rPr>
                <w:sz w:val="22"/>
                <w:szCs w:val="22"/>
              </w:rPr>
              <w:t xml:space="preserve">Period Expected Metered Volume </w:t>
            </w:r>
          </w:p>
        </w:tc>
        <w:tc>
          <w:tcPr>
            <w:tcW w:w="974" w:type="pct"/>
            <w:tcMar>
              <w:top w:w="85" w:type="dxa"/>
              <w:left w:w="85" w:type="dxa"/>
              <w:bottom w:w="85" w:type="dxa"/>
              <w:right w:w="85" w:type="dxa"/>
            </w:tcMar>
          </w:tcPr>
          <w:p w14:paraId="7810087F" w14:textId="77777777" w:rsidR="0099110B" w:rsidRPr="00630129" w:rsidRDefault="0099110B" w:rsidP="0099110B">
            <w:pPr>
              <w:rPr>
                <w:sz w:val="22"/>
                <w:szCs w:val="22"/>
              </w:rPr>
            </w:pPr>
            <w:proofErr w:type="spellStart"/>
            <w:r w:rsidRPr="00630129">
              <w:rPr>
                <w:sz w:val="22"/>
                <w:szCs w:val="22"/>
              </w:rPr>
              <w:t>QME</w:t>
            </w:r>
            <w:r w:rsidRPr="00630129">
              <w:rPr>
                <w:sz w:val="22"/>
                <w:szCs w:val="22"/>
                <w:vertAlign w:val="subscript"/>
              </w:rPr>
              <w:t>ij</w:t>
            </w:r>
            <w:proofErr w:type="spellEnd"/>
          </w:p>
        </w:tc>
        <w:tc>
          <w:tcPr>
            <w:tcW w:w="492" w:type="pct"/>
            <w:tcMar>
              <w:top w:w="85" w:type="dxa"/>
              <w:left w:w="85" w:type="dxa"/>
              <w:bottom w:w="85" w:type="dxa"/>
              <w:right w:w="85" w:type="dxa"/>
            </w:tcMar>
          </w:tcPr>
          <w:p w14:paraId="1A22D717"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45A25703" w14:textId="77777777" w:rsidR="0099110B" w:rsidRPr="00630129" w:rsidRDefault="0099110B" w:rsidP="0099110B">
            <w:pPr>
              <w:spacing w:after="120"/>
              <w:rPr>
                <w:sz w:val="22"/>
                <w:szCs w:val="22"/>
              </w:rPr>
            </w:pPr>
            <w:r w:rsidRPr="00630129">
              <w:rPr>
                <w:sz w:val="22"/>
                <w:szCs w:val="22"/>
              </w:rPr>
              <w:t>The quantity determined in accordance with Section T4.3.3.</w:t>
            </w:r>
          </w:p>
          <w:p w14:paraId="7FF0D6C4" w14:textId="77777777" w:rsidR="0099110B" w:rsidRPr="00630129" w:rsidRDefault="0099110B" w:rsidP="0099110B">
            <w:pPr>
              <w:rPr>
                <w:i/>
                <w:sz w:val="22"/>
                <w:szCs w:val="22"/>
              </w:rPr>
            </w:pPr>
            <w:r w:rsidRPr="00630129">
              <w:rPr>
                <w:i/>
                <w:sz w:val="22"/>
                <w:szCs w:val="22"/>
              </w:rPr>
              <w:t xml:space="preserve">The Period Expected Metered Volume is the quantity of energy that a particular BM Unit </w:t>
            </w:r>
            <w:proofErr w:type="spellStart"/>
            <w:r w:rsidRPr="00630129">
              <w:rPr>
                <w:i/>
                <w:sz w:val="22"/>
                <w:szCs w:val="22"/>
              </w:rPr>
              <w:t>i</w:t>
            </w:r>
            <w:proofErr w:type="spellEnd"/>
            <w:r w:rsidRPr="00630129">
              <w:rPr>
                <w:i/>
                <w:sz w:val="22"/>
                <w:szCs w:val="22"/>
              </w:rPr>
              <w:t>, is expected to export or import in Settlement Period j, after taking account of any accepted offers or bids.</w:t>
            </w:r>
          </w:p>
        </w:tc>
      </w:tr>
      <w:tr w:rsidR="0099110B" w:rsidRPr="00630129" w14:paraId="68A63971" w14:textId="77777777" w:rsidTr="00A63BA8">
        <w:trPr>
          <w:cantSplit/>
        </w:trPr>
        <w:tc>
          <w:tcPr>
            <w:tcW w:w="994" w:type="pct"/>
            <w:tcMar>
              <w:top w:w="85" w:type="dxa"/>
              <w:left w:w="85" w:type="dxa"/>
              <w:bottom w:w="85" w:type="dxa"/>
              <w:right w:w="85" w:type="dxa"/>
            </w:tcMar>
          </w:tcPr>
          <w:p w14:paraId="30CAA3DB" w14:textId="77777777" w:rsidR="0099110B" w:rsidRPr="00630129" w:rsidRDefault="0099110B" w:rsidP="0099110B">
            <w:pPr>
              <w:rPr>
                <w:sz w:val="22"/>
                <w:szCs w:val="22"/>
              </w:rPr>
            </w:pPr>
            <w:r w:rsidRPr="00630129">
              <w:rPr>
                <w:sz w:val="22"/>
                <w:szCs w:val="22"/>
              </w:rPr>
              <w:t>Period FPN</w:t>
            </w:r>
          </w:p>
        </w:tc>
        <w:tc>
          <w:tcPr>
            <w:tcW w:w="974" w:type="pct"/>
            <w:tcMar>
              <w:top w:w="85" w:type="dxa"/>
              <w:left w:w="85" w:type="dxa"/>
              <w:bottom w:w="85" w:type="dxa"/>
              <w:right w:w="85" w:type="dxa"/>
            </w:tcMar>
          </w:tcPr>
          <w:p w14:paraId="68FCD4AF" w14:textId="77777777" w:rsidR="0099110B" w:rsidRPr="00630129" w:rsidRDefault="0099110B" w:rsidP="0099110B">
            <w:pPr>
              <w:rPr>
                <w:sz w:val="22"/>
                <w:szCs w:val="22"/>
              </w:rPr>
            </w:pPr>
            <w:proofErr w:type="spellStart"/>
            <w:r w:rsidRPr="00630129">
              <w:rPr>
                <w:sz w:val="22"/>
                <w:szCs w:val="22"/>
              </w:rPr>
              <w:t>FPN</w:t>
            </w:r>
            <w:r w:rsidRPr="00630129">
              <w:rPr>
                <w:sz w:val="22"/>
                <w:szCs w:val="22"/>
                <w:vertAlign w:val="subscript"/>
              </w:rPr>
              <w:t>ij</w:t>
            </w:r>
            <w:proofErr w:type="spellEnd"/>
          </w:p>
        </w:tc>
        <w:tc>
          <w:tcPr>
            <w:tcW w:w="492" w:type="pct"/>
            <w:tcMar>
              <w:top w:w="85" w:type="dxa"/>
              <w:left w:w="85" w:type="dxa"/>
              <w:bottom w:w="85" w:type="dxa"/>
              <w:right w:w="85" w:type="dxa"/>
            </w:tcMar>
          </w:tcPr>
          <w:p w14:paraId="46782C65"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0B4BEAF9" w14:textId="77777777" w:rsidR="0099110B" w:rsidRPr="00630129" w:rsidRDefault="0099110B" w:rsidP="0099110B">
            <w:pPr>
              <w:spacing w:after="120"/>
              <w:rPr>
                <w:sz w:val="22"/>
                <w:szCs w:val="22"/>
              </w:rPr>
            </w:pPr>
            <w:r w:rsidRPr="00630129">
              <w:rPr>
                <w:sz w:val="22"/>
                <w:szCs w:val="22"/>
              </w:rPr>
              <w:t>The quantity determined in accordance with T4.3.1.</w:t>
            </w:r>
          </w:p>
          <w:p w14:paraId="7A82027C" w14:textId="77777777" w:rsidR="0099110B" w:rsidRPr="00630129" w:rsidRDefault="0099110B" w:rsidP="0099110B">
            <w:pPr>
              <w:rPr>
                <w:i/>
                <w:sz w:val="22"/>
                <w:szCs w:val="22"/>
              </w:rPr>
            </w:pPr>
            <w:r w:rsidRPr="00630129">
              <w:rPr>
                <w:i/>
                <w:sz w:val="22"/>
                <w:szCs w:val="22"/>
              </w:rPr>
              <w:t xml:space="preserve">The Period FPN is the integrated MWh of energy implied by integrating the Final Physical Notification for BM Unit </w:t>
            </w:r>
            <w:proofErr w:type="spellStart"/>
            <w:r w:rsidRPr="00630129">
              <w:rPr>
                <w:i/>
                <w:sz w:val="22"/>
                <w:szCs w:val="22"/>
              </w:rPr>
              <w:t>i</w:t>
            </w:r>
            <w:proofErr w:type="spellEnd"/>
            <w:r w:rsidRPr="00630129">
              <w:rPr>
                <w:i/>
                <w:sz w:val="22"/>
                <w:szCs w:val="22"/>
              </w:rPr>
              <w:t xml:space="preserve"> over Settlement Period j.</w:t>
            </w:r>
          </w:p>
        </w:tc>
      </w:tr>
      <w:tr w:rsidR="0099110B" w:rsidRPr="00630129" w14:paraId="481E58A0" w14:textId="77777777" w:rsidTr="00A63BA8">
        <w:trPr>
          <w:cantSplit/>
        </w:trPr>
        <w:tc>
          <w:tcPr>
            <w:tcW w:w="994" w:type="pct"/>
            <w:tcMar>
              <w:top w:w="85" w:type="dxa"/>
              <w:left w:w="85" w:type="dxa"/>
              <w:bottom w:w="85" w:type="dxa"/>
              <w:right w:w="85" w:type="dxa"/>
            </w:tcMar>
          </w:tcPr>
          <w:p w14:paraId="4BF6A18E" w14:textId="77777777" w:rsidR="0099110B" w:rsidRPr="00630129" w:rsidRDefault="0099110B" w:rsidP="0099110B">
            <w:pPr>
              <w:rPr>
                <w:sz w:val="22"/>
                <w:szCs w:val="22"/>
              </w:rPr>
            </w:pPr>
            <w:r w:rsidRPr="00630129">
              <w:rPr>
                <w:sz w:val="22"/>
                <w:szCs w:val="22"/>
              </w:rPr>
              <w:t>Period Information Imbalance Volume</w:t>
            </w:r>
          </w:p>
        </w:tc>
        <w:tc>
          <w:tcPr>
            <w:tcW w:w="974" w:type="pct"/>
            <w:tcMar>
              <w:top w:w="85" w:type="dxa"/>
              <w:left w:w="85" w:type="dxa"/>
              <w:bottom w:w="85" w:type="dxa"/>
              <w:right w:w="85" w:type="dxa"/>
            </w:tcMar>
          </w:tcPr>
          <w:p w14:paraId="4FA0A7F1" w14:textId="77777777" w:rsidR="0099110B" w:rsidRPr="00630129" w:rsidRDefault="0099110B" w:rsidP="0099110B">
            <w:pPr>
              <w:rPr>
                <w:sz w:val="22"/>
                <w:szCs w:val="22"/>
              </w:rPr>
            </w:pPr>
            <w:proofErr w:type="spellStart"/>
            <w:r w:rsidRPr="00630129">
              <w:rPr>
                <w:sz w:val="22"/>
                <w:szCs w:val="22"/>
              </w:rPr>
              <w:t>QII</w:t>
            </w:r>
            <w:r w:rsidRPr="00630129">
              <w:rPr>
                <w:sz w:val="22"/>
                <w:szCs w:val="22"/>
                <w:vertAlign w:val="subscript"/>
              </w:rPr>
              <w:t>ij</w:t>
            </w:r>
            <w:proofErr w:type="spellEnd"/>
          </w:p>
        </w:tc>
        <w:tc>
          <w:tcPr>
            <w:tcW w:w="492" w:type="pct"/>
            <w:tcMar>
              <w:top w:w="85" w:type="dxa"/>
              <w:left w:w="85" w:type="dxa"/>
              <w:bottom w:w="85" w:type="dxa"/>
              <w:right w:w="85" w:type="dxa"/>
            </w:tcMar>
          </w:tcPr>
          <w:p w14:paraId="61579CD8"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7928F191" w14:textId="77777777" w:rsidR="0099110B" w:rsidRPr="00630129" w:rsidRDefault="0099110B" w:rsidP="0099110B">
            <w:pPr>
              <w:spacing w:after="120"/>
              <w:rPr>
                <w:sz w:val="22"/>
                <w:szCs w:val="22"/>
              </w:rPr>
            </w:pPr>
            <w:r w:rsidRPr="00630129">
              <w:rPr>
                <w:sz w:val="22"/>
                <w:szCs w:val="22"/>
              </w:rPr>
              <w:t>The quantity determined in accordance with Section T4.3.4.</w:t>
            </w:r>
          </w:p>
          <w:p w14:paraId="32C8457B" w14:textId="77777777" w:rsidR="0099110B" w:rsidRPr="00630129" w:rsidRDefault="0099110B" w:rsidP="0099110B">
            <w:pPr>
              <w:rPr>
                <w:i/>
                <w:sz w:val="22"/>
                <w:szCs w:val="22"/>
              </w:rPr>
            </w:pPr>
            <w:r w:rsidRPr="00630129">
              <w:rPr>
                <w:i/>
                <w:sz w:val="22"/>
                <w:szCs w:val="22"/>
              </w:rPr>
              <w:t xml:space="preserve">The Period Information Imbalance Volume is the difference between the BM Unit Metered Volume and the Period Expected Metered Volume for BM Unit </w:t>
            </w:r>
            <w:proofErr w:type="spellStart"/>
            <w:r w:rsidRPr="00630129">
              <w:rPr>
                <w:i/>
                <w:sz w:val="22"/>
                <w:szCs w:val="22"/>
              </w:rPr>
              <w:t>i</w:t>
            </w:r>
            <w:proofErr w:type="spellEnd"/>
            <w:r w:rsidRPr="00630129">
              <w:rPr>
                <w:i/>
                <w:sz w:val="22"/>
                <w:szCs w:val="22"/>
              </w:rPr>
              <w:t xml:space="preserve"> in Settlement Period j.</w:t>
            </w:r>
          </w:p>
        </w:tc>
      </w:tr>
      <w:tr w:rsidR="0099110B" w:rsidRPr="00630129" w14:paraId="652BA4A0" w14:textId="77777777" w:rsidTr="00A63BA8">
        <w:trPr>
          <w:cantSplit/>
        </w:trPr>
        <w:tc>
          <w:tcPr>
            <w:tcW w:w="994" w:type="pct"/>
            <w:tcMar>
              <w:top w:w="85" w:type="dxa"/>
              <w:left w:w="85" w:type="dxa"/>
              <w:bottom w:w="85" w:type="dxa"/>
              <w:right w:w="85" w:type="dxa"/>
            </w:tcMar>
          </w:tcPr>
          <w:p w14:paraId="4F3ABCE7" w14:textId="77777777" w:rsidR="0099110B" w:rsidRPr="00630129" w:rsidRDefault="0099110B" w:rsidP="0099110B">
            <w:pPr>
              <w:rPr>
                <w:sz w:val="22"/>
                <w:szCs w:val="22"/>
              </w:rPr>
            </w:pPr>
            <w:r w:rsidRPr="00630129">
              <w:rPr>
                <w:sz w:val="22"/>
                <w:szCs w:val="22"/>
              </w:rPr>
              <w:lastRenderedPageBreak/>
              <w:t>Period RR Accepted Bid Volume</w:t>
            </w:r>
          </w:p>
        </w:tc>
        <w:tc>
          <w:tcPr>
            <w:tcW w:w="974" w:type="pct"/>
            <w:tcMar>
              <w:top w:w="85" w:type="dxa"/>
              <w:left w:w="85" w:type="dxa"/>
              <w:bottom w:w="85" w:type="dxa"/>
              <w:right w:w="85" w:type="dxa"/>
            </w:tcMar>
          </w:tcPr>
          <w:p w14:paraId="1B6DCE66" w14:textId="77777777" w:rsidR="0099110B" w:rsidRPr="00630129" w:rsidRDefault="0099110B" w:rsidP="0099110B">
            <w:pPr>
              <w:rPr>
                <w:sz w:val="22"/>
                <w:szCs w:val="22"/>
              </w:rPr>
            </w:pPr>
            <w:proofErr w:type="spellStart"/>
            <w:r w:rsidRPr="00630129">
              <w:rPr>
                <w:sz w:val="22"/>
                <w:szCs w:val="22"/>
              </w:rPr>
              <w:t>RRAB</w:t>
            </w:r>
            <w:r w:rsidRPr="00630129">
              <w:rPr>
                <w:sz w:val="22"/>
                <w:szCs w:val="22"/>
                <w:vertAlign w:val="superscript"/>
              </w:rPr>
              <w:t>kn</w:t>
            </w:r>
            <w:r w:rsidRPr="00630129">
              <w:rPr>
                <w:sz w:val="22"/>
                <w:szCs w:val="22"/>
                <w:vertAlign w:val="subscript"/>
              </w:rPr>
              <w:t>ij</w:t>
            </w:r>
            <w:proofErr w:type="spellEnd"/>
          </w:p>
        </w:tc>
        <w:tc>
          <w:tcPr>
            <w:tcW w:w="492" w:type="pct"/>
            <w:tcMar>
              <w:top w:w="85" w:type="dxa"/>
              <w:left w:w="85" w:type="dxa"/>
              <w:bottom w:w="85" w:type="dxa"/>
              <w:right w:w="85" w:type="dxa"/>
            </w:tcMar>
          </w:tcPr>
          <w:p w14:paraId="5E93E8C8"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6B5636AA" w14:textId="77777777" w:rsidR="0099110B" w:rsidRPr="00630129" w:rsidRDefault="0099110B" w:rsidP="0099110B">
            <w:pPr>
              <w:spacing w:after="120"/>
              <w:rPr>
                <w:sz w:val="22"/>
                <w:szCs w:val="22"/>
              </w:rPr>
            </w:pPr>
            <w:r w:rsidRPr="00630129">
              <w:rPr>
                <w:sz w:val="22"/>
                <w:szCs w:val="22"/>
              </w:rPr>
              <w:t>The quantity established in accordance with Section T3.8.4.</w:t>
            </w:r>
          </w:p>
          <w:p w14:paraId="657C1B2E" w14:textId="77777777" w:rsidR="0099110B" w:rsidRPr="00630129" w:rsidRDefault="0099110B" w:rsidP="0099110B">
            <w:pPr>
              <w:rPr>
                <w:sz w:val="22"/>
                <w:szCs w:val="22"/>
              </w:rPr>
            </w:pPr>
            <w:r w:rsidRPr="00630129">
              <w:rPr>
                <w:i/>
                <w:sz w:val="22"/>
                <w:szCs w:val="22"/>
              </w:rPr>
              <w:t xml:space="preserve">The Period RR Accepted Bid Volume is the volume of Bid n, accepted in respect of BM Unit </w:t>
            </w:r>
            <w:proofErr w:type="spellStart"/>
            <w:r w:rsidRPr="00630129">
              <w:rPr>
                <w:i/>
                <w:sz w:val="22"/>
                <w:szCs w:val="22"/>
              </w:rPr>
              <w:t>i</w:t>
            </w:r>
            <w:proofErr w:type="spellEnd"/>
            <w:r w:rsidRPr="00630129">
              <w:rPr>
                <w:i/>
                <w:sz w:val="22"/>
                <w:szCs w:val="22"/>
              </w:rPr>
              <w:t xml:space="preserve">, in Settlement Period j, as a result of Acceptance k, where that Acceptance </w:t>
            </w:r>
            <w:r w:rsidRPr="00630129">
              <w:rPr>
                <w:i/>
                <w:sz w:val="22"/>
              </w:rPr>
              <w:t>is flagged as relating to an RR Schedule.</w:t>
            </w:r>
          </w:p>
        </w:tc>
      </w:tr>
      <w:tr w:rsidR="0099110B" w:rsidRPr="00630129" w14:paraId="6B4E9A96" w14:textId="77777777" w:rsidTr="00A63BA8">
        <w:trPr>
          <w:cantSplit/>
        </w:trPr>
        <w:tc>
          <w:tcPr>
            <w:tcW w:w="994" w:type="pct"/>
            <w:tcMar>
              <w:top w:w="85" w:type="dxa"/>
              <w:left w:w="85" w:type="dxa"/>
              <w:bottom w:w="85" w:type="dxa"/>
              <w:right w:w="85" w:type="dxa"/>
            </w:tcMar>
          </w:tcPr>
          <w:p w14:paraId="56578410" w14:textId="77777777" w:rsidR="0099110B" w:rsidRPr="00630129" w:rsidRDefault="0099110B" w:rsidP="0099110B">
            <w:pPr>
              <w:rPr>
                <w:sz w:val="22"/>
                <w:szCs w:val="22"/>
              </w:rPr>
            </w:pPr>
            <w:r w:rsidRPr="00630129">
              <w:rPr>
                <w:sz w:val="22"/>
                <w:szCs w:val="22"/>
              </w:rPr>
              <w:t>Period RR Accepted Offer Volume</w:t>
            </w:r>
          </w:p>
        </w:tc>
        <w:tc>
          <w:tcPr>
            <w:tcW w:w="974" w:type="pct"/>
            <w:tcMar>
              <w:top w:w="85" w:type="dxa"/>
              <w:left w:w="85" w:type="dxa"/>
              <w:bottom w:w="85" w:type="dxa"/>
              <w:right w:w="85" w:type="dxa"/>
            </w:tcMar>
          </w:tcPr>
          <w:p w14:paraId="76722FE7" w14:textId="77777777" w:rsidR="0099110B" w:rsidRPr="00630129" w:rsidRDefault="0099110B" w:rsidP="0099110B">
            <w:pPr>
              <w:rPr>
                <w:sz w:val="22"/>
                <w:szCs w:val="22"/>
              </w:rPr>
            </w:pPr>
            <w:proofErr w:type="spellStart"/>
            <w:r w:rsidRPr="00630129">
              <w:rPr>
                <w:sz w:val="22"/>
                <w:szCs w:val="22"/>
              </w:rPr>
              <w:t>RRAO</w:t>
            </w:r>
            <w:r w:rsidRPr="00630129">
              <w:rPr>
                <w:sz w:val="22"/>
                <w:szCs w:val="22"/>
                <w:vertAlign w:val="superscript"/>
              </w:rPr>
              <w:t>kn</w:t>
            </w:r>
            <w:r w:rsidRPr="00630129">
              <w:rPr>
                <w:sz w:val="22"/>
                <w:szCs w:val="22"/>
                <w:vertAlign w:val="subscript"/>
              </w:rPr>
              <w:t>ij</w:t>
            </w:r>
            <w:proofErr w:type="spellEnd"/>
          </w:p>
        </w:tc>
        <w:tc>
          <w:tcPr>
            <w:tcW w:w="492" w:type="pct"/>
            <w:tcMar>
              <w:top w:w="85" w:type="dxa"/>
              <w:left w:w="85" w:type="dxa"/>
              <w:bottom w:w="85" w:type="dxa"/>
              <w:right w:w="85" w:type="dxa"/>
            </w:tcMar>
          </w:tcPr>
          <w:p w14:paraId="15A4A5CF"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6879B776" w14:textId="77777777" w:rsidR="0099110B" w:rsidRPr="00630129" w:rsidRDefault="0099110B" w:rsidP="0099110B">
            <w:pPr>
              <w:spacing w:after="120"/>
              <w:rPr>
                <w:sz w:val="22"/>
                <w:szCs w:val="22"/>
              </w:rPr>
            </w:pPr>
            <w:r w:rsidRPr="00630129">
              <w:rPr>
                <w:sz w:val="22"/>
                <w:szCs w:val="22"/>
              </w:rPr>
              <w:t>The quantity established in accordance with Section T3.8.3.</w:t>
            </w:r>
          </w:p>
          <w:p w14:paraId="20800BBA" w14:textId="77777777" w:rsidR="0099110B" w:rsidRPr="00630129" w:rsidRDefault="0099110B" w:rsidP="0099110B">
            <w:pPr>
              <w:rPr>
                <w:sz w:val="22"/>
                <w:szCs w:val="22"/>
              </w:rPr>
            </w:pPr>
            <w:r w:rsidRPr="00630129">
              <w:rPr>
                <w:i/>
                <w:sz w:val="22"/>
                <w:szCs w:val="22"/>
              </w:rPr>
              <w:t xml:space="preserve">The Period RR Accepted Offer Volume is the volume of Offer n, accepted in respect of BM Unit </w:t>
            </w:r>
            <w:proofErr w:type="spellStart"/>
            <w:r w:rsidRPr="00630129">
              <w:rPr>
                <w:i/>
                <w:sz w:val="22"/>
                <w:szCs w:val="22"/>
              </w:rPr>
              <w:t>i</w:t>
            </w:r>
            <w:proofErr w:type="spellEnd"/>
            <w:r w:rsidRPr="00630129">
              <w:rPr>
                <w:i/>
                <w:sz w:val="22"/>
                <w:szCs w:val="22"/>
              </w:rPr>
              <w:t xml:space="preserve">, in Settlement Period j as a result of Acceptance k, where that Acceptance </w:t>
            </w:r>
            <w:r w:rsidRPr="00630129">
              <w:rPr>
                <w:i/>
                <w:sz w:val="22"/>
              </w:rPr>
              <w:t>is flagged as relating to an RR Schedule.</w:t>
            </w:r>
          </w:p>
        </w:tc>
      </w:tr>
      <w:tr w:rsidR="0099110B" w:rsidRPr="00630129" w14:paraId="3CA29D07" w14:textId="77777777" w:rsidTr="00A63BA8">
        <w:trPr>
          <w:cantSplit/>
        </w:trPr>
        <w:tc>
          <w:tcPr>
            <w:tcW w:w="994" w:type="pct"/>
            <w:tcMar>
              <w:top w:w="85" w:type="dxa"/>
              <w:left w:w="85" w:type="dxa"/>
              <w:bottom w:w="85" w:type="dxa"/>
              <w:right w:w="85" w:type="dxa"/>
            </w:tcMar>
          </w:tcPr>
          <w:p w14:paraId="418D594A" w14:textId="77777777" w:rsidR="0099110B" w:rsidRPr="00630129" w:rsidRDefault="0099110B" w:rsidP="0099110B">
            <w:pPr>
              <w:rPr>
                <w:sz w:val="22"/>
                <w:szCs w:val="22"/>
              </w:rPr>
            </w:pPr>
            <w:r w:rsidRPr="00630129">
              <w:rPr>
                <w:sz w:val="22"/>
                <w:szCs w:val="22"/>
              </w:rPr>
              <w:t xml:space="preserve">Period RR BM Unit </w:t>
            </w:r>
            <w:proofErr w:type="spellStart"/>
            <w:r w:rsidRPr="00630129">
              <w:rPr>
                <w:sz w:val="22"/>
                <w:szCs w:val="22"/>
              </w:rPr>
              <w:t>Cashflow</w:t>
            </w:r>
            <w:proofErr w:type="spellEnd"/>
          </w:p>
        </w:tc>
        <w:tc>
          <w:tcPr>
            <w:tcW w:w="974" w:type="pct"/>
            <w:tcMar>
              <w:top w:w="85" w:type="dxa"/>
              <w:left w:w="85" w:type="dxa"/>
              <w:bottom w:w="85" w:type="dxa"/>
              <w:right w:w="85" w:type="dxa"/>
            </w:tcMar>
          </w:tcPr>
          <w:p w14:paraId="66A73BD4" w14:textId="77777777" w:rsidR="0099110B" w:rsidRPr="00630129" w:rsidRDefault="0099110B" w:rsidP="0099110B">
            <w:pPr>
              <w:rPr>
                <w:sz w:val="22"/>
                <w:szCs w:val="22"/>
              </w:rPr>
            </w:pPr>
            <w:proofErr w:type="spellStart"/>
            <w:r w:rsidRPr="00630129">
              <w:rPr>
                <w:sz w:val="22"/>
                <w:szCs w:val="22"/>
              </w:rPr>
              <w:t>CRR</w:t>
            </w:r>
            <w:r w:rsidRPr="00630129">
              <w:rPr>
                <w:sz w:val="22"/>
                <w:szCs w:val="22"/>
                <w:vertAlign w:val="subscript"/>
              </w:rPr>
              <w:t>ij</w:t>
            </w:r>
            <w:proofErr w:type="spellEnd"/>
          </w:p>
        </w:tc>
        <w:tc>
          <w:tcPr>
            <w:tcW w:w="492" w:type="pct"/>
            <w:tcMar>
              <w:top w:w="85" w:type="dxa"/>
              <w:left w:w="85" w:type="dxa"/>
              <w:bottom w:w="85" w:type="dxa"/>
              <w:right w:w="85" w:type="dxa"/>
            </w:tcMar>
          </w:tcPr>
          <w:p w14:paraId="38AF2CF3"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335C4690" w14:textId="77777777" w:rsidR="0099110B" w:rsidRPr="00630129" w:rsidRDefault="0099110B" w:rsidP="0099110B">
            <w:pPr>
              <w:spacing w:after="120"/>
              <w:rPr>
                <w:sz w:val="22"/>
                <w:szCs w:val="22"/>
              </w:rPr>
            </w:pPr>
            <w:r w:rsidRPr="00630129">
              <w:rPr>
                <w:sz w:val="22"/>
                <w:szCs w:val="22"/>
              </w:rPr>
              <w:t>The amount determined in accordance with Section T3.11A.3.</w:t>
            </w:r>
          </w:p>
          <w:p w14:paraId="760BC572" w14:textId="77777777" w:rsidR="0099110B" w:rsidRPr="00630129" w:rsidRDefault="0099110B" w:rsidP="0099110B">
            <w:pPr>
              <w:rPr>
                <w:sz w:val="22"/>
                <w:szCs w:val="22"/>
              </w:rPr>
            </w:pPr>
            <w:r w:rsidRPr="00630129">
              <w:rPr>
                <w:i/>
                <w:sz w:val="22"/>
                <w:szCs w:val="22"/>
              </w:rPr>
              <w:t xml:space="preserve">The Period RR BM Unit </w:t>
            </w:r>
            <w:proofErr w:type="spellStart"/>
            <w:r w:rsidRPr="00630129">
              <w:rPr>
                <w:i/>
                <w:sz w:val="22"/>
                <w:szCs w:val="22"/>
              </w:rPr>
              <w:t>Cashflow</w:t>
            </w:r>
            <w:proofErr w:type="spellEnd"/>
            <w:r w:rsidRPr="00630129">
              <w:rPr>
                <w:i/>
                <w:sz w:val="22"/>
                <w:szCs w:val="22"/>
              </w:rPr>
              <w:t xml:space="preserve"> is the total </w:t>
            </w:r>
            <w:proofErr w:type="spellStart"/>
            <w:r w:rsidRPr="00630129">
              <w:rPr>
                <w:i/>
                <w:sz w:val="22"/>
                <w:szCs w:val="22"/>
              </w:rPr>
              <w:t>cashflow</w:t>
            </w:r>
            <w:proofErr w:type="spellEnd"/>
            <w:r w:rsidRPr="00630129">
              <w:rPr>
                <w:i/>
                <w:sz w:val="22"/>
                <w:szCs w:val="22"/>
              </w:rPr>
              <w:t xml:space="preserve"> resulting from all Quarter Hour RR Activations from BM Unit </w:t>
            </w:r>
            <w:proofErr w:type="spellStart"/>
            <w:r w:rsidRPr="00630129">
              <w:rPr>
                <w:i/>
                <w:sz w:val="22"/>
                <w:szCs w:val="22"/>
              </w:rPr>
              <w:t>i</w:t>
            </w:r>
            <w:proofErr w:type="spellEnd"/>
            <w:r w:rsidRPr="00630129">
              <w:rPr>
                <w:i/>
                <w:sz w:val="22"/>
                <w:szCs w:val="22"/>
              </w:rPr>
              <w:t xml:space="preserve"> in Settlement Period j.</w:t>
            </w:r>
          </w:p>
        </w:tc>
      </w:tr>
      <w:tr w:rsidR="0099110B" w:rsidRPr="00630129" w14:paraId="7531DCCF" w14:textId="77777777" w:rsidTr="00A63BA8">
        <w:trPr>
          <w:cantSplit/>
        </w:trPr>
        <w:tc>
          <w:tcPr>
            <w:tcW w:w="994" w:type="pct"/>
            <w:tcMar>
              <w:top w:w="85" w:type="dxa"/>
              <w:left w:w="85" w:type="dxa"/>
              <w:bottom w:w="85" w:type="dxa"/>
              <w:right w:w="85" w:type="dxa"/>
            </w:tcMar>
          </w:tcPr>
          <w:p w14:paraId="456EDDB3" w14:textId="77777777" w:rsidR="0099110B" w:rsidRPr="00630129" w:rsidRDefault="0099110B" w:rsidP="0099110B">
            <w:pPr>
              <w:rPr>
                <w:sz w:val="22"/>
                <w:szCs w:val="22"/>
              </w:rPr>
            </w:pPr>
            <w:r w:rsidRPr="00630129">
              <w:rPr>
                <w:sz w:val="22"/>
                <w:szCs w:val="22"/>
              </w:rPr>
              <w:t>Period RR Total Accepted Bid Volume</w:t>
            </w:r>
          </w:p>
        </w:tc>
        <w:tc>
          <w:tcPr>
            <w:tcW w:w="974" w:type="pct"/>
            <w:tcMar>
              <w:top w:w="85" w:type="dxa"/>
              <w:left w:w="85" w:type="dxa"/>
              <w:bottom w:w="85" w:type="dxa"/>
              <w:right w:w="85" w:type="dxa"/>
            </w:tcMar>
          </w:tcPr>
          <w:p w14:paraId="493BF2CB" w14:textId="77777777" w:rsidR="0099110B" w:rsidRPr="00630129" w:rsidRDefault="0099110B" w:rsidP="0099110B">
            <w:pPr>
              <w:rPr>
                <w:sz w:val="22"/>
                <w:szCs w:val="22"/>
              </w:rPr>
            </w:pPr>
            <w:proofErr w:type="spellStart"/>
            <w:r w:rsidRPr="00630129">
              <w:rPr>
                <w:sz w:val="22"/>
                <w:szCs w:val="22"/>
              </w:rPr>
              <w:t>RRAB</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1BDE3CA0"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37C888AA" w14:textId="77777777" w:rsidR="0099110B" w:rsidRPr="00630129" w:rsidRDefault="0099110B" w:rsidP="0099110B">
            <w:pPr>
              <w:spacing w:after="120"/>
              <w:rPr>
                <w:sz w:val="22"/>
                <w:szCs w:val="22"/>
              </w:rPr>
            </w:pPr>
            <w:r w:rsidRPr="00630129">
              <w:rPr>
                <w:sz w:val="22"/>
                <w:szCs w:val="22"/>
              </w:rPr>
              <w:t>The quantity established in accordance with Section T3.9.4.</w:t>
            </w:r>
          </w:p>
          <w:p w14:paraId="232FA0A0" w14:textId="77777777" w:rsidR="0099110B" w:rsidRPr="00630129" w:rsidRDefault="0099110B" w:rsidP="0099110B">
            <w:pPr>
              <w:rPr>
                <w:sz w:val="22"/>
                <w:szCs w:val="22"/>
              </w:rPr>
            </w:pPr>
            <w:r w:rsidRPr="00630129">
              <w:rPr>
                <w:i/>
                <w:sz w:val="22"/>
                <w:szCs w:val="22"/>
              </w:rPr>
              <w:t xml:space="preserve">The Period RR Total Accepted Bid Volume is the quantity of Bid n, accepted in respect of BM Unit </w:t>
            </w:r>
            <w:proofErr w:type="spellStart"/>
            <w:r w:rsidRPr="00630129">
              <w:rPr>
                <w:i/>
                <w:sz w:val="22"/>
                <w:szCs w:val="22"/>
              </w:rPr>
              <w:t>i</w:t>
            </w:r>
            <w:proofErr w:type="spellEnd"/>
            <w:r w:rsidRPr="00630129">
              <w:rPr>
                <w:i/>
                <w:sz w:val="22"/>
                <w:szCs w:val="22"/>
              </w:rPr>
              <w:t xml:space="preserve">, in Settlement Period j, as a result of all Acceptances that are </w:t>
            </w:r>
            <w:r w:rsidRPr="00630129">
              <w:rPr>
                <w:i/>
                <w:sz w:val="22"/>
              </w:rPr>
              <w:t>flagged as relating to an RR Schedule</w:t>
            </w:r>
            <w:r w:rsidRPr="00630129">
              <w:rPr>
                <w:i/>
                <w:sz w:val="22"/>
                <w:szCs w:val="22"/>
              </w:rPr>
              <w:t>.</w:t>
            </w:r>
          </w:p>
        </w:tc>
      </w:tr>
      <w:tr w:rsidR="0099110B" w:rsidRPr="00630129" w14:paraId="3DD47329" w14:textId="77777777" w:rsidTr="00A63BA8">
        <w:trPr>
          <w:cantSplit/>
        </w:trPr>
        <w:tc>
          <w:tcPr>
            <w:tcW w:w="994" w:type="pct"/>
            <w:tcMar>
              <w:top w:w="85" w:type="dxa"/>
              <w:left w:w="85" w:type="dxa"/>
              <w:bottom w:w="85" w:type="dxa"/>
              <w:right w:w="85" w:type="dxa"/>
            </w:tcMar>
          </w:tcPr>
          <w:p w14:paraId="14F0E45E" w14:textId="77777777" w:rsidR="0099110B" w:rsidRPr="00630129" w:rsidRDefault="0099110B" w:rsidP="0099110B">
            <w:pPr>
              <w:rPr>
                <w:sz w:val="22"/>
                <w:szCs w:val="22"/>
              </w:rPr>
            </w:pPr>
            <w:r w:rsidRPr="00630129">
              <w:rPr>
                <w:sz w:val="22"/>
                <w:szCs w:val="22"/>
              </w:rPr>
              <w:t>Period RR Total Accepted Offer Volume</w:t>
            </w:r>
          </w:p>
        </w:tc>
        <w:tc>
          <w:tcPr>
            <w:tcW w:w="974" w:type="pct"/>
            <w:tcMar>
              <w:top w:w="85" w:type="dxa"/>
              <w:left w:w="85" w:type="dxa"/>
              <w:bottom w:w="85" w:type="dxa"/>
              <w:right w:w="85" w:type="dxa"/>
            </w:tcMar>
          </w:tcPr>
          <w:p w14:paraId="7875A4AA" w14:textId="77777777" w:rsidR="0099110B" w:rsidRPr="00630129" w:rsidRDefault="0099110B" w:rsidP="0099110B">
            <w:pPr>
              <w:rPr>
                <w:sz w:val="22"/>
                <w:szCs w:val="22"/>
              </w:rPr>
            </w:pPr>
            <w:proofErr w:type="spellStart"/>
            <w:r w:rsidRPr="00630129">
              <w:rPr>
                <w:sz w:val="22"/>
                <w:szCs w:val="22"/>
              </w:rPr>
              <w:t>RRAO</w:t>
            </w:r>
            <w:r w:rsidRPr="00630129">
              <w:rPr>
                <w:sz w:val="22"/>
                <w:szCs w:val="22"/>
                <w:vertAlign w:val="superscript"/>
              </w:rPr>
              <w:t>n</w:t>
            </w:r>
            <w:r w:rsidRPr="00630129">
              <w:rPr>
                <w:sz w:val="22"/>
                <w:szCs w:val="22"/>
                <w:vertAlign w:val="subscript"/>
              </w:rPr>
              <w:t>ij</w:t>
            </w:r>
            <w:proofErr w:type="spellEnd"/>
          </w:p>
        </w:tc>
        <w:tc>
          <w:tcPr>
            <w:tcW w:w="492" w:type="pct"/>
            <w:tcMar>
              <w:top w:w="85" w:type="dxa"/>
              <w:left w:w="85" w:type="dxa"/>
              <w:bottom w:w="85" w:type="dxa"/>
              <w:right w:w="85" w:type="dxa"/>
            </w:tcMar>
          </w:tcPr>
          <w:p w14:paraId="543B08A4"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77C75138" w14:textId="77777777" w:rsidR="0099110B" w:rsidRPr="00630129" w:rsidRDefault="0099110B" w:rsidP="0099110B">
            <w:pPr>
              <w:spacing w:after="120"/>
              <w:rPr>
                <w:sz w:val="22"/>
                <w:szCs w:val="22"/>
              </w:rPr>
            </w:pPr>
            <w:r w:rsidRPr="00630129">
              <w:rPr>
                <w:sz w:val="22"/>
                <w:szCs w:val="22"/>
              </w:rPr>
              <w:t>The quantity established in accordance with Section T3.9.3.</w:t>
            </w:r>
          </w:p>
          <w:p w14:paraId="3483C2C9" w14:textId="77777777" w:rsidR="0099110B" w:rsidRPr="00630129" w:rsidRDefault="0099110B" w:rsidP="0099110B">
            <w:pPr>
              <w:rPr>
                <w:sz w:val="22"/>
                <w:szCs w:val="22"/>
              </w:rPr>
            </w:pPr>
            <w:r w:rsidRPr="00630129">
              <w:rPr>
                <w:i/>
                <w:sz w:val="22"/>
                <w:szCs w:val="22"/>
              </w:rPr>
              <w:t xml:space="preserve">The Period RR Total Accepted Offer Volume is the quantity of Offer n, accepted in respect of BM Unit </w:t>
            </w:r>
            <w:proofErr w:type="spellStart"/>
            <w:r w:rsidRPr="00630129">
              <w:rPr>
                <w:i/>
                <w:sz w:val="22"/>
                <w:szCs w:val="22"/>
              </w:rPr>
              <w:t>i</w:t>
            </w:r>
            <w:proofErr w:type="spellEnd"/>
            <w:r w:rsidRPr="00630129">
              <w:rPr>
                <w:i/>
                <w:sz w:val="22"/>
                <w:szCs w:val="22"/>
              </w:rPr>
              <w:t xml:space="preserve">, in Settlement Period j, as a result of all Acceptances that are </w:t>
            </w:r>
            <w:r w:rsidRPr="00630129">
              <w:rPr>
                <w:i/>
                <w:sz w:val="22"/>
              </w:rPr>
              <w:t>flagged as relating to an RR Schedule</w:t>
            </w:r>
            <w:r w:rsidRPr="00630129">
              <w:rPr>
                <w:i/>
                <w:sz w:val="22"/>
                <w:szCs w:val="22"/>
              </w:rPr>
              <w:t>.</w:t>
            </w:r>
          </w:p>
        </w:tc>
      </w:tr>
      <w:tr w:rsidR="0099110B" w:rsidRPr="00630129" w14:paraId="2E84E64E" w14:textId="77777777" w:rsidTr="00A63BA8">
        <w:trPr>
          <w:cantSplit/>
        </w:trPr>
        <w:tc>
          <w:tcPr>
            <w:tcW w:w="994" w:type="pct"/>
            <w:tcMar>
              <w:top w:w="85" w:type="dxa"/>
              <w:left w:w="85" w:type="dxa"/>
              <w:bottom w:w="85" w:type="dxa"/>
              <w:right w:w="85" w:type="dxa"/>
            </w:tcMar>
          </w:tcPr>
          <w:p w14:paraId="1A52B314" w14:textId="77777777" w:rsidR="0099110B" w:rsidRPr="00630129" w:rsidRDefault="0099110B" w:rsidP="0099110B">
            <w:pPr>
              <w:rPr>
                <w:sz w:val="22"/>
                <w:szCs w:val="22"/>
              </w:rPr>
            </w:pPr>
            <w:r w:rsidRPr="00630129">
              <w:rPr>
                <w:sz w:val="22"/>
                <w:szCs w:val="22"/>
              </w:rPr>
              <w:t xml:space="preserve">Period Secondary BM Unit Delivered Proportion </w:t>
            </w:r>
          </w:p>
        </w:tc>
        <w:tc>
          <w:tcPr>
            <w:tcW w:w="974" w:type="pct"/>
            <w:tcMar>
              <w:top w:w="85" w:type="dxa"/>
              <w:left w:w="85" w:type="dxa"/>
              <w:bottom w:w="85" w:type="dxa"/>
              <w:right w:w="85" w:type="dxa"/>
            </w:tcMar>
          </w:tcPr>
          <w:p w14:paraId="71ACCF2B" w14:textId="77777777" w:rsidR="0099110B" w:rsidRPr="00630129" w:rsidRDefault="0099110B" w:rsidP="0099110B">
            <w:pPr>
              <w:rPr>
                <w:sz w:val="22"/>
                <w:szCs w:val="22"/>
              </w:rPr>
            </w:pPr>
            <w:r w:rsidRPr="00630129">
              <w:rPr>
                <w:sz w:val="22"/>
                <w:szCs w:val="22"/>
              </w:rPr>
              <w:t>SP</w:t>
            </w:r>
            <w:r w:rsidRPr="00630129">
              <w:rPr>
                <w:sz w:val="22"/>
                <w:szCs w:val="22"/>
                <w:vertAlign w:val="subscript"/>
              </w:rPr>
              <w:t>iji2</w:t>
            </w:r>
          </w:p>
        </w:tc>
        <w:tc>
          <w:tcPr>
            <w:tcW w:w="492" w:type="pct"/>
            <w:tcMar>
              <w:top w:w="85" w:type="dxa"/>
              <w:left w:w="85" w:type="dxa"/>
              <w:bottom w:w="85" w:type="dxa"/>
              <w:right w:w="85" w:type="dxa"/>
            </w:tcMar>
          </w:tcPr>
          <w:p w14:paraId="0D949AB6"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18FFF5C9" w14:textId="77777777" w:rsidR="0099110B" w:rsidRPr="00630129" w:rsidRDefault="0099110B" w:rsidP="0099110B">
            <w:pPr>
              <w:rPr>
                <w:sz w:val="22"/>
                <w:szCs w:val="22"/>
              </w:rPr>
            </w:pPr>
            <w:r w:rsidRPr="00630129">
              <w:rPr>
                <w:sz w:val="22"/>
                <w:szCs w:val="22"/>
              </w:rPr>
              <w:t>This quantity is determined in accordance with Section T4.3B.3.</w:t>
            </w:r>
          </w:p>
        </w:tc>
      </w:tr>
      <w:tr w:rsidR="0099110B" w:rsidRPr="00630129" w14:paraId="0D433E8E" w14:textId="77777777" w:rsidTr="00A63BA8">
        <w:trPr>
          <w:cantSplit/>
        </w:trPr>
        <w:tc>
          <w:tcPr>
            <w:tcW w:w="994" w:type="pct"/>
            <w:tcMar>
              <w:top w:w="85" w:type="dxa"/>
              <w:left w:w="85" w:type="dxa"/>
              <w:bottom w:w="85" w:type="dxa"/>
              <w:right w:w="85" w:type="dxa"/>
            </w:tcMar>
          </w:tcPr>
          <w:p w14:paraId="3B840059" w14:textId="77777777" w:rsidR="0099110B" w:rsidRPr="00630129" w:rsidRDefault="0099110B" w:rsidP="0099110B">
            <w:pPr>
              <w:rPr>
                <w:sz w:val="22"/>
                <w:szCs w:val="22"/>
              </w:rPr>
            </w:pPr>
            <w:r w:rsidRPr="00630129">
              <w:rPr>
                <w:sz w:val="22"/>
                <w:szCs w:val="22"/>
              </w:rPr>
              <w:t xml:space="preserve">Period Secondary BM Unit Delivered Volume </w:t>
            </w:r>
          </w:p>
        </w:tc>
        <w:tc>
          <w:tcPr>
            <w:tcW w:w="974" w:type="pct"/>
            <w:tcMar>
              <w:top w:w="85" w:type="dxa"/>
              <w:left w:w="85" w:type="dxa"/>
              <w:bottom w:w="85" w:type="dxa"/>
              <w:right w:w="85" w:type="dxa"/>
            </w:tcMar>
          </w:tcPr>
          <w:p w14:paraId="520E3125" w14:textId="77777777" w:rsidR="0099110B" w:rsidRPr="00630129" w:rsidRDefault="0099110B" w:rsidP="0099110B">
            <w:pPr>
              <w:rPr>
                <w:sz w:val="22"/>
                <w:szCs w:val="22"/>
                <w:vertAlign w:val="subscript"/>
              </w:rPr>
            </w:pPr>
            <w:proofErr w:type="spellStart"/>
            <w:r w:rsidRPr="00630129">
              <w:rPr>
                <w:sz w:val="22"/>
                <w:szCs w:val="22"/>
              </w:rPr>
              <w:t>QSD</w:t>
            </w:r>
            <w:r w:rsidRPr="00630129">
              <w:rPr>
                <w:sz w:val="22"/>
                <w:szCs w:val="22"/>
                <w:vertAlign w:val="subscript"/>
              </w:rPr>
              <w:t>ij</w:t>
            </w:r>
            <w:proofErr w:type="spellEnd"/>
          </w:p>
          <w:p w14:paraId="058037FB" w14:textId="77777777" w:rsidR="0099110B" w:rsidRPr="00630129" w:rsidRDefault="0099110B" w:rsidP="0099110B">
            <w:pPr>
              <w:rPr>
                <w:sz w:val="22"/>
                <w:szCs w:val="22"/>
                <w:vertAlign w:val="subscript"/>
              </w:rPr>
            </w:pPr>
            <w:r w:rsidRPr="00630129">
              <w:rPr>
                <w:sz w:val="22"/>
                <w:szCs w:val="22"/>
                <w:vertAlign w:val="subscript"/>
              </w:rPr>
              <w:t>or</w:t>
            </w:r>
          </w:p>
          <w:p w14:paraId="22F03C00" w14:textId="77777777" w:rsidR="0099110B" w:rsidRPr="00630129" w:rsidRDefault="0099110B" w:rsidP="0099110B">
            <w:pPr>
              <w:rPr>
                <w:sz w:val="22"/>
                <w:szCs w:val="22"/>
              </w:rPr>
            </w:pPr>
            <w:r w:rsidRPr="00630129">
              <w:rPr>
                <w:kern w:val="2"/>
                <w:sz w:val="22"/>
                <w:szCs w:val="22"/>
              </w:rPr>
              <w:t>QSD</w:t>
            </w:r>
            <w:r w:rsidRPr="00630129">
              <w:rPr>
                <w:kern w:val="2"/>
                <w:sz w:val="22"/>
                <w:szCs w:val="22"/>
                <w:vertAlign w:val="subscript"/>
              </w:rPr>
              <w:t>i2j</w:t>
            </w:r>
          </w:p>
        </w:tc>
        <w:tc>
          <w:tcPr>
            <w:tcW w:w="492" w:type="pct"/>
            <w:tcMar>
              <w:top w:w="85" w:type="dxa"/>
              <w:left w:w="85" w:type="dxa"/>
              <w:bottom w:w="85" w:type="dxa"/>
              <w:right w:w="85" w:type="dxa"/>
            </w:tcMar>
          </w:tcPr>
          <w:p w14:paraId="753A9F18"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64F6466A" w14:textId="77777777" w:rsidR="0099110B" w:rsidRPr="00630129" w:rsidRDefault="0099110B" w:rsidP="0099110B">
            <w:pPr>
              <w:spacing w:after="120"/>
              <w:rPr>
                <w:sz w:val="22"/>
                <w:szCs w:val="22"/>
              </w:rPr>
            </w:pPr>
            <w:r w:rsidRPr="00630129">
              <w:rPr>
                <w:sz w:val="22"/>
                <w:szCs w:val="22"/>
              </w:rPr>
              <w:t>This quantity is determined in accordance with Section T4.3B.2.</w:t>
            </w:r>
          </w:p>
          <w:p w14:paraId="56F84386" w14:textId="77777777" w:rsidR="0099110B" w:rsidRPr="00630129" w:rsidRDefault="0099110B" w:rsidP="0099110B">
            <w:pPr>
              <w:rPr>
                <w:sz w:val="22"/>
                <w:szCs w:val="22"/>
              </w:rPr>
            </w:pPr>
            <w:r w:rsidRPr="00630129">
              <w:rPr>
                <w:i/>
                <w:sz w:val="22"/>
                <w:szCs w:val="22"/>
              </w:rPr>
              <w:t xml:space="preserve">This quantity is represented by the acronym </w:t>
            </w:r>
            <w:r w:rsidRPr="00630129">
              <w:rPr>
                <w:i/>
                <w:kern w:val="2"/>
                <w:sz w:val="22"/>
                <w:szCs w:val="22"/>
              </w:rPr>
              <w:t>QSD</w:t>
            </w:r>
            <w:r w:rsidRPr="00630129">
              <w:rPr>
                <w:i/>
                <w:kern w:val="2"/>
                <w:sz w:val="22"/>
                <w:szCs w:val="22"/>
                <w:vertAlign w:val="subscript"/>
              </w:rPr>
              <w:t>i2j</w:t>
            </w:r>
            <w:r w:rsidRPr="00630129">
              <w:rPr>
                <w:kern w:val="2"/>
                <w:sz w:val="22"/>
                <w:szCs w:val="22"/>
                <w:vertAlign w:val="subscript"/>
              </w:rPr>
              <w:t xml:space="preserve"> </w:t>
            </w:r>
            <w:r w:rsidRPr="00630129">
              <w:rPr>
                <w:i/>
                <w:sz w:val="22"/>
                <w:szCs w:val="22"/>
              </w:rPr>
              <w:t>in paragraph T4.3B.4 for the sole reason that the formula in this paragraph refers to both Primary BM Units and Secondary BM Units.</w:t>
            </w:r>
          </w:p>
        </w:tc>
      </w:tr>
      <w:tr w:rsidR="0099110B" w:rsidRPr="00630129" w14:paraId="43F0AEFC" w14:textId="77777777" w:rsidTr="00A63BA8">
        <w:trPr>
          <w:cantSplit/>
        </w:trPr>
        <w:tc>
          <w:tcPr>
            <w:tcW w:w="994" w:type="pct"/>
            <w:tcMar>
              <w:top w:w="85" w:type="dxa"/>
              <w:left w:w="85" w:type="dxa"/>
              <w:bottom w:w="85" w:type="dxa"/>
              <w:right w:w="85" w:type="dxa"/>
            </w:tcMar>
          </w:tcPr>
          <w:p w14:paraId="67C37D03" w14:textId="77777777" w:rsidR="0099110B" w:rsidRPr="00630129" w:rsidRDefault="0099110B" w:rsidP="0099110B">
            <w:pPr>
              <w:rPr>
                <w:sz w:val="22"/>
                <w:szCs w:val="22"/>
              </w:rPr>
            </w:pPr>
            <w:r w:rsidRPr="00630129">
              <w:rPr>
                <w:sz w:val="22"/>
                <w:szCs w:val="22"/>
              </w:rPr>
              <w:lastRenderedPageBreak/>
              <w:t xml:space="preserve">Period Secondary BM Unit Non-Delivered Volume </w:t>
            </w:r>
          </w:p>
        </w:tc>
        <w:tc>
          <w:tcPr>
            <w:tcW w:w="974" w:type="pct"/>
            <w:tcMar>
              <w:top w:w="85" w:type="dxa"/>
              <w:left w:w="85" w:type="dxa"/>
              <w:bottom w:w="85" w:type="dxa"/>
              <w:right w:w="85" w:type="dxa"/>
            </w:tcMar>
          </w:tcPr>
          <w:p w14:paraId="519FDB78" w14:textId="77777777" w:rsidR="0099110B" w:rsidRPr="00630129" w:rsidRDefault="0099110B" w:rsidP="0099110B">
            <w:pPr>
              <w:rPr>
                <w:sz w:val="22"/>
                <w:szCs w:val="22"/>
              </w:rPr>
            </w:pPr>
            <w:proofErr w:type="spellStart"/>
            <w:r w:rsidRPr="00630129">
              <w:rPr>
                <w:sz w:val="22"/>
                <w:szCs w:val="22"/>
              </w:rPr>
              <w:t>QSND</w:t>
            </w:r>
            <w:r w:rsidRPr="00630129">
              <w:rPr>
                <w:sz w:val="22"/>
                <w:szCs w:val="22"/>
                <w:vertAlign w:val="subscript"/>
              </w:rPr>
              <w:t>ij</w:t>
            </w:r>
            <w:proofErr w:type="spellEnd"/>
          </w:p>
        </w:tc>
        <w:tc>
          <w:tcPr>
            <w:tcW w:w="492" w:type="pct"/>
            <w:tcMar>
              <w:top w:w="85" w:type="dxa"/>
              <w:left w:w="85" w:type="dxa"/>
              <w:bottom w:w="85" w:type="dxa"/>
              <w:right w:w="85" w:type="dxa"/>
            </w:tcMar>
          </w:tcPr>
          <w:p w14:paraId="7CB35C56"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07EA55F8" w14:textId="77777777" w:rsidR="0099110B" w:rsidRPr="00630129" w:rsidRDefault="0099110B" w:rsidP="0099110B">
            <w:pPr>
              <w:rPr>
                <w:sz w:val="22"/>
                <w:szCs w:val="22"/>
              </w:rPr>
            </w:pPr>
            <w:r w:rsidRPr="00630129">
              <w:rPr>
                <w:sz w:val="22"/>
                <w:szCs w:val="22"/>
              </w:rPr>
              <w:t>This quantity is determined in accordance with Section T4.3B.1.</w:t>
            </w:r>
          </w:p>
        </w:tc>
      </w:tr>
      <w:tr w:rsidR="0099110B" w:rsidRPr="00630129" w14:paraId="55553DB4" w14:textId="77777777" w:rsidTr="00A63BA8">
        <w:trPr>
          <w:cantSplit/>
        </w:trPr>
        <w:tc>
          <w:tcPr>
            <w:tcW w:w="994" w:type="pct"/>
            <w:tcMar>
              <w:top w:w="85" w:type="dxa"/>
              <w:left w:w="85" w:type="dxa"/>
              <w:bottom w:w="85" w:type="dxa"/>
              <w:right w:w="85" w:type="dxa"/>
            </w:tcMar>
          </w:tcPr>
          <w:p w14:paraId="0375D39D" w14:textId="77777777" w:rsidR="0099110B" w:rsidRPr="00630129" w:rsidRDefault="0099110B" w:rsidP="0099110B">
            <w:pPr>
              <w:rPr>
                <w:sz w:val="22"/>
                <w:szCs w:val="22"/>
              </w:rPr>
            </w:pPr>
            <w:r w:rsidRPr="00630129">
              <w:rPr>
                <w:sz w:val="22"/>
                <w:szCs w:val="22"/>
              </w:rPr>
              <w:t xml:space="preserve">Period Secondary BM Unit Supplier Delivered Volume </w:t>
            </w:r>
          </w:p>
        </w:tc>
        <w:tc>
          <w:tcPr>
            <w:tcW w:w="974" w:type="pct"/>
            <w:tcMar>
              <w:top w:w="85" w:type="dxa"/>
              <w:left w:w="85" w:type="dxa"/>
              <w:bottom w:w="85" w:type="dxa"/>
              <w:right w:w="85" w:type="dxa"/>
            </w:tcMar>
          </w:tcPr>
          <w:p w14:paraId="5A43EE3F" w14:textId="77777777" w:rsidR="0099110B" w:rsidRPr="00630129" w:rsidRDefault="0099110B" w:rsidP="0099110B">
            <w:pPr>
              <w:rPr>
                <w:sz w:val="22"/>
                <w:szCs w:val="22"/>
              </w:rPr>
            </w:pPr>
            <w:r w:rsidRPr="00630129">
              <w:rPr>
                <w:sz w:val="22"/>
                <w:szCs w:val="22"/>
              </w:rPr>
              <w:t>QSD</w:t>
            </w:r>
            <w:r w:rsidRPr="00630129">
              <w:rPr>
                <w:sz w:val="22"/>
                <w:szCs w:val="22"/>
                <w:vertAlign w:val="subscript"/>
              </w:rPr>
              <w:t>iji2</w:t>
            </w:r>
          </w:p>
        </w:tc>
        <w:tc>
          <w:tcPr>
            <w:tcW w:w="492" w:type="pct"/>
            <w:tcMar>
              <w:top w:w="85" w:type="dxa"/>
              <w:left w:w="85" w:type="dxa"/>
              <w:bottom w:w="85" w:type="dxa"/>
              <w:right w:w="85" w:type="dxa"/>
            </w:tcMar>
          </w:tcPr>
          <w:p w14:paraId="7B17DA46"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5D1DA524" w14:textId="77777777" w:rsidR="0099110B" w:rsidRPr="00630129" w:rsidRDefault="0099110B" w:rsidP="0099110B">
            <w:pPr>
              <w:rPr>
                <w:sz w:val="22"/>
                <w:szCs w:val="22"/>
              </w:rPr>
            </w:pPr>
            <w:r w:rsidRPr="00630129">
              <w:rPr>
                <w:sz w:val="22"/>
                <w:szCs w:val="22"/>
              </w:rPr>
              <w:t>This quantity is determined in accordance with Section T4.3B.4.</w:t>
            </w:r>
          </w:p>
        </w:tc>
      </w:tr>
      <w:tr w:rsidR="0099110B" w:rsidRPr="00630129" w14:paraId="32A3FC6D" w14:textId="77777777" w:rsidTr="00A63BA8">
        <w:trPr>
          <w:cantSplit/>
        </w:trPr>
        <w:tc>
          <w:tcPr>
            <w:tcW w:w="994" w:type="pct"/>
            <w:tcMar>
              <w:top w:w="85" w:type="dxa"/>
              <w:left w:w="85" w:type="dxa"/>
              <w:bottom w:w="85" w:type="dxa"/>
              <w:right w:w="85" w:type="dxa"/>
            </w:tcMar>
          </w:tcPr>
          <w:p w14:paraId="422D043F" w14:textId="77777777" w:rsidR="0099110B" w:rsidRPr="00630129" w:rsidRDefault="0099110B" w:rsidP="0099110B">
            <w:pPr>
              <w:rPr>
                <w:sz w:val="22"/>
                <w:szCs w:val="22"/>
              </w:rPr>
            </w:pPr>
            <w:r w:rsidRPr="00630129">
              <w:rPr>
                <w:sz w:val="22"/>
                <w:szCs w:val="22"/>
              </w:rPr>
              <w:t>Period Supplier BM Unit Delivered Volume</w:t>
            </w:r>
          </w:p>
        </w:tc>
        <w:tc>
          <w:tcPr>
            <w:tcW w:w="974" w:type="pct"/>
            <w:tcMar>
              <w:top w:w="85" w:type="dxa"/>
              <w:left w:w="85" w:type="dxa"/>
              <w:bottom w:w="85" w:type="dxa"/>
              <w:right w:w="85" w:type="dxa"/>
            </w:tcMar>
          </w:tcPr>
          <w:p w14:paraId="5408C744" w14:textId="77777777" w:rsidR="0099110B" w:rsidRPr="00630129" w:rsidRDefault="0099110B" w:rsidP="0099110B">
            <w:pPr>
              <w:rPr>
                <w:sz w:val="22"/>
                <w:szCs w:val="22"/>
              </w:rPr>
            </w:pPr>
            <w:proofErr w:type="spellStart"/>
            <w:r w:rsidRPr="00630129">
              <w:rPr>
                <w:sz w:val="22"/>
              </w:rPr>
              <w:t>QBSD</w:t>
            </w:r>
            <w:r w:rsidRPr="00630129">
              <w:rPr>
                <w:sz w:val="22"/>
                <w:vertAlign w:val="subscript"/>
              </w:rPr>
              <w:t>ij</w:t>
            </w:r>
            <w:proofErr w:type="spellEnd"/>
          </w:p>
        </w:tc>
        <w:tc>
          <w:tcPr>
            <w:tcW w:w="492" w:type="pct"/>
            <w:tcMar>
              <w:top w:w="85" w:type="dxa"/>
              <w:left w:w="85" w:type="dxa"/>
              <w:bottom w:w="85" w:type="dxa"/>
              <w:right w:w="85" w:type="dxa"/>
            </w:tcMar>
          </w:tcPr>
          <w:p w14:paraId="6FD1687F"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4FA2C673" w14:textId="77777777" w:rsidR="0099110B" w:rsidRPr="00630129" w:rsidRDefault="0099110B" w:rsidP="0099110B">
            <w:pPr>
              <w:rPr>
                <w:sz w:val="22"/>
                <w:szCs w:val="22"/>
              </w:rPr>
            </w:pPr>
            <w:r w:rsidRPr="00630129">
              <w:rPr>
                <w:sz w:val="22"/>
                <w:szCs w:val="22"/>
              </w:rPr>
              <w:t>This quantity is determined in accordance with Section T4.3B.5.</w:t>
            </w:r>
          </w:p>
        </w:tc>
      </w:tr>
      <w:tr w:rsidR="0099110B" w:rsidRPr="00630129" w14:paraId="0215B3DA" w14:textId="77777777" w:rsidTr="00A63BA8">
        <w:trPr>
          <w:cantSplit/>
        </w:trPr>
        <w:tc>
          <w:tcPr>
            <w:tcW w:w="994" w:type="pct"/>
            <w:tcMar>
              <w:top w:w="85" w:type="dxa"/>
              <w:left w:w="85" w:type="dxa"/>
              <w:bottom w:w="85" w:type="dxa"/>
              <w:right w:w="85" w:type="dxa"/>
            </w:tcMar>
          </w:tcPr>
          <w:p w14:paraId="5817A27C" w14:textId="77777777" w:rsidR="0099110B" w:rsidRPr="00630129" w:rsidRDefault="0099110B" w:rsidP="0099110B">
            <w:pPr>
              <w:rPr>
                <w:sz w:val="22"/>
                <w:szCs w:val="22"/>
              </w:rPr>
            </w:pPr>
            <w:r w:rsidRPr="00630129">
              <w:rPr>
                <w:sz w:val="22"/>
                <w:szCs w:val="22"/>
              </w:rPr>
              <w:t>Point Acceptance Volume</w:t>
            </w:r>
          </w:p>
        </w:tc>
        <w:tc>
          <w:tcPr>
            <w:tcW w:w="974" w:type="pct"/>
            <w:tcMar>
              <w:top w:w="85" w:type="dxa"/>
              <w:left w:w="85" w:type="dxa"/>
              <w:bottom w:w="85" w:type="dxa"/>
              <w:right w:w="85" w:type="dxa"/>
            </w:tcMar>
          </w:tcPr>
          <w:p w14:paraId="1DC1546D" w14:textId="77777777" w:rsidR="0099110B" w:rsidRPr="00630129" w:rsidRDefault="0099110B" w:rsidP="0099110B">
            <w:pPr>
              <w:rPr>
                <w:sz w:val="22"/>
                <w:szCs w:val="22"/>
              </w:rPr>
            </w:pPr>
            <w:proofErr w:type="spellStart"/>
            <w:r w:rsidRPr="00630129">
              <w:rPr>
                <w:sz w:val="22"/>
                <w:szCs w:val="22"/>
              </w:rPr>
              <w:t>qA</w:t>
            </w:r>
            <w:r w:rsidRPr="00630129">
              <w:rPr>
                <w:sz w:val="22"/>
                <w:szCs w:val="22"/>
                <w:vertAlign w:val="superscript"/>
              </w:rPr>
              <w:t>k</w:t>
            </w:r>
            <w:r w:rsidRPr="00630129">
              <w:rPr>
                <w:sz w:val="22"/>
                <w:szCs w:val="22"/>
                <w:vertAlign w:val="subscript"/>
              </w:rPr>
              <w:t>it</w:t>
            </w:r>
            <w:proofErr w:type="spellEnd"/>
          </w:p>
        </w:tc>
        <w:tc>
          <w:tcPr>
            <w:tcW w:w="492" w:type="pct"/>
            <w:tcMar>
              <w:top w:w="85" w:type="dxa"/>
              <w:left w:w="85" w:type="dxa"/>
              <w:bottom w:w="85" w:type="dxa"/>
              <w:right w:w="85" w:type="dxa"/>
            </w:tcMar>
          </w:tcPr>
          <w:p w14:paraId="1CD0AA39" w14:textId="77777777" w:rsidR="0099110B" w:rsidRPr="00630129" w:rsidRDefault="0099110B" w:rsidP="0099110B">
            <w:pPr>
              <w:rPr>
                <w:sz w:val="22"/>
                <w:szCs w:val="22"/>
              </w:rPr>
            </w:pPr>
            <w:r w:rsidRPr="00630129">
              <w:rPr>
                <w:sz w:val="22"/>
                <w:szCs w:val="22"/>
              </w:rPr>
              <w:t>MW</w:t>
            </w:r>
          </w:p>
        </w:tc>
        <w:tc>
          <w:tcPr>
            <w:tcW w:w="2540" w:type="pct"/>
            <w:tcMar>
              <w:top w:w="85" w:type="dxa"/>
              <w:left w:w="85" w:type="dxa"/>
              <w:bottom w:w="85" w:type="dxa"/>
              <w:right w:w="85" w:type="dxa"/>
            </w:tcMar>
          </w:tcPr>
          <w:p w14:paraId="0C1F1145" w14:textId="77777777" w:rsidR="0099110B" w:rsidRPr="00630129" w:rsidRDefault="0099110B" w:rsidP="0099110B">
            <w:pPr>
              <w:spacing w:after="120"/>
              <w:rPr>
                <w:sz w:val="22"/>
                <w:szCs w:val="22"/>
              </w:rPr>
            </w:pPr>
            <w:r w:rsidRPr="00630129">
              <w:rPr>
                <w:sz w:val="22"/>
                <w:szCs w:val="22"/>
              </w:rPr>
              <w:t>A MW level and associated time created in accordance with Section T3.1.2(c)</w:t>
            </w:r>
          </w:p>
          <w:p w14:paraId="1EE63F43" w14:textId="77777777" w:rsidR="0099110B" w:rsidRPr="00630129" w:rsidRDefault="0099110B" w:rsidP="0099110B">
            <w:pPr>
              <w:rPr>
                <w:sz w:val="22"/>
                <w:szCs w:val="22"/>
              </w:rPr>
            </w:pPr>
            <w:r w:rsidRPr="00630129">
              <w:rPr>
                <w:i/>
                <w:sz w:val="22"/>
                <w:szCs w:val="22"/>
              </w:rPr>
              <w:t xml:space="preserve">A Point Acceptance Volume submitted as part of Acceptance Volume Pair, is a level in absolute MW for spot time t and BM Unit </w:t>
            </w:r>
            <w:proofErr w:type="spellStart"/>
            <w:r w:rsidRPr="00630129">
              <w:rPr>
                <w:i/>
                <w:sz w:val="22"/>
                <w:szCs w:val="22"/>
              </w:rPr>
              <w:t>i</w:t>
            </w:r>
            <w:proofErr w:type="spellEnd"/>
            <w:r w:rsidRPr="00630129">
              <w:rPr>
                <w:i/>
                <w:sz w:val="22"/>
                <w:szCs w:val="22"/>
              </w:rPr>
              <w:t>, used to imply the acceptance of one or more Offers and/or Bids.</w:t>
            </w:r>
          </w:p>
        </w:tc>
      </w:tr>
      <w:tr w:rsidR="0099110B" w:rsidRPr="00630129" w14:paraId="0C8FCC08" w14:textId="77777777" w:rsidTr="00A63BA8">
        <w:trPr>
          <w:cantSplit/>
        </w:trPr>
        <w:tc>
          <w:tcPr>
            <w:tcW w:w="994" w:type="pct"/>
            <w:tcMar>
              <w:top w:w="85" w:type="dxa"/>
              <w:left w:w="85" w:type="dxa"/>
              <w:bottom w:w="85" w:type="dxa"/>
              <w:right w:w="85" w:type="dxa"/>
            </w:tcMar>
          </w:tcPr>
          <w:p w14:paraId="15A162C0" w14:textId="77777777" w:rsidR="0099110B" w:rsidRPr="00630129" w:rsidRDefault="0099110B" w:rsidP="0099110B">
            <w:pPr>
              <w:rPr>
                <w:sz w:val="22"/>
                <w:szCs w:val="22"/>
              </w:rPr>
            </w:pPr>
            <w:r w:rsidRPr="00630129">
              <w:rPr>
                <w:sz w:val="22"/>
                <w:szCs w:val="22"/>
              </w:rPr>
              <w:t>Point Bid-Offer Volume</w:t>
            </w:r>
          </w:p>
        </w:tc>
        <w:tc>
          <w:tcPr>
            <w:tcW w:w="974" w:type="pct"/>
            <w:tcMar>
              <w:top w:w="85" w:type="dxa"/>
              <w:left w:w="85" w:type="dxa"/>
              <w:bottom w:w="85" w:type="dxa"/>
              <w:right w:w="85" w:type="dxa"/>
            </w:tcMar>
          </w:tcPr>
          <w:p w14:paraId="6B562E33" w14:textId="77777777" w:rsidR="0099110B" w:rsidRPr="00630129" w:rsidRDefault="0099110B" w:rsidP="0099110B">
            <w:pPr>
              <w:rPr>
                <w:sz w:val="22"/>
                <w:szCs w:val="22"/>
              </w:rPr>
            </w:pPr>
            <w:proofErr w:type="spellStart"/>
            <w:r w:rsidRPr="00630129">
              <w:rPr>
                <w:sz w:val="22"/>
                <w:szCs w:val="22"/>
                <w:vertAlign w:val="superscript"/>
              </w:rPr>
              <w:t>f</w:t>
            </w:r>
            <w:r w:rsidRPr="00630129">
              <w:rPr>
                <w:sz w:val="22"/>
                <w:szCs w:val="22"/>
              </w:rPr>
              <w:t>qBO</w:t>
            </w:r>
            <w:r w:rsidRPr="00630129">
              <w:rPr>
                <w:sz w:val="22"/>
                <w:szCs w:val="22"/>
                <w:vertAlign w:val="superscript"/>
              </w:rPr>
              <w:t>n</w:t>
            </w:r>
            <w:r w:rsidRPr="00630129">
              <w:rPr>
                <w:sz w:val="22"/>
                <w:szCs w:val="22"/>
                <w:vertAlign w:val="subscript"/>
              </w:rPr>
              <w:t>ijt</w:t>
            </w:r>
            <w:proofErr w:type="spellEnd"/>
          </w:p>
        </w:tc>
        <w:tc>
          <w:tcPr>
            <w:tcW w:w="492" w:type="pct"/>
            <w:tcMar>
              <w:top w:w="85" w:type="dxa"/>
              <w:left w:w="85" w:type="dxa"/>
              <w:bottom w:w="85" w:type="dxa"/>
              <w:right w:w="85" w:type="dxa"/>
            </w:tcMar>
          </w:tcPr>
          <w:p w14:paraId="64375230" w14:textId="77777777" w:rsidR="0099110B" w:rsidRPr="00630129" w:rsidRDefault="0099110B" w:rsidP="0099110B">
            <w:pPr>
              <w:rPr>
                <w:sz w:val="22"/>
                <w:szCs w:val="22"/>
              </w:rPr>
            </w:pPr>
            <w:r w:rsidRPr="00630129">
              <w:rPr>
                <w:sz w:val="22"/>
                <w:szCs w:val="22"/>
              </w:rPr>
              <w:t>MW</w:t>
            </w:r>
          </w:p>
        </w:tc>
        <w:tc>
          <w:tcPr>
            <w:tcW w:w="2540" w:type="pct"/>
            <w:tcMar>
              <w:top w:w="85" w:type="dxa"/>
              <w:left w:w="85" w:type="dxa"/>
              <w:bottom w:w="85" w:type="dxa"/>
              <w:right w:w="85" w:type="dxa"/>
            </w:tcMar>
          </w:tcPr>
          <w:p w14:paraId="3958D86D" w14:textId="77777777" w:rsidR="0099110B" w:rsidRPr="00630129" w:rsidRDefault="0099110B" w:rsidP="0099110B">
            <w:pPr>
              <w:spacing w:after="120"/>
              <w:rPr>
                <w:sz w:val="22"/>
                <w:szCs w:val="22"/>
              </w:rPr>
            </w:pPr>
            <w:r w:rsidRPr="00630129">
              <w:rPr>
                <w:sz w:val="22"/>
                <w:szCs w:val="22"/>
              </w:rPr>
              <w:t>A MW level and associated time in accordance with Section T3.1.2(b).</w:t>
            </w:r>
          </w:p>
          <w:p w14:paraId="20739109" w14:textId="77777777" w:rsidR="0099110B" w:rsidRPr="00630129" w:rsidRDefault="0099110B" w:rsidP="0099110B">
            <w:pPr>
              <w:rPr>
                <w:i/>
                <w:sz w:val="22"/>
                <w:szCs w:val="22"/>
              </w:rPr>
            </w:pPr>
            <w:r w:rsidRPr="00630129">
              <w:rPr>
                <w:i/>
                <w:sz w:val="22"/>
                <w:szCs w:val="22"/>
              </w:rPr>
              <w:t xml:space="preserve">The Point Bid-Offer Volume is one of two MW quantities each with the same or different associated spot time t, determined for each Bid-Offer Pair n, for BM Unit </w:t>
            </w:r>
            <w:proofErr w:type="spellStart"/>
            <w:r w:rsidRPr="00630129">
              <w:rPr>
                <w:i/>
                <w:sz w:val="22"/>
                <w:szCs w:val="22"/>
              </w:rPr>
              <w:t>i</w:t>
            </w:r>
            <w:proofErr w:type="spellEnd"/>
            <w:r w:rsidRPr="00630129">
              <w:rPr>
                <w:i/>
                <w:sz w:val="22"/>
                <w:szCs w:val="22"/>
              </w:rPr>
              <w:t xml:space="preserve"> in Settlement Period j.</w:t>
            </w:r>
          </w:p>
        </w:tc>
      </w:tr>
      <w:tr w:rsidR="0099110B" w:rsidRPr="00630129" w14:paraId="30C98196" w14:textId="77777777" w:rsidTr="00A63BA8">
        <w:trPr>
          <w:cantSplit/>
        </w:trPr>
        <w:tc>
          <w:tcPr>
            <w:tcW w:w="994" w:type="pct"/>
            <w:tcMar>
              <w:top w:w="85" w:type="dxa"/>
              <w:left w:w="85" w:type="dxa"/>
              <w:bottom w:w="85" w:type="dxa"/>
              <w:right w:w="85" w:type="dxa"/>
            </w:tcMar>
          </w:tcPr>
          <w:p w14:paraId="03930682" w14:textId="77777777" w:rsidR="0099110B" w:rsidRPr="00630129" w:rsidRDefault="0099110B" w:rsidP="0099110B">
            <w:pPr>
              <w:rPr>
                <w:sz w:val="22"/>
                <w:szCs w:val="22"/>
              </w:rPr>
            </w:pPr>
            <w:r w:rsidRPr="00630129">
              <w:rPr>
                <w:sz w:val="22"/>
                <w:szCs w:val="22"/>
              </w:rPr>
              <w:t>Point FPN</w:t>
            </w:r>
          </w:p>
        </w:tc>
        <w:tc>
          <w:tcPr>
            <w:tcW w:w="974" w:type="pct"/>
            <w:tcMar>
              <w:top w:w="85" w:type="dxa"/>
              <w:left w:w="85" w:type="dxa"/>
              <w:bottom w:w="85" w:type="dxa"/>
              <w:right w:w="85" w:type="dxa"/>
            </w:tcMar>
          </w:tcPr>
          <w:p w14:paraId="3A6D5429" w14:textId="77777777" w:rsidR="0099110B" w:rsidRPr="00630129" w:rsidRDefault="0099110B" w:rsidP="0099110B">
            <w:pPr>
              <w:rPr>
                <w:sz w:val="22"/>
                <w:szCs w:val="22"/>
              </w:rPr>
            </w:pPr>
            <w:proofErr w:type="spellStart"/>
            <w:r w:rsidRPr="00630129">
              <w:rPr>
                <w:sz w:val="22"/>
                <w:szCs w:val="22"/>
                <w:vertAlign w:val="superscript"/>
              </w:rPr>
              <w:t>f</w:t>
            </w:r>
            <w:r w:rsidRPr="00630129">
              <w:rPr>
                <w:sz w:val="22"/>
                <w:szCs w:val="22"/>
              </w:rPr>
              <w:t>FPN</w:t>
            </w:r>
            <w:r w:rsidRPr="00630129">
              <w:rPr>
                <w:sz w:val="22"/>
                <w:szCs w:val="22"/>
                <w:vertAlign w:val="subscript"/>
              </w:rPr>
              <w:t>ijt</w:t>
            </w:r>
            <w:proofErr w:type="spellEnd"/>
          </w:p>
        </w:tc>
        <w:tc>
          <w:tcPr>
            <w:tcW w:w="492" w:type="pct"/>
            <w:tcMar>
              <w:top w:w="85" w:type="dxa"/>
              <w:left w:w="85" w:type="dxa"/>
              <w:bottom w:w="85" w:type="dxa"/>
              <w:right w:w="85" w:type="dxa"/>
            </w:tcMar>
          </w:tcPr>
          <w:p w14:paraId="0F4285CF" w14:textId="77777777" w:rsidR="0099110B" w:rsidRPr="00630129" w:rsidRDefault="0099110B" w:rsidP="0099110B">
            <w:pPr>
              <w:rPr>
                <w:sz w:val="22"/>
                <w:szCs w:val="22"/>
              </w:rPr>
            </w:pPr>
            <w:r w:rsidRPr="00630129">
              <w:rPr>
                <w:sz w:val="22"/>
                <w:szCs w:val="22"/>
              </w:rPr>
              <w:t>MW</w:t>
            </w:r>
          </w:p>
        </w:tc>
        <w:tc>
          <w:tcPr>
            <w:tcW w:w="2540" w:type="pct"/>
            <w:tcMar>
              <w:top w:w="85" w:type="dxa"/>
              <w:left w:w="85" w:type="dxa"/>
              <w:bottom w:w="85" w:type="dxa"/>
              <w:right w:w="85" w:type="dxa"/>
            </w:tcMar>
          </w:tcPr>
          <w:p w14:paraId="061412AC" w14:textId="77777777" w:rsidR="0099110B" w:rsidRPr="00630129" w:rsidRDefault="0099110B" w:rsidP="0099110B">
            <w:pPr>
              <w:spacing w:after="120"/>
              <w:rPr>
                <w:sz w:val="22"/>
                <w:szCs w:val="22"/>
              </w:rPr>
            </w:pPr>
            <w:r w:rsidRPr="00630129">
              <w:rPr>
                <w:sz w:val="22"/>
                <w:szCs w:val="22"/>
              </w:rPr>
              <w:t>A MW quantity and associated time in accordance with Section T3.1.2(a).</w:t>
            </w:r>
          </w:p>
          <w:p w14:paraId="4B1CF400" w14:textId="77777777" w:rsidR="0099110B" w:rsidRPr="00630129" w:rsidRDefault="0099110B" w:rsidP="0099110B">
            <w:pPr>
              <w:rPr>
                <w:i/>
                <w:sz w:val="22"/>
                <w:szCs w:val="22"/>
              </w:rPr>
            </w:pPr>
            <w:r w:rsidRPr="00630129">
              <w:rPr>
                <w:i/>
                <w:sz w:val="22"/>
                <w:szCs w:val="22"/>
              </w:rPr>
              <w:t xml:space="preserve">Point FPN data is a series of one or more MW spot values submitted for spot times t in Settlement Period j for BM Unit </w:t>
            </w:r>
            <w:proofErr w:type="spellStart"/>
            <w:r w:rsidRPr="00630129">
              <w:rPr>
                <w:i/>
                <w:sz w:val="22"/>
                <w:szCs w:val="22"/>
              </w:rPr>
              <w:t>i</w:t>
            </w:r>
            <w:proofErr w:type="spellEnd"/>
            <w:r w:rsidRPr="00630129">
              <w:rPr>
                <w:i/>
                <w:sz w:val="22"/>
                <w:szCs w:val="22"/>
              </w:rPr>
              <w:t>. It is used to determine the values of Final Physical Notification.</w:t>
            </w:r>
          </w:p>
        </w:tc>
      </w:tr>
      <w:tr w:rsidR="0099110B" w:rsidRPr="00630129" w14:paraId="436A6A5F" w14:textId="77777777" w:rsidTr="00A63BA8">
        <w:trPr>
          <w:cantSplit/>
        </w:trPr>
        <w:tc>
          <w:tcPr>
            <w:tcW w:w="994" w:type="pct"/>
            <w:tcMar>
              <w:top w:w="85" w:type="dxa"/>
              <w:left w:w="85" w:type="dxa"/>
              <w:bottom w:w="85" w:type="dxa"/>
              <w:right w:w="85" w:type="dxa"/>
            </w:tcMar>
          </w:tcPr>
          <w:p w14:paraId="3D7D2C50" w14:textId="77777777" w:rsidR="0099110B" w:rsidRPr="00630129" w:rsidRDefault="0099110B" w:rsidP="0099110B">
            <w:pPr>
              <w:rPr>
                <w:sz w:val="22"/>
                <w:szCs w:val="22"/>
              </w:rPr>
            </w:pPr>
            <w:r w:rsidRPr="00630129">
              <w:rPr>
                <w:sz w:val="22"/>
                <w:szCs w:val="22"/>
              </w:rPr>
              <w:t xml:space="preserve">Point Value Identification Number </w:t>
            </w:r>
          </w:p>
        </w:tc>
        <w:tc>
          <w:tcPr>
            <w:tcW w:w="974" w:type="pct"/>
            <w:tcMar>
              <w:top w:w="85" w:type="dxa"/>
              <w:left w:w="85" w:type="dxa"/>
              <w:bottom w:w="85" w:type="dxa"/>
              <w:right w:w="85" w:type="dxa"/>
            </w:tcMar>
          </w:tcPr>
          <w:p w14:paraId="0619C438" w14:textId="77777777" w:rsidR="0099110B" w:rsidRPr="00630129" w:rsidRDefault="0099110B" w:rsidP="0099110B">
            <w:pPr>
              <w:rPr>
                <w:sz w:val="22"/>
                <w:szCs w:val="22"/>
              </w:rPr>
            </w:pPr>
            <w:r w:rsidRPr="00630129">
              <w:rPr>
                <w:sz w:val="22"/>
                <w:szCs w:val="22"/>
              </w:rPr>
              <w:t>f</w:t>
            </w:r>
          </w:p>
        </w:tc>
        <w:tc>
          <w:tcPr>
            <w:tcW w:w="492" w:type="pct"/>
            <w:tcMar>
              <w:top w:w="85" w:type="dxa"/>
              <w:left w:w="85" w:type="dxa"/>
              <w:bottom w:w="85" w:type="dxa"/>
              <w:right w:w="85" w:type="dxa"/>
            </w:tcMar>
          </w:tcPr>
          <w:p w14:paraId="258952F1"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203F9CAD" w14:textId="77777777" w:rsidR="0099110B" w:rsidRPr="00630129" w:rsidRDefault="0099110B" w:rsidP="0099110B">
            <w:pPr>
              <w:rPr>
                <w:i/>
                <w:sz w:val="22"/>
                <w:szCs w:val="22"/>
              </w:rPr>
            </w:pPr>
            <w:r w:rsidRPr="00630129">
              <w:rPr>
                <w:sz w:val="22"/>
                <w:szCs w:val="22"/>
              </w:rPr>
              <w:t>A number used to differentiate two values of a point variable determined for the same spot time and established for Point FPN values in Section T3.1.2(a) and for Point Bid-Offer Volumes in Section T3.1.2(b).</w:t>
            </w:r>
          </w:p>
        </w:tc>
      </w:tr>
      <w:tr w:rsidR="0099110B" w:rsidRPr="00630129" w14:paraId="35D7EA4A" w14:textId="77777777" w:rsidTr="00A63BA8">
        <w:trPr>
          <w:cantSplit/>
        </w:trPr>
        <w:tc>
          <w:tcPr>
            <w:tcW w:w="994" w:type="pct"/>
            <w:tcMar>
              <w:top w:w="85" w:type="dxa"/>
              <w:left w:w="85" w:type="dxa"/>
              <w:bottom w:w="85" w:type="dxa"/>
              <w:right w:w="85" w:type="dxa"/>
            </w:tcMar>
          </w:tcPr>
          <w:p w14:paraId="647F89F6" w14:textId="77777777" w:rsidR="0099110B" w:rsidRPr="00630129" w:rsidRDefault="0099110B" w:rsidP="0099110B">
            <w:pPr>
              <w:rPr>
                <w:sz w:val="22"/>
                <w:szCs w:val="22"/>
              </w:rPr>
            </w:pPr>
            <w:r w:rsidRPr="00630129">
              <w:rPr>
                <w:sz w:val="22"/>
                <w:szCs w:val="22"/>
              </w:rPr>
              <w:lastRenderedPageBreak/>
              <w:t>Position</w:t>
            </w:r>
          </w:p>
        </w:tc>
        <w:tc>
          <w:tcPr>
            <w:tcW w:w="974" w:type="pct"/>
            <w:tcMar>
              <w:top w:w="85" w:type="dxa"/>
              <w:left w:w="85" w:type="dxa"/>
              <w:bottom w:w="85" w:type="dxa"/>
              <w:right w:w="85" w:type="dxa"/>
            </w:tcMar>
          </w:tcPr>
          <w:p w14:paraId="0BDC9F34"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29D43288"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4CA35E6D" w14:textId="77777777" w:rsidR="0099110B" w:rsidRPr="00630129" w:rsidRDefault="0099110B" w:rsidP="0099110B">
            <w:pPr>
              <w:spacing w:after="120"/>
              <w:rPr>
                <w:sz w:val="22"/>
              </w:rPr>
            </w:pPr>
            <w:r w:rsidRPr="00630129">
              <w:rPr>
                <w:sz w:val="22"/>
                <w:szCs w:val="22"/>
              </w:rPr>
              <w:t xml:space="preserve">The identifier for a specific period of time submitted to the SAA pursuant to Section T3.1.5 with associated </w:t>
            </w:r>
            <w:r w:rsidRPr="00630129">
              <w:rPr>
                <w:sz w:val="22"/>
              </w:rPr>
              <w:t>Replacement Reserve Activation Data, GB Need Met Data and Interconnector Schedule Data.</w:t>
            </w:r>
          </w:p>
          <w:p w14:paraId="326A5F54" w14:textId="77777777" w:rsidR="0099110B" w:rsidRPr="00630129" w:rsidRDefault="0099110B" w:rsidP="0099110B">
            <w:pPr>
              <w:rPr>
                <w:sz w:val="22"/>
                <w:szCs w:val="22"/>
              </w:rPr>
            </w:pPr>
            <w:r w:rsidRPr="00630129">
              <w:rPr>
                <w:i/>
                <w:sz w:val="22"/>
                <w:szCs w:val="22"/>
              </w:rPr>
              <w:t xml:space="preserve">Each Position is an identifier determined by reference to a </w:t>
            </w:r>
            <w:r w:rsidRPr="00630129">
              <w:rPr>
                <w:i/>
                <w:sz w:val="22"/>
              </w:rPr>
              <w:t xml:space="preserve">Replacement Reserve Auction Period Resolution Type. For a PT60 there will be one Position associated with the relevant </w:t>
            </w:r>
            <w:r w:rsidRPr="00630129">
              <w:rPr>
                <w:i/>
                <w:sz w:val="22"/>
                <w:szCs w:val="22"/>
              </w:rPr>
              <w:t>Replacement Reserve Auction Period, for a PT30 there will be two Positions associated with the relevant Replacement Reserve Auction Period and for a PT15 there will be four Positions associated with the relevant Repl</w:t>
            </w:r>
            <w:r>
              <w:rPr>
                <w:i/>
                <w:sz w:val="22"/>
                <w:szCs w:val="22"/>
              </w:rPr>
              <w:t>acement Reserve Auction Period.</w:t>
            </w:r>
            <w:r w:rsidRPr="00630129">
              <w:rPr>
                <w:i/>
                <w:sz w:val="22"/>
                <w:szCs w:val="22"/>
              </w:rPr>
              <w:t xml:space="preserve"> The SAA will convert </w:t>
            </w:r>
            <w:r w:rsidRPr="00630129">
              <w:rPr>
                <w:i/>
                <w:sz w:val="22"/>
              </w:rPr>
              <w:t>Replacement Reserve Activation Data, GB Need Met Data and Interconnector Schedule Data associated with each Position into Quarter Hour data pursuant to Section T3.1.5.</w:t>
            </w:r>
          </w:p>
        </w:tc>
      </w:tr>
      <w:tr w:rsidR="0099110B" w:rsidRPr="00630129" w14:paraId="17837493" w14:textId="77777777" w:rsidTr="00A63BA8">
        <w:trPr>
          <w:cantSplit/>
        </w:trPr>
        <w:tc>
          <w:tcPr>
            <w:tcW w:w="994" w:type="pct"/>
            <w:tcMar>
              <w:top w:w="85" w:type="dxa"/>
              <w:left w:w="85" w:type="dxa"/>
              <w:bottom w:w="85" w:type="dxa"/>
              <w:right w:w="85" w:type="dxa"/>
            </w:tcMar>
          </w:tcPr>
          <w:p w14:paraId="3743EB61" w14:textId="77777777" w:rsidR="0099110B" w:rsidRPr="00630129" w:rsidRDefault="0099110B" w:rsidP="0099110B">
            <w:pPr>
              <w:rPr>
                <w:sz w:val="22"/>
                <w:szCs w:val="22"/>
              </w:rPr>
            </w:pPr>
            <w:bookmarkStart w:id="15" w:name="OLE_LINK3"/>
            <w:r w:rsidRPr="00630129">
              <w:rPr>
                <w:snapToGrid w:val="0"/>
                <w:sz w:val="22"/>
                <w:szCs w:val="22"/>
              </w:rPr>
              <w:t>Price Average Reference Volume</w:t>
            </w:r>
          </w:p>
        </w:tc>
        <w:tc>
          <w:tcPr>
            <w:tcW w:w="974" w:type="pct"/>
            <w:tcMar>
              <w:top w:w="85" w:type="dxa"/>
              <w:left w:w="85" w:type="dxa"/>
              <w:bottom w:w="85" w:type="dxa"/>
              <w:right w:w="85" w:type="dxa"/>
            </w:tcMar>
          </w:tcPr>
          <w:p w14:paraId="43A9C18E" w14:textId="77777777" w:rsidR="0099110B" w:rsidRPr="00630129" w:rsidRDefault="0099110B" w:rsidP="0099110B">
            <w:pPr>
              <w:rPr>
                <w:sz w:val="22"/>
                <w:szCs w:val="22"/>
              </w:rPr>
            </w:pPr>
            <w:r w:rsidRPr="00630129">
              <w:rPr>
                <w:snapToGrid w:val="0"/>
                <w:sz w:val="22"/>
                <w:szCs w:val="22"/>
              </w:rPr>
              <w:t>PAR</w:t>
            </w:r>
          </w:p>
        </w:tc>
        <w:tc>
          <w:tcPr>
            <w:tcW w:w="492" w:type="pct"/>
            <w:tcMar>
              <w:top w:w="85" w:type="dxa"/>
              <w:left w:w="85" w:type="dxa"/>
              <w:bottom w:w="85" w:type="dxa"/>
              <w:right w:w="85" w:type="dxa"/>
            </w:tcMar>
          </w:tcPr>
          <w:p w14:paraId="62732BD7" w14:textId="77777777" w:rsidR="0099110B" w:rsidRPr="00630129" w:rsidRDefault="0099110B" w:rsidP="0099110B">
            <w:pPr>
              <w:rPr>
                <w:sz w:val="22"/>
                <w:szCs w:val="22"/>
              </w:rPr>
            </w:pPr>
            <w:r w:rsidRPr="00630129">
              <w:rPr>
                <w:snapToGrid w:val="0"/>
                <w:sz w:val="22"/>
                <w:szCs w:val="22"/>
              </w:rPr>
              <w:t>MWh</w:t>
            </w:r>
          </w:p>
        </w:tc>
        <w:tc>
          <w:tcPr>
            <w:tcW w:w="2540" w:type="pct"/>
            <w:tcMar>
              <w:top w:w="85" w:type="dxa"/>
              <w:left w:w="85" w:type="dxa"/>
              <w:bottom w:w="85" w:type="dxa"/>
              <w:right w:w="85" w:type="dxa"/>
            </w:tcMar>
          </w:tcPr>
          <w:p w14:paraId="7765CD57" w14:textId="77777777" w:rsidR="0099110B" w:rsidRPr="00630129" w:rsidRDefault="0099110B" w:rsidP="0099110B">
            <w:pPr>
              <w:rPr>
                <w:snapToGrid w:val="0"/>
                <w:sz w:val="22"/>
                <w:szCs w:val="22"/>
              </w:rPr>
            </w:pPr>
            <w:r w:rsidRPr="00630129">
              <w:rPr>
                <w:snapToGrid w:val="0"/>
                <w:sz w:val="22"/>
                <w:szCs w:val="22"/>
              </w:rPr>
              <w:t>The volume determined in accordance with Section T1.10.1</w:t>
            </w:r>
          </w:p>
        </w:tc>
      </w:tr>
      <w:bookmarkEnd w:id="15"/>
      <w:tr w:rsidR="0099110B" w:rsidRPr="00630129" w14:paraId="789941C9" w14:textId="77777777" w:rsidTr="00A63BA8">
        <w:trPr>
          <w:cantSplit/>
        </w:trPr>
        <w:tc>
          <w:tcPr>
            <w:tcW w:w="994" w:type="pct"/>
            <w:tcMar>
              <w:top w:w="85" w:type="dxa"/>
              <w:left w:w="85" w:type="dxa"/>
              <w:bottom w:w="85" w:type="dxa"/>
              <w:right w:w="85" w:type="dxa"/>
            </w:tcMar>
          </w:tcPr>
          <w:p w14:paraId="291BE985" w14:textId="77777777" w:rsidR="0099110B" w:rsidRPr="00630129" w:rsidRDefault="0099110B" w:rsidP="0099110B">
            <w:pPr>
              <w:rPr>
                <w:snapToGrid w:val="0"/>
                <w:sz w:val="22"/>
                <w:szCs w:val="22"/>
              </w:rPr>
            </w:pPr>
            <w:r w:rsidRPr="00630129">
              <w:rPr>
                <w:snapToGrid w:val="0"/>
                <w:sz w:val="22"/>
                <w:szCs w:val="22"/>
              </w:rPr>
              <w:t>Quarter Hour</w:t>
            </w:r>
          </w:p>
        </w:tc>
        <w:tc>
          <w:tcPr>
            <w:tcW w:w="974" w:type="pct"/>
            <w:tcMar>
              <w:top w:w="85" w:type="dxa"/>
              <w:left w:w="85" w:type="dxa"/>
              <w:bottom w:w="85" w:type="dxa"/>
              <w:right w:w="85" w:type="dxa"/>
            </w:tcMar>
          </w:tcPr>
          <w:p w14:paraId="2EDA5D0C" w14:textId="77777777" w:rsidR="0099110B" w:rsidRPr="00630129" w:rsidRDefault="0099110B" w:rsidP="0099110B">
            <w:pPr>
              <w:rPr>
                <w:snapToGrid w:val="0"/>
                <w:sz w:val="22"/>
                <w:szCs w:val="22"/>
              </w:rPr>
            </w:pPr>
          </w:p>
        </w:tc>
        <w:tc>
          <w:tcPr>
            <w:tcW w:w="492" w:type="pct"/>
            <w:tcMar>
              <w:top w:w="85" w:type="dxa"/>
              <w:left w:w="85" w:type="dxa"/>
              <w:bottom w:w="85" w:type="dxa"/>
              <w:right w:w="85" w:type="dxa"/>
            </w:tcMar>
          </w:tcPr>
          <w:p w14:paraId="0A306503" w14:textId="77777777" w:rsidR="0099110B" w:rsidRPr="00630129" w:rsidRDefault="0099110B" w:rsidP="0099110B">
            <w:pPr>
              <w:rPr>
                <w:snapToGrid w:val="0"/>
                <w:sz w:val="22"/>
                <w:szCs w:val="22"/>
              </w:rPr>
            </w:pPr>
          </w:p>
        </w:tc>
        <w:tc>
          <w:tcPr>
            <w:tcW w:w="2540" w:type="pct"/>
            <w:tcMar>
              <w:top w:w="85" w:type="dxa"/>
              <w:left w:w="85" w:type="dxa"/>
              <w:bottom w:w="85" w:type="dxa"/>
              <w:right w:w="85" w:type="dxa"/>
            </w:tcMar>
          </w:tcPr>
          <w:p w14:paraId="7D9FDAC9" w14:textId="77777777" w:rsidR="0099110B" w:rsidRPr="00630129" w:rsidRDefault="0099110B" w:rsidP="0099110B">
            <w:pPr>
              <w:rPr>
                <w:snapToGrid w:val="0"/>
                <w:sz w:val="22"/>
                <w:szCs w:val="22"/>
              </w:rPr>
            </w:pPr>
            <w:r w:rsidRPr="00630129">
              <w:rPr>
                <w:sz w:val="22"/>
                <w:szCs w:val="22"/>
              </w:rPr>
              <w:t>A period of 15 minutes beginning on the hour or each quarter hour thereafter and in accordance with paragraph 4.3A of this Annex X-2.</w:t>
            </w:r>
          </w:p>
        </w:tc>
      </w:tr>
      <w:tr w:rsidR="0099110B" w:rsidRPr="00630129" w14:paraId="1053539F" w14:textId="77777777" w:rsidTr="00A63BA8">
        <w:trPr>
          <w:cantSplit/>
        </w:trPr>
        <w:tc>
          <w:tcPr>
            <w:tcW w:w="994" w:type="pct"/>
            <w:tcMar>
              <w:top w:w="85" w:type="dxa"/>
              <w:left w:w="85" w:type="dxa"/>
              <w:bottom w:w="85" w:type="dxa"/>
              <w:right w:w="85" w:type="dxa"/>
            </w:tcMar>
          </w:tcPr>
          <w:p w14:paraId="2A7DA419" w14:textId="77777777" w:rsidR="0099110B" w:rsidRPr="00630129" w:rsidRDefault="0099110B" w:rsidP="0099110B">
            <w:pPr>
              <w:rPr>
                <w:snapToGrid w:val="0"/>
                <w:sz w:val="22"/>
                <w:szCs w:val="22"/>
              </w:rPr>
            </w:pPr>
            <w:r w:rsidRPr="00630129">
              <w:rPr>
                <w:snapToGrid w:val="0"/>
                <w:sz w:val="22"/>
                <w:szCs w:val="22"/>
              </w:rPr>
              <w:t>Quarter Hour GB Need Met</w:t>
            </w:r>
          </w:p>
        </w:tc>
        <w:tc>
          <w:tcPr>
            <w:tcW w:w="974" w:type="pct"/>
            <w:tcMar>
              <w:top w:w="85" w:type="dxa"/>
              <w:left w:w="85" w:type="dxa"/>
              <w:bottom w:w="85" w:type="dxa"/>
              <w:right w:w="85" w:type="dxa"/>
            </w:tcMar>
          </w:tcPr>
          <w:p w14:paraId="310D1219" w14:textId="77777777" w:rsidR="0099110B" w:rsidRPr="00630129" w:rsidRDefault="0099110B" w:rsidP="0099110B">
            <w:pPr>
              <w:rPr>
                <w:snapToGrid w:val="0"/>
                <w:sz w:val="22"/>
                <w:szCs w:val="22"/>
              </w:rPr>
            </w:pPr>
          </w:p>
        </w:tc>
        <w:tc>
          <w:tcPr>
            <w:tcW w:w="492" w:type="pct"/>
            <w:tcMar>
              <w:top w:w="85" w:type="dxa"/>
              <w:left w:w="85" w:type="dxa"/>
              <w:bottom w:w="85" w:type="dxa"/>
              <w:right w:w="85" w:type="dxa"/>
            </w:tcMar>
          </w:tcPr>
          <w:p w14:paraId="5D7C19B4" w14:textId="77777777" w:rsidR="0099110B" w:rsidRPr="00630129" w:rsidRDefault="0099110B" w:rsidP="0099110B">
            <w:pPr>
              <w:rPr>
                <w:snapToGrid w:val="0"/>
                <w:sz w:val="22"/>
                <w:szCs w:val="22"/>
              </w:rPr>
            </w:pPr>
          </w:p>
        </w:tc>
        <w:tc>
          <w:tcPr>
            <w:tcW w:w="2540" w:type="pct"/>
            <w:tcMar>
              <w:top w:w="85" w:type="dxa"/>
              <w:left w:w="85" w:type="dxa"/>
              <w:bottom w:w="85" w:type="dxa"/>
              <w:right w:w="85" w:type="dxa"/>
            </w:tcMar>
          </w:tcPr>
          <w:p w14:paraId="7CF2F94F" w14:textId="77777777" w:rsidR="0099110B" w:rsidRPr="00630129" w:rsidRDefault="0099110B" w:rsidP="0099110B">
            <w:pPr>
              <w:rPr>
                <w:snapToGrid w:val="0"/>
                <w:sz w:val="22"/>
                <w:szCs w:val="22"/>
              </w:rPr>
            </w:pPr>
            <w:r w:rsidRPr="00630129">
              <w:rPr>
                <w:snapToGrid w:val="0"/>
                <w:sz w:val="22"/>
                <w:szCs w:val="22"/>
              </w:rPr>
              <w:t xml:space="preserve">For each Quarter Hour, data derived from </w:t>
            </w:r>
            <w:r w:rsidRPr="00630129">
              <w:rPr>
                <w:sz w:val="22"/>
                <w:szCs w:val="22"/>
              </w:rPr>
              <w:t>GB Need Met Data</w:t>
            </w:r>
            <w:r w:rsidRPr="00630129">
              <w:rPr>
                <w:snapToGrid w:val="0"/>
                <w:sz w:val="22"/>
                <w:szCs w:val="22"/>
              </w:rPr>
              <w:t xml:space="preserve"> pursuant to paragraph T3.1.5.</w:t>
            </w:r>
          </w:p>
        </w:tc>
      </w:tr>
      <w:tr w:rsidR="0099110B" w:rsidRPr="00630129" w14:paraId="129F77F7" w14:textId="77777777" w:rsidTr="00A63BA8">
        <w:trPr>
          <w:cantSplit/>
        </w:trPr>
        <w:tc>
          <w:tcPr>
            <w:tcW w:w="994" w:type="pct"/>
            <w:tcMar>
              <w:top w:w="85" w:type="dxa"/>
              <w:left w:w="85" w:type="dxa"/>
              <w:bottom w:w="85" w:type="dxa"/>
              <w:right w:w="85" w:type="dxa"/>
            </w:tcMar>
          </w:tcPr>
          <w:p w14:paraId="67BBC16B" w14:textId="77777777" w:rsidR="0099110B" w:rsidRPr="00630129" w:rsidRDefault="0099110B" w:rsidP="0099110B">
            <w:pPr>
              <w:rPr>
                <w:snapToGrid w:val="0"/>
                <w:sz w:val="22"/>
                <w:szCs w:val="22"/>
              </w:rPr>
            </w:pPr>
            <w:r w:rsidRPr="00630129">
              <w:rPr>
                <w:snapToGrid w:val="0"/>
                <w:sz w:val="22"/>
                <w:szCs w:val="22"/>
              </w:rPr>
              <w:t>Quarter Hour Interconnector Schedule</w:t>
            </w:r>
          </w:p>
        </w:tc>
        <w:tc>
          <w:tcPr>
            <w:tcW w:w="974" w:type="pct"/>
            <w:tcMar>
              <w:top w:w="85" w:type="dxa"/>
              <w:left w:w="85" w:type="dxa"/>
              <w:bottom w:w="85" w:type="dxa"/>
              <w:right w:w="85" w:type="dxa"/>
            </w:tcMar>
          </w:tcPr>
          <w:p w14:paraId="28F80ABA" w14:textId="77777777" w:rsidR="0099110B" w:rsidRPr="00630129" w:rsidRDefault="0099110B" w:rsidP="0099110B">
            <w:pPr>
              <w:rPr>
                <w:snapToGrid w:val="0"/>
                <w:sz w:val="22"/>
                <w:szCs w:val="22"/>
              </w:rPr>
            </w:pPr>
          </w:p>
        </w:tc>
        <w:tc>
          <w:tcPr>
            <w:tcW w:w="492" w:type="pct"/>
            <w:tcMar>
              <w:top w:w="85" w:type="dxa"/>
              <w:left w:w="85" w:type="dxa"/>
              <w:bottom w:w="85" w:type="dxa"/>
              <w:right w:w="85" w:type="dxa"/>
            </w:tcMar>
          </w:tcPr>
          <w:p w14:paraId="4EC047C7" w14:textId="77777777" w:rsidR="0099110B" w:rsidRPr="00630129" w:rsidRDefault="0099110B" w:rsidP="0099110B">
            <w:pPr>
              <w:rPr>
                <w:snapToGrid w:val="0"/>
                <w:sz w:val="22"/>
                <w:szCs w:val="22"/>
              </w:rPr>
            </w:pPr>
          </w:p>
        </w:tc>
        <w:tc>
          <w:tcPr>
            <w:tcW w:w="2540" w:type="pct"/>
            <w:tcMar>
              <w:top w:w="85" w:type="dxa"/>
              <w:left w:w="85" w:type="dxa"/>
              <w:bottom w:w="85" w:type="dxa"/>
              <w:right w:w="85" w:type="dxa"/>
            </w:tcMar>
          </w:tcPr>
          <w:p w14:paraId="418E7EB3" w14:textId="77777777" w:rsidR="0099110B" w:rsidRPr="00630129" w:rsidRDefault="0099110B" w:rsidP="0099110B">
            <w:pPr>
              <w:rPr>
                <w:snapToGrid w:val="0"/>
                <w:sz w:val="22"/>
                <w:szCs w:val="22"/>
              </w:rPr>
            </w:pPr>
            <w:r w:rsidRPr="00630129">
              <w:rPr>
                <w:snapToGrid w:val="0"/>
                <w:sz w:val="22"/>
                <w:szCs w:val="22"/>
              </w:rPr>
              <w:t xml:space="preserve">For each Quarter Hour, data derived from </w:t>
            </w:r>
            <w:r w:rsidRPr="00630129">
              <w:rPr>
                <w:sz w:val="22"/>
                <w:szCs w:val="22"/>
              </w:rPr>
              <w:t>Interconnector Schedule Data pursuant to paragraph T3.1.5</w:t>
            </w:r>
            <w:r w:rsidRPr="00630129">
              <w:rPr>
                <w:snapToGrid w:val="0"/>
                <w:sz w:val="22"/>
                <w:szCs w:val="22"/>
              </w:rPr>
              <w:t>.</w:t>
            </w:r>
          </w:p>
        </w:tc>
      </w:tr>
      <w:tr w:rsidR="0099110B" w:rsidRPr="00630129" w14:paraId="5F6225A1" w14:textId="77777777" w:rsidTr="00A63BA8">
        <w:trPr>
          <w:cantSplit/>
        </w:trPr>
        <w:tc>
          <w:tcPr>
            <w:tcW w:w="994" w:type="pct"/>
            <w:tcMar>
              <w:top w:w="85" w:type="dxa"/>
              <w:left w:w="85" w:type="dxa"/>
              <w:bottom w:w="85" w:type="dxa"/>
              <w:right w:w="85" w:type="dxa"/>
            </w:tcMar>
          </w:tcPr>
          <w:p w14:paraId="0AC9F788" w14:textId="77777777" w:rsidR="0099110B" w:rsidRPr="00630129" w:rsidRDefault="0099110B" w:rsidP="0099110B">
            <w:pPr>
              <w:rPr>
                <w:snapToGrid w:val="0"/>
                <w:sz w:val="22"/>
                <w:szCs w:val="22"/>
              </w:rPr>
            </w:pPr>
            <w:r w:rsidRPr="00630129">
              <w:rPr>
                <w:snapToGrid w:val="0"/>
                <w:sz w:val="22"/>
                <w:szCs w:val="22"/>
              </w:rPr>
              <w:t>Quarter Hour RR Activated Quantity</w:t>
            </w:r>
          </w:p>
        </w:tc>
        <w:tc>
          <w:tcPr>
            <w:tcW w:w="974" w:type="pct"/>
            <w:tcMar>
              <w:top w:w="85" w:type="dxa"/>
              <w:left w:w="85" w:type="dxa"/>
              <w:bottom w:w="85" w:type="dxa"/>
              <w:right w:w="85" w:type="dxa"/>
            </w:tcMar>
          </w:tcPr>
          <w:p w14:paraId="0129C3BF" w14:textId="77777777" w:rsidR="0099110B" w:rsidRPr="00630129" w:rsidRDefault="0099110B" w:rsidP="0099110B">
            <w:pPr>
              <w:rPr>
                <w:snapToGrid w:val="0"/>
                <w:sz w:val="22"/>
                <w:szCs w:val="22"/>
              </w:rPr>
            </w:pPr>
          </w:p>
        </w:tc>
        <w:tc>
          <w:tcPr>
            <w:tcW w:w="492" w:type="pct"/>
            <w:tcMar>
              <w:top w:w="85" w:type="dxa"/>
              <w:left w:w="85" w:type="dxa"/>
              <w:bottom w:w="85" w:type="dxa"/>
              <w:right w:w="85" w:type="dxa"/>
            </w:tcMar>
          </w:tcPr>
          <w:p w14:paraId="3A4737BA" w14:textId="77777777" w:rsidR="0099110B" w:rsidRPr="00630129" w:rsidRDefault="0099110B" w:rsidP="0099110B">
            <w:pPr>
              <w:rPr>
                <w:snapToGrid w:val="0"/>
                <w:sz w:val="22"/>
                <w:szCs w:val="22"/>
              </w:rPr>
            </w:pPr>
          </w:p>
        </w:tc>
        <w:tc>
          <w:tcPr>
            <w:tcW w:w="2540" w:type="pct"/>
            <w:tcMar>
              <w:top w:w="85" w:type="dxa"/>
              <w:left w:w="85" w:type="dxa"/>
              <w:bottom w:w="85" w:type="dxa"/>
              <w:right w:w="85" w:type="dxa"/>
            </w:tcMar>
          </w:tcPr>
          <w:p w14:paraId="59319D08" w14:textId="77777777" w:rsidR="0099110B" w:rsidRPr="00630129" w:rsidRDefault="0099110B" w:rsidP="0099110B">
            <w:pPr>
              <w:rPr>
                <w:snapToGrid w:val="0"/>
                <w:sz w:val="22"/>
                <w:szCs w:val="22"/>
              </w:rPr>
            </w:pPr>
            <w:r w:rsidRPr="00630129">
              <w:rPr>
                <w:snapToGrid w:val="0"/>
                <w:sz w:val="22"/>
                <w:szCs w:val="22"/>
              </w:rPr>
              <w:t xml:space="preserve">For each Quarter Hour, the MW level derived from </w:t>
            </w:r>
            <w:r w:rsidRPr="00630129">
              <w:rPr>
                <w:sz w:val="22"/>
                <w:szCs w:val="22"/>
              </w:rPr>
              <w:t>Replacement Reserve Auction Result Data</w:t>
            </w:r>
            <w:r w:rsidRPr="00630129">
              <w:rPr>
                <w:snapToGrid w:val="0"/>
                <w:sz w:val="22"/>
                <w:szCs w:val="22"/>
              </w:rPr>
              <w:t xml:space="preserve"> pursuant to paragraph T3.1.5.</w:t>
            </w:r>
          </w:p>
        </w:tc>
      </w:tr>
      <w:tr w:rsidR="0099110B" w:rsidRPr="00630129" w14:paraId="6EA3C311" w14:textId="77777777" w:rsidTr="00A63BA8">
        <w:trPr>
          <w:cantSplit/>
        </w:trPr>
        <w:tc>
          <w:tcPr>
            <w:tcW w:w="994" w:type="pct"/>
            <w:tcMar>
              <w:top w:w="85" w:type="dxa"/>
              <w:left w:w="85" w:type="dxa"/>
              <w:bottom w:w="85" w:type="dxa"/>
              <w:right w:w="85" w:type="dxa"/>
            </w:tcMar>
          </w:tcPr>
          <w:p w14:paraId="534A76A4" w14:textId="77777777" w:rsidR="0099110B" w:rsidRPr="00630129" w:rsidRDefault="0099110B" w:rsidP="0099110B">
            <w:pPr>
              <w:rPr>
                <w:snapToGrid w:val="0"/>
                <w:sz w:val="22"/>
                <w:szCs w:val="22"/>
              </w:rPr>
            </w:pPr>
            <w:r w:rsidRPr="00630129">
              <w:rPr>
                <w:snapToGrid w:val="0"/>
                <w:sz w:val="22"/>
                <w:szCs w:val="22"/>
              </w:rPr>
              <w:t>Quarter Hour RR Activation</w:t>
            </w:r>
          </w:p>
        </w:tc>
        <w:tc>
          <w:tcPr>
            <w:tcW w:w="974" w:type="pct"/>
            <w:tcMar>
              <w:top w:w="85" w:type="dxa"/>
              <w:left w:w="85" w:type="dxa"/>
              <w:bottom w:w="85" w:type="dxa"/>
              <w:right w:w="85" w:type="dxa"/>
            </w:tcMar>
          </w:tcPr>
          <w:p w14:paraId="6AB653A8" w14:textId="77777777" w:rsidR="0099110B" w:rsidRPr="00630129" w:rsidRDefault="0099110B" w:rsidP="0099110B">
            <w:pPr>
              <w:rPr>
                <w:snapToGrid w:val="0"/>
                <w:sz w:val="22"/>
                <w:szCs w:val="22"/>
              </w:rPr>
            </w:pPr>
          </w:p>
        </w:tc>
        <w:tc>
          <w:tcPr>
            <w:tcW w:w="492" w:type="pct"/>
            <w:tcMar>
              <w:top w:w="85" w:type="dxa"/>
              <w:left w:w="85" w:type="dxa"/>
              <w:bottom w:w="85" w:type="dxa"/>
              <w:right w:w="85" w:type="dxa"/>
            </w:tcMar>
          </w:tcPr>
          <w:p w14:paraId="6FB44B51" w14:textId="77777777" w:rsidR="0099110B" w:rsidRPr="00630129" w:rsidRDefault="0099110B" w:rsidP="0099110B">
            <w:pPr>
              <w:rPr>
                <w:snapToGrid w:val="0"/>
                <w:sz w:val="22"/>
                <w:szCs w:val="22"/>
              </w:rPr>
            </w:pPr>
          </w:p>
        </w:tc>
        <w:tc>
          <w:tcPr>
            <w:tcW w:w="2540" w:type="pct"/>
            <w:tcMar>
              <w:top w:w="85" w:type="dxa"/>
              <w:left w:w="85" w:type="dxa"/>
              <w:bottom w:w="85" w:type="dxa"/>
              <w:right w:w="85" w:type="dxa"/>
            </w:tcMar>
          </w:tcPr>
          <w:p w14:paraId="72BA42DB" w14:textId="77777777" w:rsidR="0099110B" w:rsidRPr="00630129" w:rsidRDefault="0099110B" w:rsidP="0099110B">
            <w:pPr>
              <w:rPr>
                <w:snapToGrid w:val="0"/>
                <w:sz w:val="22"/>
                <w:szCs w:val="22"/>
              </w:rPr>
            </w:pPr>
            <w:r w:rsidRPr="00630129">
              <w:rPr>
                <w:snapToGrid w:val="0"/>
                <w:sz w:val="22"/>
                <w:szCs w:val="22"/>
              </w:rPr>
              <w:t xml:space="preserve">For each Quarter Hour, data derived from </w:t>
            </w:r>
            <w:r w:rsidRPr="00630129">
              <w:rPr>
                <w:sz w:val="22"/>
                <w:szCs w:val="22"/>
              </w:rPr>
              <w:t>Replacement Reserve Activation Data</w:t>
            </w:r>
            <w:r w:rsidRPr="00630129">
              <w:rPr>
                <w:snapToGrid w:val="0"/>
                <w:sz w:val="22"/>
                <w:szCs w:val="22"/>
              </w:rPr>
              <w:t xml:space="preserve"> pursuant to paragraph T3.1.5.</w:t>
            </w:r>
          </w:p>
        </w:tc>
      </w:tr>
      <w:tr w:rsidR="0099110B" w:rsidRPr="00630129" w14:paraId="51C962C6" w14:textId="77777777" w:rsidTr="00A63BA8">
        <w:trPr>
          <w:cantSplit/>
        </w:trPr>
        <w:tc>
          <w:tcPr>
            <w:tcW w:w="994" w:type="pct"/>
            <w:tcMar>
              <w:top w:w="85" w:type="dxa"/>
              <w:left w:w="85" w:type="dxa"/>
              <w:bottom w:w="85" w:type="dxa"/>
              <w:right w:w="85" w:type="dxa"/>
            </w:tcMar>
          </w:tcPr>
          <w:p w14:paraId="1B7F5897" w14:textId="77777777" w:rsidR="0099110B" w:rsidRPr="00630129" w:rsidRDefault="0099110B" w:rsidP="0099110B">
            <w:pPr>
              <w:rPr>
                <w:snapToGrid w:val="0"/>
                <w:sz w:val="22"/>
                <w:szCs w:val="22"/>
              </w:rPr>
            </w:pPr>
            <w:r w:rsidRPr="00630129">
              <w:rPr>
                <w:snapToGrid w:val="0"/>
                <w:sz w:val="22"/>
                <w:szCs w:val="22"/>
              </w:rPr>
              <w:t>Quarter Hour RR Activation Data</w:t>
            </w:r>
          </w:p>
        </w:tc>
        <w:tc>
          <w:tcPr>
            <w:tcW w:w="974" w:type="pct"/>
            <w:tcMar>
              <w:top w:w="85" w:type="dxa"/>
              <w:left w:w="85" w:type="dxa"/>
              <w:bottom w:w="85" w:type="dxa"/>
              <w:right w:w="85" w:type="dxa"/>
            </w:tcMar>
          </w:tcPr>
          <w:p w14:paraId="7F76649B" w14:textId="77777777" w:rsidR="0099110B" w:rsidRPr="00630129" w:rsidRDefault="0099110B" w:rsidP="0099110B">
            <w:pPr>
              <w:rPr>
                <w:snapToGrid w:val="0"/>
                <w:sz w:val="22"/>
                <w:szCs w:val="22"/>
              </w:rPr>
            </w:pPr>
          </w:p>
        </w:tc>
        <w:tc>
          <w:tcPr>
            <w:tcW w:w="492" w:type="pct"/>
            <w:tcMar>
              <w:top w:w="85" w:type="dxa"/>
              <w:left w:w="85" w:type="dxa"/>
              <w:bottom w:w="85" w:type="dxa"/>
              <w:right w:w="85" w:type="dxa"/>
            </w:tcMar>
          </w:tcPr>
          <w:p w14:paraId="7BFE80A5" w14:textId="77777777" w:rsidR="0099110B" w:rsidRPr="00630129" w:rsidRDefault="0099110B" w:rsidP="0099110B">
            <w:pPr>
              <w:rPr>
                <w:snapToGrid w:val="0"/>
                <w:sz w:val="22"/>
                <w:szCs w:val="22"/>
              </w:rPr>
            </w:pPr>
          </w:p>
        </w:tc>
        <w:tc>
          <w:tcPr>
            <w:tcW w:w="2540" w:type="pct"/>
            <w:tcMar>
              <w:top w:w="85" w:type="dxa"/>
              <w:left w:w="85" w:type="dxa"/>
              <w:bottom w:w="85" w:type="dxa"/>
              <w:right w:w="85" w:type="dxa"/>
            </w:tcMar>
          </w:tcPr>
          <w:p w14:paraId="6D9A4156" w14:textId="77777777" w:rsidR="0099110B" w:rsidRPr="00630129" w:rsidRDefault="0099110B" w:rsidP="0099110B">
            <w:pPr>
              <w:rPr>
                <w:snapToGrid w:val="0"/>
                <w:sz w:val="22"/>
                <w:szCs w:val="22"/>
              </w:rPr>
            </w:pPr>
            <w:r w:rsidRPr="00630129">
              <w:rPr>
                <w:snapToGrid w:val="0"/>
                <w:sz w:val="22"/>
                <w:szCs w:val="22"/>
              </w:rPr>
              <w:t>Data (comprising the items set out in Section Q5.6.2) to be submitted by the NETSO pursuant to Section Q6.2C.1(d).</w:t>
            </w:r>
          </w:p>
        </w:tc>
      </w:tr>
      <w:tr w:rsidR="0099110B" w:rsidRPr="00630129" w14:paraId="5728EEF6" w14:textId="77777777" w:rsidTr="00A63BA8">
        <w:trPr>
          <w:cantSplit/>
        </w:trPr>
        <w:tc>
          <w:tcPr>
            <w:tcW w:w="994" w:type="pct"/>
            <w:tcMar>
              <w:top w:w="85" w:type="dxa"/>
              <w:left w:w="85" w:type="dxa"/>
              <w:bottom w:w="85" w:type="dxa"/>
              <w:right w:w="85" w:type="dxa"/>
            </w:tcMar>
          </w:tcPr>
          <w:p w14:paraId="35DF1A60" w14:textId="77777777" w:rsidR="0099110B" w:rsidRPr="00630129" w:rsidRDefault="0099110B" w:rsidP="0099110B">
            <w:pPr>
              <w:rPr>
                <w:snapToGrid w:val="0"/>
                <w:sz w:val="22"/>
                <w:szCs w:val="22"/>
              </w:rPr>
            </w:pPr>
            <w:r w:rsidRPr="00630129">
              <w:rPr>
                <w:snapToGrid w:val="0"/>
                <w:sz w:val="22"/>
                <w:szCs w:val="22"/>
              </w:rPr>
              <w:t>Quarter Hour RR Activation Price</w:t>
            </w:r>
          </w:p>
        </w:tc>
        <w:tc>
          <w:tcPr>
            <w:tcW w:w="974" w:type="pct"/>
            <w:tcMar>
              <w:top w:w="85" w:type="dxa"/>
              <w:left w:w="85" w:type="dxa"/>
              <w:bottom w:w="85" w:type="dxa"/>
              <w:right w:w="85" w:type="dxa"/>
            </w:tcMar>
          </w:tcPr>
          <w:p w14:paraId="4B03A38D" w14:textId="77777777" w:rsidR="0099110B" w:rsidRPr="00630129" w:rsidRDefault="0099110B" w:rsidP="0099110B">
            <w:pPr>
              <w:rPr>
                <w:snapToGrid w:val="0"/>
                <w:sz w:val="22"/>
                <w:szCs w:val="22"/>
              </w:rPr>
            </w:pPr>
          </w:p>
        </w:tc>
        <w:tc>
          <w:tcPr>
            <w:tcW w:w="492" w:type="pct"/>
            <w:tcMar>
              <w:top w:w="85" w:type="dxa"/>
              <w:left w:w="85" w:type="dxa"/>
              <w:bottom w:w="85" w:type="dxa"/>
              <w:right w:w="85" w:type="dxa"/>
            </w:tcMar>
          </w:tcPr>
          <w:p w14:paraId="65A6276B" w14:textId="77777777" w:rsidR="0099110B" w:rsidRPr="00630129" w:rsidRDefault="0099110B" w:rsidP="0099110B">
            <w:pPr>
              <w:rPr>
                <w:snapToGrid w:val="0"/>
                <w:sz w:val="22"/>
                <w:szCs w:val="22"/>
              </w:rPr>
            </w:pPr>
            <w:r w:rsidRPr="00630129">
              <w:rPr>
                <w:snapToGrid w:val="0"/>
                <w:sz w:val="22"/>
                <w:szCs w:val="22"/>
              </w:rPr>
              <w:t>£/MWh</w:t>
            </w:r>
          </w:p>
        </w:tc>
        <w:tc>
          <w:tcPr>
            <w:tcW w:w="2540" w:type="pct"/>
            <w:tcMar>
              <w:top w:w="85" w:type="dxa"/>
              <w:left w:w="85" w:type="dxa"/>
              <w:bottom w:w="85" w:type="dxa"/>
              <w:right w:w="85" w:type="dxa"/>
            </w:tcMar>
          </w:tcPr>
          <w:p w14:paraId="324333DA" w14:textId="77777777" w:rsidR="0099110B" w:rsidRPr="00630129" w:rsidRDefault="0099110B" w:rsidP="0099110B">
            <w:pPr>
              <w:rPr>
                <w:snapToGrid w:val="0"/>
                <w:sz w:val="22"/>
                <w:szCs w:val="22"/>
              </w:rPr>
            </w:pPr>
            <w:r w:rsidRPr="00630129">
              <w:rPr>
                <w:snapToGrid w:val="0"/>
                <w:sz w:val="22"/>
                <w:szCs w:val="22"/>
              </w:rPr>
              <w:t>The price associated with a RR Activation as defined in Section Q5.6.2(e).</w:t>
            </w:r>
          </w:p>
        </w:tc>
      </w:tr>
      <w:tr w:rsidR="0099110B" w:rsidRPr="00630129" w14:paraId="69D92910" w14:textId="77777777" w:rsidTr="00A63BA8">
        <w:trPr>
          <w:cantSplit/>
        </w:trPr>
        <w:tc>
          <w:tcPr>
            <w:tcW w:w="994" w:type="pct"/>
            <w:tcMar>
              <w:top w:w="85" w:type="dxa"/>
              <w:left w:w="85" w:type="dxa"/>
              <w:bottom w:w="85" w:type="dxa"/>
              <w:right w:w="85" w:type="dxa"/>
            </w:tcMar>
          </w:tcPr>
          <w:p w14:paraId="5864391E" w14:textId="77777777" w:rsidR="0099110B" w:rsidRPr="00630129" w:rsidRDefault="0099110B" w:rsidP="0099110B">
            <w:pPr>
              <w:rPr>
                <w:snapToGrid w:val="0"/>
                <w:sz w:val="22"/>
                <w:szCs w:val="22"/>
              </w:rPr>
            </w:pPr>
            <w:r w:rsidRPr="00630129">
              <w:rPr>
                <w:snapToGrid w:val="0"/>
                <w:sz w:val="22"/>
                <w:szCs w:val="22"/>
              </w:rPr>
              <w:lastRenderedPageBreak/>
              <w:t>Quarter Hour RR Activation Volume</w:t>
            </w:r>
          </w:p>
        </w:tc>
        <w:tc>
          <w:tcPr>
            <w:tcW w:w="974" w:type="pct"/>
            <w:tcMar>
              <w:top w:w="85" w:type="dxa"/>
              <w:left w:w="85" w:type="dxa"/>
              <w:bottom w:w="85" w:type="dxa"/>
              <w:right w:w="85" w:type="dxa"/>
            </w:tcMar>
          </w:tcPr>
          <w:p w14:paraId="17F0275E" w14:textId="77777777" w:rsidR="0099110B" w:rsidRPr="00630129" w:rsidRDefault="0099110B" w:rsidP="0099110B">
            <w:pPr>
              <w:rPr>
                <w:snapToGrid w:val="0"/>
                <w:sz w:val="22"/>
                <w:szCs w:val="22"/>
              </w:rPr>
            </w:pPr>
            <w:proofErr w:type="spellStart"/>
            <w:r w:rsidRPr="00630129">
              <w:rPr>
                <w:snapToGrid w:val="0"/>
                <w:sz w:val="22"/>
                <w:szCs w:val="22"/>
              </w:rPr>
              <w:t>RRAV</w:t>
            </w:r>
            <w:r w:rsidRPr="00630129">
              <w:rPr>
                <w:snapToGrid w:val="0"/>
                <w:sz w:val="22"/>
                <w:szCs w:val="22"/>
                <w:vertAlign w:val="subscript"/>
              </w:rPr>
              <w:t>iJ</w:t>
            </w:r>
            <w:proofErr w:type="spellEnd"/>
          </w:p>
        </w:tc>
        <w:tc>
          <w:tcPr>
            <w:tcW w:w="492" w:type="pct"/>
            <w:tcMar>
              <w:top w:w="85" w:type="dxa"/>
              <w:left w:w="85" w:type="dxa"/>
              <w:bottom w:w="85" w:type="dxa"/>
              <w:right w:w="85" w:type="dxa"/>
            </w:tcMar>
          </w:tcPr>
          <w:p w14:paraId="7322F11A" w14:textId="77777777" w:rsidR="0099110B" w:rsidRPr="00630129" w:rsidRDefault="0099110B" w:rsidP="0099110B">
            <w:pPr>
              <w:rPr>
                <w:snapToGrid w:val="0"/>
                <w:sz w:val="22"/>
                <w:szCs w:val="22"/>
              </w:rPr>
            </w:pPr>
            <w:r w:rsidRPr="00630129">
              <w:rPr>
                <w:snapToGrid w:val="0"/>
                <w:sz w:val="22"/>
                <w:szCs w:val="22"/>
              </w:rPr>
              <w:t>MWh</w:t>
            </w:r>
          </w:p>
        </w:tc>
        <w:tc>
          <w:tcPr>
            <w:tcW w:w="2540" w:type="pct"/>
            <w:tcMar>
              <w:top w:w="85" w:type="dxa"/>
              <w:left w:w="85" w:type="dxa"/>
              <w:bottom w:w="85" w:type="dxa"/>
              <w:right w:w="85" w:type="dxa"/>
            </w:tcMar>
          </w:tcPr>
          <w:p w14:paraId="1E8855E1" w14:textId="77777777" w:rsidR="0099110B" w:rsidRPr="00630129" w:rsidRDefault="0099110B" w:rsidP="0099110B">
            <w:pPr>
              <w:spacing w:after="120"/>
              <w:rPr>
                <w:snapToGrid w:val="0"/>
                <w:sz w:val="22"/>
                <w:szCs w:val="22"/>
              </w:rPr>
            </w:pPr>
            <w:r w:rsidRPr="00630129">
              <w:rPr>
                <w:snapToGrid w:val="0"/>
                <w:sz w:val="22"/>
                <w:szCs w:val="22"/>
              </w:rPr>
              <w:t>The quantity established in accordance with Section T3.9.5.</w:t>
            </w:r>
          </w:p>
          <w:p w14:paraId="6F534DB6" w14:textId="77777777" w:rsidR="0099110B" w:rsidRPr="00630129" w:rsidRDefault="0099110B" w:rsidP="0099110B">
            <w:pPr>
              <w:rPr>
                <w:snapToGrid w:val="0"/>
                <w:sz w:val="22"/>
                <w:szCs w:val="22"/>
              </w:rPr>
            </w:pPr>
            <w:r w:rsidRPr="00630129">
              <w:rPr>
                <w:i/>
                <w:snapToGrid w:val="0"/>
                <w:sz w:val="22"/>
                <w:szCs w:val="22"/>
              </w:rPr>
              <w:t>The RR Activation Level multiplied by the Quarter Hour duration in hours, for a given Quarter Hour RR Activation.</w:t>
            </w:r>
          </w:p>
        </w:tc>
      </w:tr>
      <w:tr w:rsidR="0099110B" w:rsidRPr="00630129" w14:paraId="08D06F32" w14:textId="77777777" w:rsidTr="00A63BA8">
        <w:trPr>
          <w:cantSplit/>
        </w:trPr>
        <w:tc>
          <w:tcPr>
            <w:tcW w:w="994" w:type="pct"/>
            <w:tcMar>
              <w:top w:w="85" w:type="dxa"/>
              <w:left w:w="85" w:type="dxa"/>
              <w:bottom w:w="85" w:type="dxa"/>
              <w:right w:w="85" w:type="dxa"/>
            </w:tcMar>
          </w:tcPr>
          <w:p w14:paraId="4B094505" w14:textId="77777777" w:rsidR="0099110B" w:rsidRPr="00630129" w:rsidRDefault="0099110B" w:rsidP="0099110B">
            <w:pPr>
              <w:rPr>
                <w:snapToGrid w:val="0"/>
                <w:sz w:val="22"/>
                <w:szCs w:val="22"/>
              </w:rPr>
            </w:pPr>
            <w:r w:rsidRPr="00630129">
              <w:rPr>
                <w:snapToGrid w:val="0"/>
                <w:sz w:val="22"/>
                <w:szCs w:val="22"/>
              </w:rPr>
              <w:t xml:space="preserve">Quarter Hour RR </w:t>
            </w:r>
            <w:proofErr w:type="spellStart"/>
            <w:r w:rsidRPr="00630129">
              <w:rPr>
                <w:snapToGrid w:val="0"/>
                <w:sz w:val="22"/>
                <w:szCs w:val="22"/>
              </w:rPr>
              <w:t>Cashflow</w:t>
            </w:r>
            <w:proofErr w:type="spellEnd"/>
          </w:p>
        </w:tc>
        <w:tc>
          <w:tcPr>
            <w:tcW w:w="974" w:type="pct"/>
            <w:tcMar>
              <w:top w:w="85" w:type="dxa"/>
              <w:left w:w="85" w:type="dxa"/>
              <w:bottom w:w="85" w:type="dxa"/>
              <w:right w:w="85" w:type="dxa"/>
            </w:tcMar>
          </w:tcPr>
          <w:p w14:paraId="3DA9B479" w14:textId="77777777" w:rsidR="0099110B" w:rsidRPr="00630129" w:rsidRDefault="0099110B" w:rsidP="0099110B">
            <w:pPr>
              <w:rPr>
                <w:snapToGrid w:val="0"/>
                <w:sz w:val="22"/>
                <w:szCs w:val="22"/>
              </w:rPr>
            </w:pPr>
            <w:proofErr w:type="spellStart"/>
            <w:r w:rsidRPr="00630129">
              <w:rPr>
                <w:snapToGrid w:val="0"/>
                <w:sz w:val="22"/>
                <w:szCs w:val="22"/>
              </w:rPr>
              <w:t>CCR</w:t>
            </w:r>
            <w:r w:rsidRPr="00630129">
              <w:rPr>
                <w:snapToGrid w:val="0"/>
                <w:sz w:val="22"/>
                <w:szCs w:val="22"/>
                <w:vertAlign w:val="subscript"/>
              </w:rPr>
              <w:t>iJ</w:t>
            </w:r>
            <w:proofErr w:type="spellEnd"/>
          </w:p>
        </w:tc>
        <w:tc>
          <w:tcPr>
            <w:tcW w:w="492" w:type="pct"/>
            <w:tcMar>
              <w:top w:w="85" w:type="dxa"/>
              <w:left w:w="85" w:type="dxa"/>
              <w:bottom w:w="85" w:type="dxa"/>
              <w:right w:w="85" w:type="dxa"/>
            </w:tcMar>
          </w:tcPr>
          <w:p w14:paraId="327D4FC3" w14:textId="77777777" w:rsidR="0099110B" w:rsidRPr="00630129" w:rsidRDefault="0099110B" w:rsidP="0099110B">
            <w:pPr>
              <w:rPr>
                <w:snapToGrid w:val="0"/>
                <w:sz w:val="22"/>
                <w:szCs w:val="22"/>
              </w:rPr>
            </w:pPr>
            <w:r w:rsidRPr="00630129">
              <w:rPr>
                <w:snapToGrid w:val="0"/>
                <w:sz w:val="22"/>
                <w:szCs w:val="22"/>
              </w:rPr>
              <w:t>£</w:t>
            </w:r>
          </w:p>
        </w:tc>
        <w:tc>
          <w:tcPr>
            <w:tcW w:w="2540" w:type="pct"/>
            <w:tcMar>
              <w:top w:w="85" w:type="dxa"/>
              <w:left w:w="85" w:type="dxa"/>
              <w:bottom w:w="85" w:type="dxa"/>
              <w:right w:w="85" w:type="dxa"/>
            </w:tcMar>
          </w:tcPr>
          <w:p w14:paraId="0C69C276" w14:textId="77777777" w:rsidR="0099110B" w:rsidRPr="00630129" w:rsidRDefault="0099110B" w:rsidP="0099110B">
            <w:pPr>
              <w:spacing w:after="120"/>
              <w:rPr>
                <w:snapToGrid w:val="0"/>
                <w:sz w:val="22"/>
                <w:szCs w:val="22"/>
              </w:rPr>
            </w:pPr>
            <w:r w:rsidRPr="00630129">
              <w:rPr>
                <w:snapToGrid w:val="0"/>
                <w:sz w:val="22"/>
                <w:szCs w:val="22"/>
              </w:rPr>
              <w:t>The amount determined in accordance with Section T3.11A.1.</w:t>
            </w:r>
          </w:p>
          <w:p w14:paraId="5055DB71" w14:textId="77777777" w:rsidR="0099110B" w:rsidRPr="00630129" w:rsidRDefault="0099110B" w:rsidP="0099110B">
            <w:pPr>
              <w:rPr>
                <w:snapToGrid w:val="0"/>
                <w:sz w:val="22"/>
                <w:szCs w:val="22"/>
              </w:rPr>
            </w:pPr>
            <w:r w:rsidRPr="00630129">
              <w:rPr>
                <w:i/>
                <w:snapToGrid w:val="0"/>
                <w:sz w:val="22"/>
                <w:szCs w:val="22"/>
              </w:rPr>
              <w:t xml:space="preserve">The Quarter Hour RR </w:t>
            </w:r>
            <w:proofErr w:type="spellStart"/>
            <w:r w:rsidRPr="00630129">
              <w:rPr>
                <w:i/>
                <w:snapToGrid w:val="0"/>
                <w:sz w:val="22"/>
                <w:szCs w:val="22"/>
              </w:rPr>
              <w:t>Cashflow</w:t>
            </w:r>
            <w:proofErr w:type="spellEnd"/>
            <w:r w:rsidRPr="00630129">
              <w:rPr>
                <w:i/>
                <w:snapToGrid w:val="0"/>
                <w:sz w:val="22"/>
                <w:szCs w:val="22"/>
              </w:rPr>
              <w:t xml:space="preserve"> is the total </w:t>
            </w:r>
            <w:proofErr w:type="spellStart"/>
            <w:r w:rsidRPr="00630129">
              <w:rPr>
                <w:i/>
                <w:snapToGrid w:val="0"/>
                <w:sz w:val="22"/>
                <w:szCs w:val="22"/>
              </w:rPr>
              <w:t>cashflow</w:t>
            </w:r>
            <w:proofErr w:type="spellEnd"/>
            <w:r w:rsidRPr="00630129">
              <w:rPr>
                <w:i/>
                <w:snapToGrid w:val="0"/>
                <w:sz w:val="22"/>
                <w:szCs w:val="22"/>
              </w:rPr>
              <w:t xml:space="preserve"> resulting from a RR Activations from BM Unit </w:t>
            </w:r>
            <w:proofErr w:type="spellStart"/>
            <w:r w:rsidRPr="00630129">
              <w:rPr>
                <w:i/>
                <w:snapToGrid w:val="0"/>
                <w:sz w:val="22"/>
                <w:szCs w:val="22"/>
              </w:rPr>
              <w:t>i</w:t>
            </w:r>
            <w:proofErr w:type="spellEnd"/>
            <w:r w:rsidRPr="00630129">
              <w:rPr>
                <w:i/>
                <w:snapToGrid w:val="0"/>
                <w:sz w:val="22"/>
                <w:szCs w:val="22"/>
              </w:rPr>
              <w:t xml:space="preserve"> in Quarter Hour J.</w:t>
            </w:r>
          </w:p>
        </w:tc>
      </w:tr>
      <w:tr w:rsidR="0099110B" w:rsidRPr="00630129" w14:paraId="1BFC0AFD" w14:textId="77777777" w:rsidTr="00A63BA8">
        <w:trPr>
          <w:cantSplit/>
        </w:trPr>
        <w:tc>
          <w:tcPr>
            <w:tcW w:w="994" w:type="pct"/>
            <w:tcMar>
              <w:top w:w="85" w:type="dxa"/>
              <w:left w:w="85" w:type="dxa"/>
              <w:bottom w:w="85" w:type="dxa"/>
              <w:right w:w="85" w:type="dxa"/>
            </w:tcMar>
          </w:tcPr>
          <w:p w14:paraId="3F468F48" w14:textId="77777777" w:rsidR="0099110B" w:rsidRPr="00630129" w:rsidRDefault="0099110B" w:rsidP="0099110B">
            <w:pPr>
              <w:rPr>
                <w:snapToGrid w:val="0"/>
                <w:sz w:val="22"/>
                <w:szCs w:val="22"/>
              </w:rPr>
            </w:pPr>
            <w:r w:rsidRPr="00630129">
              <w:rPr>
                <w:bCs/>
                <w:sz w:val="22"/>
                <w:szCs w:val="22"/>
              </w:rPr>
              <w:t>Quarter Hour Volume GB Need Met</w:t>
            </w:r>
          </w:p>
        </w:tc>
        <w:tc>
          <w:tcPr>
            <w:tcW w:w="974" w:type="pct"/>
            <w:tcMar>
              <w:top w:w="85" w:type="dxa"/>
              <w:left w:w="85" w:type="dxa"/>
              <w:bottom w:w="85" w:type="dxa"/>
              <w:right w:w="85" w:type="dxa"/>
            </w:tcMar>
          </w:tcPr>
          <w:p w14:paraId="10F386E4" w14:textId="77777777" w:rsidR="0099110B" w:rsidRPr="00630129" w:rsidRDefault="0099110B" w:rsidP="0099110B">
            <w:pPr>
              <w:rPr>
                <w:snapToGrid w:val="0"/>
                <w:sz w:val="22"/>
                <w:szCs w:val="22"/>
              </w:rPr>
            </w:pPr>
            <w:r w:rsidRPr="00630129">
              <w:rPr>
                <w:sz w:val="22"/>
                <w:szCs w:val="22"/>
              </w:rPr>
              <w:t>VGB</w:t>
            </w:r>
            <w:r w:rsidRPr="00630129">
              <w:rPr>
                <w:sz w:val="22"/>
                <w:szCs w:val="22"/>
                <w:vertAlign w:val="superscript"/>
              </w:rPr>
              <w:t>J</w:t>
            </w:r>
          </w:p>
        </w:tc>
        <w:tc>
          <w:tcPr>
            <w:tcW w:w="492" w:type="pct"/>
            <w:tcMar>
              <w:top w:w="85" w:type="dxa"/>
              <w:left w:w="85" w:type="dxa"/>
              <w:bottom w:w="85" w:type="dxa"/>
              <w:right w:w="85" w:type="dxa"/>
            </w:tcMar>
          </w:tcPr>
          <w:p w14:paraId="698A821D" w14:textId="77777777" w:rsidR="0099110B" w:rsidRPr="00630129" w:rsidRDefault="0099110B" w:rsidP="0099110B">
            <w:pPr>
              <w:rPr>
                <w:snapToGrid w:val="0"/>
                <w:sz w:val="22"/>
                <w:szCs w:val="22"/>
              </w:rPr>
            </w:pPr>
            <w:r w:rsidRPr="00630129">
              <w:rPr>
                <w:sz w:val="22"/>
                <w:szCs w:val="22"/>
              </w:rPr>
              <w:t>MWh</w:t>
            </w:r>
          </w:p>
        </w:tc>
        <w:tc>
          <w:tcPr>
            <w:tcW w:w="2540" w:type="pct"/>
            <w:tcMar>
              <w:top w:w="85" w:type="dxa"/>
              <w:left w:w="85" w:type="dxa"/>
              <w:bottom w:w="85" w:type="dxa"/>
              <w:right w:w="85" w:type="dxa"/>
            </w:tcMar>
          </w:tcPr>
          <w:p w14:paraId="01AE6F9A" w14:textId="77777777" w:rsidR="0099110B" w:rsidRPr="00630129" w:rsidRDefault="0099110B" w:rsidP="0099110B">
            <w:pPr>
              <w:rPr>
                <w:snapToGrid w:val="0"/>
                <w:sz w:val="22"/>
                <w:szCs w:val="22"/>
              </w:rPr>
            </w:pPr>
            <w:r w:rsidRPr="00630129">
              <w:rPr>
                <w:snapToGrid w:val="0"/>
                <w:sz w:val="22"/>
                <w:szCs w:val="22"/>
              </w:rPr>
              <w:t xml:space="preserve">For each Quarter Hour, data derived from </w:t>
            </w:r>
            <w:r w:rsidRPr="00630129">
              <w:rPr>
                <w:sz w:val="22"/>
                <w:szCs w:val="22"/>
              </w:rPr>
              <w:t>Quarter Hour Interconnector Schedule pursuant to Annex T1 paragraph 1.2.(b).vii or paragraph 1.2.(c).vii</w:t>
            </w:r>
          </w:p>
        </w:tc>
      </w:tr>
      <w:tr w:rsidR="0099110B" w:rsidRPr="00630129" w14:paraId="7CCA1282" w14:textId="77777777" w:rsidTr="00A63BA8">
        <w:trPr>
          <w:cantSplit/>
        </w:trPr>
        <w:tc>
          <w:tcPr>
            <w:tcW w:w="994" w:type="pct"/>
            <w:tcMar>
              <w:top w:w="85" w:type="dxa"/>
              <w:left w:w="85" w:type="dxa"/>
              <w:bottom w:w="85" w:type="dxa"/>
              <w:right w:w="85" w:type="dxa"/>
            </w:tcMar>
          </w:tcPr>
          <w:p w14:paraId="2F3E4D8D" w14:textId="77777777" w:rsidR="0099110B" w:rsidRPr="00630129" w:rsidRDefault="0099110B" w:rsidP="0099110B">
            <w:pPr>
              <w:rPr>
                <w:snapToGrid w:val="0"/>
                <w:sz w:val="22"/>
                <w:szCs w:val="22"/>
              </w:rPr>
            </w:pPr>
            <w:r w:rsidRPr="00630129">
              <w:rPr>
                <w:sz w:val="22"/>
                <w:szCs w:val="22"/>
              </w:rPr>
              <w:t>Quarter Hour Volume Interconnector Schedule</w:t>
            </w:r>
          </w:p>
        </w:tc>
        <w:tc>
          <w:tcPr>
            <w:tcW w:w="974" w:type="pct"/>
            <w:tcMar>
              <w:top w:w="85" w:type="dxa"/>
              <w:left w:w="85" w:type="dxa"/>
              <w:bottom w:w="85" w:type="dxa"/>
              <w:right w:w="85" w:type="dxa"/>
            </w:tcMar>
          </w:tcPr>
          <w:p w14:paraId="0431E933" w14:textId="77777777" w:rsidR="0099110B" w:rsidRPr="00630129" w:rsidRDefault="0099110B" w:rsidP="0099110B">
            <w:pPr>
              <w:rPr>
                <w:snapToGrid w:val="0"/>
                <w:sz w:val="22"/>
                <w:szCs w:val="22"/>
              </w:rPr>
            </w:pPr>
            <w:r w:rsidRPr="00630129">
              <w:rPr>
                <w:sz w:val="22"/>
                <w:szCs w:val="22"/>
              </w:rPr>
              <w:t>VI</w:t>
            </w:r>
            <w:r w:rsidRPr="00630129">
              <w:rPr>
                <w:sz w:val="22"/>
                <w:szCs w:val="22"/>
                <w:vertAlign w:val="superscript"/>
              </w:rPr>
              <w:t>J</w:t>
            </w:r>
          </w:p>
        </w:tc>
        <w:tc>
          <w:tcPr>
            <w:tcW w:w="492" w:type="pct"/>
            <w:tcMar>
              <w:top w:w="85" w:type="dxa"/>
              <w:left w:w="85" w:type="dxa"/>
              <w:bottom w:w="85" w:type="dxa"/>
              <w:right w:w="85" w:type="dxa"/>
            </w:tcMar>
          </w:tcPr>
          <w:p w14:paraId="09CC0E3D" w14:textId="77777777" w:rsidR="0099110B" w:rsidRPr="00630129" w:rsidRDefault="0099110B" w:rsidP="0099110B">
            <w:pPr>
              <w:rPr>
                <w:snapToGrid w:val="0"/>
                <w:sz w:val="22"/>
                <w:szCs w:val="22"/>
              </w:rPr>
            </w:pPr>
            <w:r w:rsidRPr="00630129">
              <w:rPr>
                <w:sz w:val="22"/>
                <w:szCs w:val="22"/>
              </w:rPr>
              <w:t>MWh</w:t>
            </w:r>
          </w:p>
        </w:tc>
        <w:tc>
          <w:tcPr>
            <w:tcW w:w="2540" w:type="pct"/>
            <w:tcMar>
              <w:top w:w="85" w:type="dxa"/>
              <w:left w:w="85" w:type="dxa"/>
              <w:bottom w:w="85" w:type="dxa"/>
              <w:right w:w="85" w:type="dxa"/>
            </w:tcMar>
          </w:tcPr>
          <w:p w14:paraId="744B034A" w14:textId="77777777" w:rsidR="0099110B" w:rsidRPr="00630129" w:rsidRDefault="0099110B" w:rsidP="0099110B">
            <w:pPr>
              <w:rPr>
                <w:snapToGrid w:val="0"/>
                <w:sz w:val="22"/>
                <w:szCs w:val="22"/>
              </w:rPr>
            </w:pPr>
            <w:r w:rsidRPr="00630129">
              <w:rPr>
                <w:snapToGrid w:val="0"/>
                <w:sz w:val="22"/>
                <w:szCs w:val="22"/>
              </w:rPr>
              <w:t xml:space="preserve">For each Quarter Hour, data derived from </w:t>
            </w:r>
            <w:r w:rsidRPr="00630129">
              <w:rPr>
                <w:sz w:val="22"/>
                <w:szCs w:val="22"/>
              </w:rPr>
              <w:t>Quarter Hour Interconnector Schedule pursuant to Annex T1 paragraph 1.2.(b).viii or paragraph 1.2.(c).viii</w:t>
            </w:r>
          </w:p>
        </w:tc>
      </w:tr>
      <w:tr w:rsidR="0099110B" w:rsidRPr="00630129" w14:paraId="2C882B6A" w14:textId="77777777" w:rsidTr="00A63BA8">
        <w:trPr>
          <w:cantSplit/>
        </w:trPr>
        <w:tc>
          <w:tcPr>
            <w:tcW w:w="994" w:type="pct"/>
            <w:tcMar>
              <w:top w:w="85" w:type="dxa"/>
              <w:left w:w="85" w:type="dxa"/>
              <w:bottom w:w="85" w:type="dxa"/>
              <w:right w:w="85" w:type="dxa"/>
            </w:tcMar>
          </w:tcPr>
          <w:p w14:paraId="6F350354" w14:textId="77777777" w:rsidR="0099110B" w:rsidRPr="00630129" w:rsidRDefault="0099110B" w:rsidP="0099110B">
            <w:pPr>
              <w:rPr>
                <w:sz w:val="22"/>
                <w:szCs w:val="22"/>
              </w:rPr>
            </w:pPr>
            <w:r w:rsidRPr="00630129">
              <w:rPr>
                <w:sz w:val="22"/>
                <w:szCs w:val="22"/>
              </w:rPr>
              <w:t>Ranked Set</w:t>
            </w:r>
          </w:p>
        </w:tc>
        <w:tc>
          <w:tcPr>
            <w:tcW w:w="974" w:type="pct"/>
            <w:tcMar>
              <w:top w:w="85" w:type="dxa"/>
              <w:left w:w="85" w:type="dxa"/>
              <w:bottom w:w="85" w:type="dxa"/>
              <w:right w:w="85" w:type="dxa"/>
            </w:tcMar>
          </w:tcPr>
          <w:p w14:paraId="5FCDA254"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6ED9513F"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220ECAD6" w14:textId="77777777" w:rsidR="0099110B" w:rsidRPr="00630129" w:rsidRDefault="0099110B" w:rsidP="0099110B">
            <w:pPr>
              <w:rPr>
                <w:sz w:val="22"/>
                <w:szCs w:val="22"/>
              </w:rPr>
            </w:pPr>
            <w:r w:rsidRPr="00630129">
              <w:rPr>
                <w:sz w:val="22"/>
                <w:szCs w:val="22"/>
              </w:rPr>
              <w:t>Has the meaning given to that term in paragraph 1.2 of Annex T-1.</w:t>
            </w:r>
          </w:p>
        </w:tc>
      </w:tr>
      <w:tr w:rsidR="0099110B" w:rsidRPr="00630129" w14:paraId="38EA7080" w14:textId="77777777" w:rsidTr="00A63BA8">
        <w:trPr>
          <w:cantSplit/>
        </w:trPr>
        <w:tc>
          <w:tcPr>
            <w:tcW w:w="994" w:type="pct"/>
            <w:tcMar>
              <w:top w:w="85" w:type="dxa"/>
              <w:left w:w="85" w:type="dxa"/>
              <w:bottom w:w="85" w:type="dxa"/>
              <w:right w:w="85" w:type="dxa"/>
            </w:tcMar>
          </w:tcPr>
          <w:p w14:paraId="7EF659C5" w14:textId="77777777" w:rsidR="0099110B" w:rsidRPr="00630129" w:rsidRDefault="0099110B" w:rsidP="0099110B">
            <w:pPr>
              <w:rPr>
                <w:sz w:val="22"/>
                <w:szCs w:val="22"/>
              </w:rPr>
            </w:pPr>
            <w:r w:rsidRPr="00630129">
              <w:rPr>
                <w:sz w:val="22"/>
                <w:szCs w:val="22"/>
              </w:rPr>
              <w:t>Registered Capacity</w:t>
            </w:r>
          </w:p>
        </w:tc>
        <w:tc>
          <w:tcPr>
            <w:tcW w:w="974" w:type="pct"/>
            <w:tcMar>
              <w:top w:w="85" w:type="dxa"/>
              <w:left w:w="85" w:type="dxa"/>
              <w:bottom w:w="85" w:type="dxa"/>
              <w:right w:w="85" w:type="dxa"/>
            </w:tcMar>
          </w:tcPr>
          <w:p w14:paraId="4BDED9B8"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3F534B20" w14:textId="77777777" w:rsidR="0099110B" w:rsidRPr="00630129" w:rsidRDefault="0099110B" w:rsidP="0099110B">
            <w:pPr>
              <w:rPr>
                <w:sz w:val="22"/>
                <w:szCs w:val="22"/>
              </w:rPr>
            </w:pPr>
            <w:r w:rsidRPr="00630129">
              <w:rPr>
                <w:sz w:val="22"/>
                <w:szCs w:val="22"/>
              </w:rPr>
              <w:t>MW</w:t>
            </w:r>
          </w:p>
        </w:tc>
        <w:tc>
          <w:tcPr>
            <w:tcW w:w="2540" w:type="pct"/>
            <w:tcMar>
              <w:top w:w="85" w:type="dxa"/>
              <w:left w:w="85" w:type="dxa"/>
              <w:bottom w:w="85" w:type="dxa"/>
              <w:right w:w="85" w:type="dxa"/>
            </w:tcMar>
          </w:tcPr>
          <w:p w14:paraId="7975D7F3" w14:textId="77777777" w:rsidR="0099110B" w:rsidRPr="00630129" w:rsidRDefault="0099110B" w:rsidP="0099110B">
            <w:pPr>
              <w:rPr>
                <w:sz w:val="22"/>
                <w:szCs w:val="22"/>
              </w:rPr>
            </w:pPr>
            <w:r w:rsidRPr="00630129">
              <w:rPr>
                <w:sz w:val="22"/>
                <w:szCs w:val="22"/>
              </w:rPr>
              <w:t>Has the meaning given to that term in the Grid Code.</w:t>
            </w:r>
          </w:p>
        </w:tc>
      </w:tr>
      <w:tr w:rsidR="0099110B" w:rsidRPr="00630129" w14:paraId="4DC918EA" w14:textId="77777777" w:rsidTr="00A63BA8">
        <w:trPr>
          <w:cantSplit/>
        </w:trPr>
        <w:tc>
          <w:tcPr>
            <w:tcW w:w="994" w:type="pct"/>
            <w:tcMar>
              <w:top w:w="85" w:type="dxa"/>
              <w:left w:w="85" w:type="dxa"/>
              <w:bottom w:w="85" w:type="dxa"/>
              <w:right w:w="85" w:type="dxa"/>
            </w:tcMar>
          </w:tcPr>
          <w:p w14:paraId="14EAB5A5" w14:textId="77777777" w:rsidR="0099110B" w:rsidRPr="00630129" w:rsidRDefault="0099110B" w:rsidP="0099110B">
            <w:pPr>
              <w:rPr>
                <w:sz w:val="22"/>
                <w:szCs w:val="22"/>
              </w:rPr>
            </w:pPr>
            <w:r w:rsidRPr="00630129">
              <w:rPr>
                <w:sz w:val="22"/>
                <w:szCs w:val="22"/>
              </w:rPr>
              <w:t>Remaining Period BM Unit Non-Delivered Bid Volume</w:t>
            </w:r>
          </w:p>
        </w:tc>
        <w:tc>
          <w:tcPr>
            <w:tcW w:w="974" w:type="pct"/>
            <w:tcMar>
              <w:top w:w="85" w:type="dxa"/>
              <w:left w:w="85" w:type="dxa"/>
              <w:bottom w:w="85" w:type="dxa"/>
              <w:right w:w="85" w:type="dxa"/>
            </w:tcMar>
          </w:tcPr>
          <w:p w14:paraId="0B4737F0" w14:textId="77777777" w:rsidR="0099110B" w:rsidRPr="00630129" w:rsidRDefault="0099110B" w:rsidP="0099110B">
            <w:pPr>
              <w:rPr>
                <w:sz w:val="22"/>
                <w:szCs w:val="22"/>
              </w:rPr>
            </w:pPr>
            <w:proofErr w:type="spellStart"/>
            <w:r w:rsidRPr="00630129">
              <w:rPr>
                <w:sz w:val="22"/>
                <w:szCs w:val="22"/>
              </w:rPr>
              <w:t>RQNDB</w:t>
            </w:r>
            <w:r w:rsidRPr="00630129">
              <w:rPr>
                <w:sz w:val="22"/>
                <w:szCs w:val="22"/>
                <w:vertAlign w:val="superscript"/>
              </w:rPr>
              <w:t>u</w:t>
            </w:r>
            <w:r w:rsidRPr="00630129">
              <w:rPr>
                <w:sz w:val="22"/>
                <w:szCs w:val="22"/>
                <w:vertAlign w:val="subscript"/>
              </w:rPr>
              <w:t>ij</w:t>
            </w:r>
            <w:proofErr w:type="spellEnd"/>
          </w:p>
        </w:tc>
        <w:tc>
          <w:tcPr>
            <w:tcW w:w="492" w:type="pct"/>
            <w:tcMar>
              <w:top w:w="85" w:type="dxa"/>
              <w:left w:w="85" w:type="dxa"/>
              <w:bottom w:w="85" w:type="dxa"/>
              <w:right w:w="85" w:type="dxa"/>
            </w:tcMar>
          </w:tcPr>
          <w:p w14:paraId="4639A01E"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2BC08600" w14:textId="77777777" w:rsidR="0099110B" w:rsidRPr="00630129" w:rsidRDefault="0099110B" w:rsidP="0099110B">
            <w:pPr>
              <w:spacing w:after="120"/>
              <w:rPr>
                <w:sz w:val="22"/>
                <w:szCs w:val="22"/>
              </w:rPr>
            </w:pPr>
            <w:r w:rsidRPr="00630129">
              <w:rPr>
                <w:sz w:val="22"/>
                <w:szCs w:val="22"/>
              </w:rPr>
              <w:t>The quantity determined as such in accordance with Section T4.8.10</w:t>
            </w:r>
          </w:p>
          <w:p w14:paraId="13E18572" w14:textId="77777777" w:rsidR="0099110B" w:rsidRPr="00630129" w:rsidRDefault="0099110B" w:rsidP="0099110B">
            <w:pPr>
              <w:rPr>
                <w:i/>
                <w:sz w:val="22"/>
                <w:szCs w:val="22"/>
              </w:rPr>
            </w:pPr>
            <w:r w:rsidRPr="00630129">
              <w:rPr>
                <w:i/>
                <w:sz w:val="22"/>
                <w:szCs w:val="22"/>
              </w:rPr>
              <w:t xml:space="preserve">The Remaining Period BM Unit Non-Delivered Bid Volume is the amount of Non-Delivered Bid Volume remaining to be allocated to Bid u from BM Unit </w:t>
            </w:r>
            <w:proofErr w:type="spellStart"/>
            <w:r w:rsidRPr="00630129">
              <w:rPr>
                <w:i/>
                <w:sz w:val="22"/>
                <w:szCs w:val="22"/>
              </w:rPr>
              <w:t>i</w:t>
            </w:r>
            <w:proofErr w:type="spellEnd"/>
            <w:r w:rsidRPr="00630129">
              <w:rPr>
                <w:i/>
                <w:sz w:val="22"/>
                <w:szCs w:val="22"/>
              </w:rPr>
              <w:t xml:space="preserve"> in Settlement Period j.</w:t>
            </w:r>
          </w:p>
        </w:tc>
      </w:tr>
      <w:tr w:rsidR="0099110B" w:rsidRPr="00630129" w14:paraId="0CE60D82" w14:textId="77777777" w:rsidTr="00A63BA8">
        <w:trPr>
          <w:cantSplit/>
        </w:trPr>
        <w:tc>
          <w:tcPr>
            <w:tcW w:w="994" w:type="pct"/>
            <w:tcMar>
              <w:top w:w="85" w:type="dxa"/>
              <w:left w:w="85" w:type="dxa"/>
              <w:bottom w:w="85" w:type="dxa"/>
              <w:right w:w="85" w:type="dxa"/>
            </w:tcMar>
          </w:tcPr>
          <w:p w14:paraId="36CDB32F" w14:textId="77777777" w:rsidR="0099110B" w:rsidRPr="00630129" w:rsidRDefault="0099110B" w:rsidP="0099110B">
            <w:pPr>
              <w:rPr>
                <w:sz w:val="22"/>
                <w:szCs w:val="22"/>
              </w:rPr>
            </w:pPr>
            <w:r w:rsidRPr="00630129">
              <w:rPr>
                <w:sz w:val="22"/>
                <w:szCs w:val="22"/>
              </w:rPr>
              <w:t>Remaining Period BM Unit Non-Delivered Offer Volume</w:t>
            </w:r>
          </w:p>
        </w:tc>
        <w:tc>
          <w:tcPr>
            <w:tcW w:w="974" w:type="pct"/>
            <w:tcMar>
              <w:top w:w="85" w:type="dxa"/>
              <w:left w:w="85" w:type="dxa"/>
              <w:bottom w:w="85" w:type="dxa"/>
              <w:right w:w="85" w:type="dxa"/>
            </w:tcMar>
          </w:tcPr>
          <w:p w14:paraId="0C5FD450" w14:textId="77777777" w:rsidR="0099110B" w:rsidRPr="00630129" w:rsidRDefault="0099110B" w:rsidP="0099110B">
            <w:pPr>
              <w:rPr>
                <w:sz w:val="22"/>
                <w:szCs w:val="22"/>
              </w:rPr>
            </w:pPr>
            <w:proofErr w:type="spellStart"/>
            <w:r w:rsidRPr="00630129">
              <w:rPr>
                <w:sz w:val="22"/>
                <w:szCs w:val="22"/>
              </w:rPr>
              <w:t>RQNDO</w:t>
            </w:r>
            <w:r w:rsidRPr="00630129">
              <w:rPr>
                <w:sz w:val="22"/>
                <w:szCs w:val="22"/>
                <w:vertAlign w:val="superscript"/>
              </w:rPr>
              <w:t>u</w:t>
            </w:r>
            <w:r w:rsidRPr="00630129">
              <w:rPr>
                <w:sz w:val="22"/>
                <w:szCs w:val="22"/>
                <w:vertAlign w:val="subscript"/>
              </w:rPr>
              <w:t>ij</w:t>
            </w:r>
            <w:proofErr w:type="spellEnd"/>
          </w:p>
        </w:tc>
        <w:tc>
          <w:tcPr>
            <w:tcW w:w="492" w:type="pct"/>
            <w:tcMar>
              <w:top w:w="85" w:type="dxa"/>
              <w:left w:w="85" w:type="dxa"/>
              <w:bottom w:w="85" w:type="dxa"/>
              <w:right w:w="85" w:type="dxa"/>
            </w:tcMar>
          </w:tcPr>
          <w:p w14:paraId="5360CA6B"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43423E0B" w14:textId="77777777" w:rsidR="0099110B" w:rsidRPr="00630129" w:rsidRDefault="0099110B" w:rsidP="0099110B">
            <w:pPr>
              <w:spacing w:after="120"/>
              <w:rPr>
                <w:sz w:val="22"/>
                <w:szCs w:val="22"/>
              </w:rPr>
            </w:pPr>
            <w:r w:rsidRPr="00630129">
              <w:rPr>
                <w:sz w:val="22"/>
                <w:szCs w:val="22"/>
              </w:rPr>
              <w:t>The quantity determined as such in accordance with Section T4.8.6.</w:t>
            </w:r>
          </w:p>
          <w:p w14:paraId="5F52F74C" w14:textId="77777777" w:rsidR="0099110B" w:rsidRPr="00630129" w:rsidRDefault="0099110B" w:rsidP="0099110B">
            <w:pPr>
              <w:rPr>
                <w:i/>
                <w:sz w:val="22"/>
                <w:szCs w:val="22"/>
              </w:rPr>
            </w:pPr>
            <w:r w:rsidRPr="00630129">
              <w:rPr>
                <w:i/>
                <w:sz w:val="22"/>
                <w:szCs w:val="22"/>
              </w:rPr>
              <w:t xml:space="preserve">The Remaining Period BM Unit Non-Delivered Offer Volume is the amount of Non-Delivered Offer Volume remaining to be allocated to Offer u from BM Unit </w:t>
            </w:r>
            <w:proofErr w:type="spellStart"/>
            <w:r w:rsidRPr="00630129">
              <w:rPr>
                <w:i/>
                <w:sz w:val="22"/>
                <w:szCs w:val="22"/>
              </w:rPr>
              <w:t>i</w:t>
            </w:r>
            <w:proofErr w:type="spellEnd"/>
            <w:r w:rsidRPr="00630129">
              <w:rPr>
                <w:i/>
                <w:sz w:val="22"/>
                <w:szCs w:val="22"/>
              </w:rPr>
              <w:t xml:space="preserve"> in Settlement Period j.</w:t>
            </w:r>
          </w:p>
        </w:tc>
      </w:tr>
      <w:tr w:rsidR="0099110B" w:rsidRPr="00630129" w14:paraId="16ADAFF7" w14:textId="77777777" w:rsidTr="00A63BA8">
        <w:trPr>
          <w:cantSplit/>
        </w:trPr>
        <w:tc>
          <w:tcPr>
            <w:tcW w:w="994" w:type="pct"/>
            <w:tcMar>
              <w:top w:w="85" w:type="dxa"/>
              <w:left w:w="85" w:type="dxa"/>
              <w:bottom w:w="85" w:type="dxa"/>
              <w:right w:w="85" w:type="dxa"/>
            </w:tcMar>
          </w:tcPr>
          <w:p w14:paraId="70A0E11B" w14:textId="77777777" w:rsidR="0099110B" w:rsidRPr="00630129" w:rsidRDefault="0099110B" w:rsidP="0099110B">
            <w:pPr>
              <w:rPr>
                <w:sz w:val="22"/>
                <w:szCs w:val="22"/>
              </w:rPr>
            </w:pPr>
            <w:r w:rsidRPr="00630129">
              <w:rPr>
                <w:sz w:val="22"/>
                <w:szCs w:val="22"/>
              </w:rPr>
              <w:t>Replacement Buy Price</w:t>
            </w:r>
          </w:p>
        </w:tc>
        <w:tc>
          <w:tcPr>
            <w:tcW w:w="974" w:type="pct"/>
            <w:tcMar>
              <w:top w:w="85" w:type="dxa"/>
              <w:left w:w="85" w:type="dxa"/>
              <w:bottom w:w="85" w:type="dxa"/>
              <w:right w:w="85" w:type="dxa"/>
            </w:tcMar>
          </w:tcPr>
          <w:p w14:paraId="66E8C171" w14:textId="77777777" w:rsidR="0099110B" w:rsidRPr="00630129" w:rsidRDefault="0099110B" w:rsidP="0099110B">
            <w:pPr>
              <w:rPr>
                <w:sz w:val="22"/>
                <w:szCs w:val="22"/>
              </w:rPr>
            </w:pPr>
            <w:proofErr w:type="spellStart"/>
            <w:r w:rsidRPr="00630129">
              <w:rPr>
                <w:sz w:val="22"/>
                <w:szCs w:val="22"/>
              </w:rPr>
              <w:t>RBP</w:t>
            </w:r>
            <w:r w:rsidRPr="00630129">
              <w:rPr>
                <w:sz w:val="22"/>
                <w:szCs w:val="22"/>
                <w:vertAlign w:val="subscript"/>
              </w:rPr>
              <w:t>j</w:t>
            </w:r>
            <w:proofErr w:type="spellEnd"/>
          </w:p>
        </w:tc>
        <w:tc>
          <w:tcPr>
            <w:tcW w:w="492" w:type="pct"/>
            <w:tcMar>
              <w:top w:w="85" w:type="dxa"/>
              <w:left w:w="85" w:type="dxa"/>
              <w:bottom w:w="85" w:type="dxa"/>
              <w:right w:w="85" w:type="dxa"/>
            </w:tcMar>
          </w:tcPr>
          <w:p w14:paraId="0A51F6FA"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057C9004" w14:textId="77777777" w:rsidR="0099110B" w:rsidRPr="00630129" w:rsidRDefault="0099110B" w:rsidP="0099110B">
            <w:pPr>
              <w:rPr>
                <w:sz w:val="22"/>
                <w:szCs w:val="22"/>
              </w:rPr>
            </w:pPr>
            <w:r w:rsidRPr="00630129">
              <w:rPr>
                <w:sz w:val="22"/>
                <w:szCs w:val="22"/>
              </w:rPr>
              <w:t>The Replacement Buy Price determined in accordance with paragraph 15 of Part 2 of Annex T-1.</w:t>
            </w:r>
          </w:p>
        </w:tc>
      </w:tr>
      <w:tr w:rsidR="0099110B" w:rsidRPr="00630129" w14:paraId="48952751" w14:textId="77777777" w:rsidTr="00A63BA8">
        <w:trPr>
          <w:cantSplit/>
        </w:trPr>
        <w:tc>
          <w:tcPr>
            <w:tcW w:w="994" w:type="pct"/>
            <w:tcMar>
              <w:top w:w="85" w:type="dxa"/>
              <w:left w:w="85" w:type="dxa"/>
              <w:bottom w:w="85" w:type="dxa"/>
              <w:right w:w="85" w:type="dxa"/>
            </w:tcMar>
          </w:tcPr>
          <w:p w14:paraId="20444749" w14:textId="77777777" w:rsidR="0099110B" w:rsidRPr="00630129" w:rsidRDefault="0099110B" w:rsidP="0099110B">
            <w:pPr>
              <w:rPr>
                <w:sz w:val="22"/>
                <w:szCs w:val="22"/>
              </w:rPr>
            </w:pPr>
            <w:r w:rsidRPr="00630129">
              <w:rPr>
                <w:sz w:val="22"/>
                <w:szCs w:val="22"/>
              </w:rPr>
              <w:t>Replacement Price</w:t>
            </w:r>
          </w:p>
        </w:tc>
        <w:tc>
          <w:tcPr>
            <w:tcW w:w="974" w:type="pct"/>
            <w:tcMar>
              <w:top w:w="85" w:type="dxa"/>
              <w:left w:w="85" w:type="dxa"/>
              <w:bottom w:w="85" w:type="dxa"/>
              <w:right w:w="85" w:type="dxa"/>
            </w:tcMar>
          </w:tcPr>
          <w:p w14:paraId="766F89F7" w14:textId="77777777" w:rsidR="0099110B" w:rsidRPr="00630129" w:rsidRDefault="0099110B" w:rsidP="0099110B">
            <w:pPr>
              <w:rPr>
                <w:sz w:val="22"/>
                <w:szCs w:val="22"/>
              </w:rPr>
            </w:pPr>
            <w:proofErr w:type="spellStart"/>
            <w:r w:rsidRPr="00630129">
              <w:rPr>
                <w:sz w:val="22"/>
                <w:szCs w:val="22"/>
              </w:rPr>
              <w:t>RP</w:t>
            </w:r>
            <w:r w:rsidRPr="00630129">
              <w:rPr>
                <w:sz w:val="22"/>
                <w:szCs w:val="22"/>
                <w:vertAlign w:val="subscript"/>
              </w:rPr>
              <w:t>j</w:t>
            </w:r>
            <w:proofErr w:type="spellEnd"/>
          </w:p>
        </w:tc>
        <w:tc>
          <w:tcPr>
            <w:tcW w:w="492" w:type="pct"/>
            <w:tcMar>
              <w:top w:w="85" w:type="dxa"/>
              <w:left w:w="85" w:type="dxa"/>
              <w:bottom w:w="85" w:type="dxa"/>
              <w:right w:w="85" w:type="dxa"/>
            </w:tcMar>
          </w:tcPr>
          <w:p w14:paraId="300CCFC1"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768ADEE0" w14:textId="77777777" w:rsidR="0099110B" w:rsidRPr="00630129" w:rsidRDefault="0099110B" w:rsidP="0099110B">
            <w:pPr>
              <w:rPr>
                <w:sz w:val="22"/>
                <w:szCs w:val="22"/>
              </w:rPr>
            </w:pPr>
            <w:r w:rsidRPr="00630129">
              <w:rPr>
                <w:sz w:val="22"/>
                <w:szCs w:val="22"/>
              </w:rPr>
              <w:t xml:space="preserve">Means either the Replacement Buy Price or the Replacement Sell Price as determined in accordance with paragraph 15 of Part 2 of Annex T-1, and Replacement Pricing shall have the same meaning. </w:t>
            </w:r>
          </w:p>
        </w:tc>
      </w:tr>
      <w:tr w:rsidR="0099110B" w:rsidRPr="00630129" w14:paraId="2D7C1110" w14:textId="77777777" w:rsidTr="00A63BA8">
        <w:trPr>
          <w:cantSplit/>
        </w:trPr>
        <w:tc>
          <w:tcPr>
            <w:tcW w:w="994" w:type="pct"/>
            <w:tcMar>
              <w:top w:w="85" w:type="dxa"/>
              <w:left w:w="85" w:type="dxa"/>
              <w:bottom w:w="85" w:type="dxa"/>
              <w:right w:w="85" w:type="dxa"/>
            </w:tcMar>
          </w:tcPr>
          <w:p w14:paraId="1D1236A7" w14:textId="77777777" w:rsidR="0099110B" w:rsidRPr="00630129" w:rsidRDefault="0099110B" w:rsidP="0099110B">
            <w:pPr>
              <w:rPr>
                <w:sz w:val="22"/>
                <w:szCs w:val="22"/>
              </w:rPr>
            </w:pPr>
            <w:r w:rsidRPr="00630129">
              <w:rPr>
                <w:sz w:val="22"/>
                <w:szCs w:val="22"/>
              </w:rPr>
              <w:lastRenderedPageBreak/>
              <w:t>Replacement Price Average Reference Volume</w:t>
            </w:r>
          </w:p>
        </w:tc>
        <w:tc>
          <w:tcPr>
            <w:tcW w:w="974" w:type="pct"/>
            <w:tcMar>
              <w:top w:w="85" w:type="dxa"/>
              <w:left w:w="85" w:type="dxa"/>
              <w:bottom w:w="85" w:type="dxa"/>
              <w:right w:w="85" w:type="dxa"/>
            </w:tcMar>
          </w:tcPr>
          <w:p w14:paraId="5EC7718B" w14:textId="77777777" w:rsidR="0099110B" w:rsidRPr="00630129" w:rsidRDefault="0099110B" w:rsidP="0099110B">
            <w:pPr>
              <w:rPr>
                <w:sz w:val="22"/>
                <w:szCs w:val="22"/>
              </w:rPr>
            </w:pPr>
            <w:r w:rsidRPr="00630129">
              <w:rPr>
                <w:sz w:val="22"/>
                <w:szCs w:val="22"/>
              </w:rPr>
              <w:t>RPAR</w:t>
            </w:r>
          </w:p>
        </w:tc>
        <w:tc>
          <w:tcPr>
            <w:tcW w:w="492" w:type="pct"/>
            <w:tcMar>
              <w:top w:w="85" w:type="dxa"/>
              <w:left w:w="85" w:type="dxa"/>
              <w:bottom w:w="85" w:type="dxa"/>
              <w:right w:w="85" w:type="dxa"/>
            </w:tcMar>
          </w:tcPr>
          <w:p w14:paraId="245BC946"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70454BDB" w14:textId="77777777" w:rsidR="0099110B" w:rsidRPr="00630129" w:rsidRDefault="0099110B" w:rsidP="0099110B">
            <w:pPr>
              <w:rPr>
                <w:sz w:val="22"/>
                <w:szCs w:val="22"/>
              </w:rPr>
            </w:pPr>
            <w:r w:rsidRPr="00630129">
              <w:rPr>
                <w:sz w:val="22"/>
                <w:szCs w:val="22"/>
              </w:rPr>
              <w:t>Has the meaning given to that term in Section T1.11.1.</w:t>
            </w:r>
          </w:p>
        </w:tc>
      </w:tr>
      <w:tr w:rsidR="0099110B" w:rsidRPr="00630129" w14:paraId="254A9087" w14:textId="77777777" w:rsidTr="00A63BA8">
        <w:trPr>
          <w:cantSplit/>
        </w:trPr>
        <w:tc>
          <w:tcPr>
            <w:tcW w:w="994" w:type="pct"/>
            <w:tcMar>
              <w:top w:w="85" w:type="dxa"/>
              <w:left w:w="85" w:type="dxa"/>
              <w:bottom w:w="85" w:type="dxa"/>
              <w:right w:w="85" w:type="dxa"/>
            </w:tcMar>
          </w:tcPr>
          <w:p w14:paraId="0BA75A13" w14:textId="77777777" w:rsidR="0099110B" w:rsidRPr="00630129" w:rsidRDefault="0099110B" w:rsidP="0099110B">
            <w:pPr>
              <w:rPr>
                <w:sz w:val="22"/>
                <w:szCs w:val="22"/>
              </w:rPr>
            </w:pPr>
            <w:r w:rsidRPr="00630129">
              <w:rPr>
                <w:sz w:val="22"/>
                <w:szCs w:val="22"/>
              </w:rPr>
              <w:t>Replacement Reserve Activation Data</w:t>
            </w:r>
          </w:p>
        </w:tc>
        <w:tc>
          <w:tcPr>
            <w:tcW w:w="974" w:type="pct"/>
            <w:tcMar>
              <w:top w:w="85" w:type="dxa"/>
              <w:left w:w="85" w:type="dxa"/>
              <w:bottom w:w="85" w:type="dxa"/>
              <w:right w:w="85" w:type="dxa"/>
            </w:tcMar>
          </w:tcPr>
          <w:p w14:paraId="2E37346A"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16E2921D"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0D0C2094" w14:textId="77777777" w:rsidR="0099110B" w:rsidRPr="00630129" w:rsidRDefault="0099110B" w:rsidP="0099110B">
            <w:pPr>
              <w:rPr>
                <w:sz w:val="22"/>
                <w:szCs w:val="22"/>
              </w:rPr>
            </w:pPr>
            <w:r w:rsidRPr="00630129">
              <w:rPr>
                <w:snapToGrid w:val="0"/>
                <w:sz w:val="22"/>
                <w:szCs w:val="22"/>
              </w:rPr>
              <w:t>Data (comprising the items set out in Section Q5.6.2) to be submitted by the NETSO pursuant to Section Q6.2C.1(d).</w:t>
            </w:r>
          </w:p>
        </w:tc>
      </w:tr>
      <w:tr w:rsidR="0099110B" w:rsidRPr="00630129" w14:paraId="7ADB26F5" w14:textId="77777777" w:rsidTr="00A63BA8">
        <w:trPr>
          <w:cantSplit/>
        </w:trPr>
        <w:tc>
          <w:tcPr>
            <w:tcW w:w="994" w:type="pct"/>
            <w:tcMar>
              <w:top w:w="85" w:type="dxa"/>
              <w:left w:w="85" w:type="dxa"/>
              <w:bottom w:w="85" w:type="dxa"/>
              <w:right w:w="85" w:type="dxa"/>
            </w:tcMar>
          </w:tcPr>
          <w:p w14:paraId="38975ED0" w14:textId="77777777" w:rsidR="0099110B" w:rsidRPr="00630129" w:rsidRDefault="0099110B" w:rsidP="0099110B">
            <w:pPr>
              <w:rPr>
                <w:sz w:val="22"/>
                <w:szCs w:val="22"/>
              </w:rPr>
            </w:pPr>
            <w:r w:rsidRPr="00630129">
              <w:rPr>
                <w:sz w:val="22"/>
                <w:szCs w:val="22"/>
              </w:rPr>
              <w:t>Replacement Reserve Activation Price</w:t>
            </w:r>
          </w:p>
        </w:tc>
        <w:tc>
          <w:tcPr>
            <w:tcW w:w="974" w:type="pct"/>
            <w:tcMar>
              <w:top w:w="85" w:type="dxa"/>
              <w:left w:w="85" w:type="dxa"/>
              <w:bottom w:w="85" w:type="dxa"/>
              <w:right w:w="85" w:type="dxa"/>
            </w:tcMar>
          </w:tcPr>
          <w:p w14:paraId="221D2E40" w14:textId="77777777" w:rsidR="0099110B" w:rsidRPr="00630129" w:rsidRDefault="0099110B" w:rsidP="0099110B">
            <w:pPr>
              <w:rPr>
                <w:sz w:val="22"/>
                <w:szCs w:val="22"/>
              </w:rPr>
            </w:pPr>
            <w:r w:rsidRPr="00630129">
              <w:rPr>
                <w:sz w:val="22"/>
                <w:szCs w:val="22"/>
              </w:rPr>
              <w:t>RRAP</w:t>
            </w:r>
            <w:r w:rsidRPr="00630129">
              <w:rPr>
                <w:sz w:val="22"/>
                <w:szCs w:val="22"/>
                <w:vertAlign w:val="subscript"/>
              </w:rPr>
              <w:t>J</w:t>
            </w:r>
          </w:p>
        </w:tc>
        <w:tc>
          <w:tcPr>
            <w:tcW w:w="492" w:type="pct"/>
            <w:tcMar>
              <w:top w:w="85" w:type="dxa"/>
              <w:left w:w="85" w:type="dxa"/>
              <w:bottom w:w="85" w:type="dxa"/>
              <w:right w:w="85" w:type="dxa"/>
            </w:tcMar>
          </w:tcPr>
          <w:p w14:paraId="54841B2D"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6B136396" w14:textId="77777777" w:rsidR="0099110B" w:rsidRPr="00630129" w:rsidRDefault="0099110B" w:rsidP="0099110B">
            <w:pPr>
              <w:spacing w:after="120"/>
              <w:rPr>
                <w:sz w:val="22"/>
                <w:szCs w:val="22"/>
              </w:rPr>
            </w:pPr>
            <w:r w:rsidRPr="00630129">
              <w:rPr>
                <w:sz w:val="22"/>
                <w:szCs w:val="22"/>
              </w:rPr>
              <w:t>The price associated with a Position.</w:t>
            </w:r>
          </w:p>
          <w:p w14:paraId="61E07451" w14:textId="77777777" w:rsidR="0099110B" w:rsidRPr="00630129" w:rsidRDefault="0099110B" w:rsidP="0099110B">
            <w:pPr>
              <w:rPr>
                <w:sz w:val="22"/>
                <w:szCs w:val="22"/>
              </w:rPr>
            </w:pPr>
            <w:r w:rsidRPr="00630129">
              <w:rPr>
                <w:i/>
                <w:sz w:val="22"/>
                <w:szCs w:val="22"/>
              </w:rPr>
              <w:t xml:space="preserve">Replacement Reserve Activation Price forms part of the </w:t>
            </w:r>
            <w:r w:rsidRPr="00630129">
              <w:rPr>
                <w:i/>
                <w:sz w:val="22"/>
              </w:rPr>
              <w:t>Replacement Reserve Activation Data, GB Need Met Data and Interconnector Schedule Data for each Position and is submitted by the NETSO pursuant to Section Q</w:t>
            </w:r>
            <w:r w:rsidRPr="00630129">
              <w:rPr>
                <w:sz w:val="22"/>
                <w:szCs w:val="22"/>
              </w:rPr>
              <w:t>.</w:t>
            </w:r>
          </w:p>
        </w:tc>
      </w:tr>
      <w:tr w:rsidR="0099110B" w:rsidRPr="00630129" w14:paraId="6BD9EDFE" w14:textId="77777777" w:rsidTr="00A63BA8">
        <w:trPr>
          <w:cantSplit/>
        </w:trPr>
        <w:tc>
          <w:tcPr>
            <w:tcW w:w="994" w:type="pct"/>
            <w:tcMar>
              <w:top w:w="85" w:type="dxa"/>
              <w:left w:w="85" w:type="dxa"/>
              <w:bottom w:w="85" w:type="dxa"/>
              <w:right w:w="85" w:type="dxa"/>
            </w:tcMar>
          </w:tcPr>
          <w:p w14:paraId="4472758C" w14:textId="77777777" w:rsidR="0099110B" w:rsidRPr="00630129" w:rsidRDefault="0099110B" w:rsidP="0099110B">
            <w:pPr>
              <w:rPr>
                <w:sz w:val="22"/>
                <w:szCs w:val="22"/>
              </w:rPr>
            </w:pPr>
            <w:r w:rsidRPr="00630129">
              <w:rPr>
                <w:sz w:val="22"/>
                <w:szCs w:val="22"/>
              </w:rPr>
              <w:t>Replacement Reserve Activation Time</w:t>
            </w:r>
          </w:p>
        </w:tc>
        <w:tc>
          <w:tcPr>
            <w:tcW w:w="974" w:type="pct"/>
            <w:tcMar>
              <w:top w:w="85" w:type="dxa"/>
              <w:left w:w="85" w:type="dxa"/>
              <w:bottom w:w="85" w:type="dxa"/>
              <w:right w:w="85" w:type="dxa"/>
            </w:tcMar>
          </w:tcPr>
          <w:p w14:paraId="76144F1A"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042B9115" w14:textId="77777777" w:rsidR="0099110B" w:rsidRPr="00630129" w:rsidRDefault="0099110B" w:rsidP="0099110B">
            <w:pPr>
              <w:rPr>
                <w:sz w:val="22"/>
                <w:szCs w:val="22"/>
              </w:rPr>
            </w:pPr>
            <w:r w:rsidRPr="00630129">
              <w:rPr>
                <w:sz w:val="22"/>
                <w:szCs w:val="22"/>
              </w:rPr>
              <w:t>Spot time</w:t>
            </w:r>
          </w:p>
        </w:tc>
        <w:tc>
          <w:tcPr>
            <w:tcW w:w="2540" w:type="pct"/>
            <w:tcMar>
              <w:top w:w="85" w:type="dxa"/>
              <w:left w:w="85" w:type="dxa"/>
              <w:bottom w:w="85" w:type="dxa"/>
              <w:right w:w="85" w:type="dxa"/>
            </w:tcMar>
          </w:tcPr>
          <w:p w14:paraId="16699731" w14:textId="77777777" w:rsidR="0099110B" w:rsidRPr="00630129" w:rsidRDefault="0099110B" w:rsidP="0099110B">
            <w:pPr>
              <w:rPr>
                <w:sz w:val="22"/>
                <w:szCs w:val="22"/>
              </w:rPr>
            </w:pPr>
            <w:r w:rsidRPr="00630129">
              <w:rPr>
                <w:sz w:val="22"/>
                <w:szCs w:val="22"/>
              </w:rPr>
              <w:t>Has the meaning given to that term in Section Q5.6.1.</w:t>
            </w:r>
          </w:p>
        </w:tc>
      </w:tr>
      <w:tr w:rsidR="0099110B" w:rsidRPr="00630129" w14:paraId="6AE5844D" w14:textId="77777777" w:rsidTr="00A63BA8">
        <w:trPr>
          <w:cantSplit/>
        </w:trPr>
        <w:tc>
          <w:tcPr>
            <w:tcW w:w="994" w:type="pct"/>
            <w:tcMar>
              <w:top w:w="85" w:type="dxa"/>
              <w:left w:w="85" w:type="dxa"/>
              <w:bottom w:w="85" w:type="dxa"/>
              <w:right w:w="85" w:type="dxa"/>
            </w:tcMar>
          </w:tcPr>
          <w:p w14:paraId="228C1625" w14:textId="77777777" w:rsidR="0099110B" w:rsidRPr="00630129" w:rsidRDefault="0099110B" w:rsidP="0099110B">
            <w:pPr>
              <w:rPr>
                <w:sz w:val="22"/>
                <w:szCs w:val="22"/>
              </w:rPr>
            </w:pPr>
            <w:r w:rsidRPr="00630129">
              <w:rPr>
                <w:sz w:val="22"/>
                <w:szCs w:val="22"/>
              </w:rPr>
              <w:t>Replacement Reserve Aggregated Unpriced System Buy Action</w:t>
            </w:r>
          </w:p>
        </w:tc>
        <w:tc>
          <w:tcPr>
            <w:tcW w:w="974" w:type="pct"/>
            <w:tcMar>
              <w:top w:w="85" w:type="dxa"/>
              <w:left w:w="85" w:type="dxa"/>
              <w:bottom w:w="85" w:type="dxa"/>
              <w:right w:w="85" w:type="dxa"/>
            </w:tcMar>
          </w:tcPr>
          <w:p w14:paraId="733A606E" w14:textId="77777777" w:rsidR="0099110B" w:rsidRPr="00630129" w:rsidRDefault="0099110B" w:rsidP="0099110B">
            <w:pPr>
              <w:rPr>
                <w:sz w:val="22"/>
                <w:szCs w:val="22"/>
              </w:rPr>
            </w:pPr>
            <w:proofErr w:type="spellStart"/>
            <w:r w:rsidRPr="00630129">
              <w:rPr>
                <w:sz w:val="22"/>
                <w:szCs w:val="22"/>
              </w:rPr>
              <w:t>RRAUSB</w:t>
            </w:r>
            <w:r w:rsidRPr="00630129">
              <w:rPr>
                <w:sz w:val="22"/>
                <w:szCs w:val="22"/>
                <w:vertAlign w:val="subscript"/>
              </w:rPr>
              <w:t>j</w:t>
            </w:r>
            <w:proofErr w:type="spellEnd"/>
          </w:p>
        </w:tc>
        <w:tc>
          <w:tcPr>
            <w:tcW w:w="492" w:type="pct"/>
            <w:tcMar>
              <w:top w:w="85" w:type="dxa"/>
              <w:left w:w="85" w:type="dxa"/>
              <w:bottom w:w="85" w:type="dxa"/>
              <w:right w:w="85" w:type="dxa"/>
            </w:tcMar>
          </w:tcPr>
          <w:p w14:paraId="219257BF"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063CF090" w14:textId="77777777" w:rsidR="0099110B" w:rsidRPr="00630129" w:rsidRDefault="0099110B" w:rsidP="0099110B">
            <w:pPr>
              <w:rPr>
                <w:sz w:val="22"/>
                <w:szCs w:val="22"/>
              </w:rPr>
            </w:pPr>
            <w:r w:rsidRPr="00630129">
              <w:rPr>
                <w:sz w:val="22"/>
                <w:szCs w:val="22"/>
              </w:rPr>
              <w:t>In respect of each Quarter Hour within a Replacement Reserve Auction Period, an aggregated unpriced System Buy Action derived from Replacement Reserve Auction Result Data.</w:t>
            </w:r>
          </w:p>
        </w:tc>
      </w:tr>
      <w:tr w:rsidR="0099110B" w:rsidRPr="00630129" w14:paraId="4E8780C2" w14:textId="77777777" w:rsidTr="00A63BA8">
        <w:trPr>
          <w:cantSplit/>
        </w:trPr>
        <w:tc>
          <w:tcPr>
            <w:tcW w:w="994" w:type="pct"/>
            <w:tcMar>
              <w:top w:w="85" w:type="dxa"/>
              <w:left w:w="85" w:type="dxa"/>
              <w:bottom w:w="85" w:type="dxa"/>
              <w:right w:w="85" w:type="dxa"/>
            </w:tcMar>
          </w:tcPr>
          <w:p w14:paraId="02115C76" w14:textId="77777777" w:rsidR="0099110B" w:rsidRPr="00630129" w:rsidRDefault="0099110B" w:rsidP="0099110B">
            <w:pPr>
              <w:rPr>
                <w:sz w:val="22"/>
                <w:szCs w:val="22"/>
              </w:rPr>
            </w:pPr>
            <w:r w:rsidRPr="00630129">
              <w:rPr>
                <w:sz w:val="22"/>
                <w:szCs w:val="22"/>
              </w:rPr>
              <w:t>Replacement Reserve Aggregated Unpriced System Sell Action</w:t>
            </w:r>
          </w:p>
        </w:tc>
        <w:tc>
          <w:tcPr>
            <w:tcW w:w="974" w:type="pct"/>
            <w:tcMar>
              <w:top w:w="85" w:type="dxa"/>
              <w:left w:w="85" w:type="dxa"/>
              <w:bottom w:w="85" w:type="dxa"/>
              <w:right w:w="85" w:type="dxa"/>
            </w:tcMar>
          </w:tcPr>
          <w:p w14:paraId="6F14D04A" w14:textId="77777777" w:rsidR="0099110B" w:rsidRPr="00630129" w:rsidRDefault="0099110B" w:rsidP="0099110B">
            <w:pPr>
              <w:rPr>
                <w:sz w:val="22"/>
                <w:szCs w:val="22"/>
              </w:rPr>
            </w:pPr>
            <w:proofErr w:type="spellStart"/>
            <w:r w:rsidRPr="00630129">
              <w:rPr>
                <w:sz w:val="22"/>
                <w:szCs w:val="22"/>
              </w:rPr>
              <w:t>RRAUSS</w:t>
            </w:r>
            <w:r w:rsidRPr="00630129">
              <w:rPr>
                <w:sz w:val="22"/>
                <w:szCs w:val="22"/>
                <w:vertAlign w:val="subscript"/>
              </w:rPr>
              <w:t>j</w:t>
            </w:r>
            <w:proofErr w:type="spellEnd"/>
          </w:p>
        </w:tc>
        <w:tc>
          <w:tcPr>
            <w:tcW w:w="492" w:type="pct"/>
            <w:tcMar>
              <w:top w:w="85" w:type="dxa"/>
              <w:left w:w="85" w:type="dxa"/>
              <w:bottom w:w="85" w:type="dxa"/>
              <w:right w:w="85" w:type="dxa"/>
            </w:tcMar>
          </w:tcPr>
          <w:p w14:paraId="0C879449"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48506034" w14:textId="77777777" w:rsidR="0099110B" w:rsidRPr="00630129" w:rsidRDefault="0099110B" w:rsidP="0099110B">
            <w:pPr>
              <w:rPr>
                <w:sz w:val="22"/>
                <w:szCs w:val="22"/>
              </w:rPr>
            </w:pPr>
            <w:r w:rsidRPr="00630129">
              <w:rPr>
                <w:sz w:val="22"/>
                <w:szCs w:val="22"/>
              </w:rPr>
              <w:t>In respect of each Quarter Hour within a Replacement Reserve Auction Period, an aggregated unpriced System Sell Action derived from Replacement Reserve Auction Result Data.</w:t>
            </w:r>
          </w:p>
        </w:tc>
      </w:tr>
      <w:tr w:rsidR="0099110B" w:rsidRPr="00630129" w14:paraId="4B395016" w14:textId="77777777" w:rsidTr="00A63BA8">
        <w:trPr>
          <w:cantSplit/>
        </w:trPr>
        <w:tc>
          <w:tcPr>
            <w:tcW w:w="994" w:type="pct"/>
            <w:tcMar>
              <w:top w:w="85" w:type="dxa"/>
              <w:left w:w="85" w:type="dxa"/>
              <w:bottom w:w="85" w:type="dxa"/>
              <w:right w:w="85" w:type="dxa"/>
            </w:tcMar>
          </w:tcPr>
          <w:p w14:paraId="3F637276" w14:textId="77777777" w:rsidR="0099110B" w:rsidRPr="00630129" w:rsidRDefault="0099110B" w:rsidP="0099110B">
            <w:pPr>
              <w:rPr>
                <w:sz w:val="22"/>
                <w:szCs w:val="22"/>
              </w:rPr>
            </w:pPr>
            <w:r w:rsidRPr="00630129">
              <w:rPr>
                <w:sz w:val="22"/>
                <w:szCs w:val="22"/>
              </w:rPr>
              <w:t>Replacement Reserve Auction Period</w:t>
            </w:r>
          </w:p>
        </w:tc>
        <w:tc>
          <w:tcPr>
            <w:tcW w:w="974" w:type="pct"/>
            <w:tcMar>
              <w:top w:w="85" w:type="dxa"/>
              <w:left w:w="85" w:type="dxa"/>
              <w:bottom w:w="85" w:type="dxa"/>
              <w:right w:w="85" w:type="dxa"/>
            </w:tcMar>
          </w:tcPr>
          <w:p w14:paraId="652AE67E"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39D95082"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60F251CF" w14:textId="77777777" w:rsidR="0099110B" w:rsidRPr="00630129" w:rsidRDefault="0099110B" w:rsidP="0099110B">
            <w:pPr>
              <w:rPr>
                <w:sz w:val="22"/>
                <w:szCs w:val="22"/>
              </w:rPr>
            </w:pPr>
            <w:r w:rsidRPr="00630129">
              <w:rPr>
                <w:sz w:val="22"/>
                <w:szCs w:val="22"/>
              </w:rPr>
              <w:t>A period of 60 minutes in relation to which Replacement Reserve Auction Result Data is associated pursuant to Section Q5.6 and which period corresponds to two complete Settlement Periods with the start of that Replacement Reserve Auction Period coinciding with the Settlement Period that begins on the hour.</w:t>
            </w:r>
          </w:p>
        </w:tc>
      </w:tr>
      <w:tr w:rsidR="0099110B" w:rsidRPr="00630129" w14:paraId="05126DD8" w14:textId="77777777" w:rsidTr="00A63BA8">
        <w:trPr>
          <w:cantSplit/>
        </w:trPr>
        <w:tc>
          <w:tcPr>
            <w:tcW w:w="994" w:type="pct"/>
            <w:tcMar>
              <w:top w:w="85" w:type="dxa"/>
              <w:left w:w="85" w:type="dxa"/>
              <w:bottom w:w="85" w:type="dxa"/>
              <w:right w:w="85" w:type="dxa"/>
            </w:tcMar>
          </w:tcPr>
          <w:p w14:paraId="70C22652" w14:textId="77777777" w:rsidR="0099110B" w:rsidRPr="00630129" w:rsidRDefault="0099110B" w:rsidP="0099110B">
            <w:pPr>
              <w:rPr>
                <w:sz w:val="22"/>
                <w:szCs w:val="22"/>
              </w:rPr>
            </w:pPr>
            <w:r w:rsidRPr="00630129">
              <w:rPr>
                <w:sz w:val="22"/>
                <w:szCs w:val="22"/>
              </w:rPr>
              <w:t>Replacement Reserve Auction Period Resolution Type</w:t>
            </w:r>
          </w:p>
        </w:tc>
        <w:tc>
          <w:tcPr>
            <w:tcW w:w="974" w:type="pct"/>
            <w:tcMar>
              <w:top w:w="85" w:type="dxa"/>
              <w:left w:w="85" w:type="dxa"/>
              <w:bottom w:w="85" w:type="dxa"/>
              <w:right w:w="85" w:type="dxa"/>
            </w:tcMar>
          </w:tcPr>
          <w:p w14:paraId="6344F8D2"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680A72D1"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73E3B6A8" w14:textId="77777777" w:rsidR="0099110B" w:rsidRPr="00630129" w:rsidRDefault="0099110B" w:rsidP="0099110B">
            <w:pPr>
              <w:spacing w:after="120"/>
              <w:rPr>
                <w:sz w:val="22"/>
              </w:rPr>
            </w:pPr>
            <w:r w:rsidRPr="00630129">
              <w:rPr>
                <w:sz w:val="22"/>
                <w:szCs w:val="22"/>
              </w:rPr>
              <w:t xml:space="preserve">Indicates the period of time within the Replacement Reserve Auction Period that the associated </w:t>
            </w:r>
            <w:r w:rsidRPr="00630129">
              <w:rPr>
                <w:sz w:val="22"/>
              </w:rPr>
              <w:t>Replacement Reserve Activation Data, GB Need Met Data and Interconnector Schedule Data relate to.</w:t>
            </w:r>
          </w:p>
          <w:p w14:paraId="01E3391B" w14:textId="77777777" w:rsidR="0099110B" w:rsidRPr="00630129" w:rsidRDefault="0099110B" w:rsidP="0099110B">
            <w:pPr>
              <w:rPr>
                <w:sz w:val="22"/>
                <w:szCs w:val="22"/>
              </w:rPr>
            </w:pPr>
            <w:r w:rsidRPr="00630129">
              <w:rPr>
                <w:i/>
                <w:sz w:val="22"/>
                <w:szCs w:val="22"/>
              </w:rPr>
              <w:t>A Replacement Reserve Auction Period Resolution Type may be categorised as PT60 which is comprised of a single period of 60 minutes, PT30 which is comprised of two periods of 30 minutes or PT15 which is comprised of four periods of 15 minutes.</w:t>
            </w:r>
          </w:p>
        </w:tc>
      </w:tr>
      <w:tr w:rsidR="0099110B" w:rsidRPr="00630129" w14:paraId="0EFE3019" w14:textId="77777777" w:rsidTr="00A63BA8">
        <w:trPr>
          <w:cantSplit/>
        </w:trPr>
        <w:tc>
          <w:tcPr>
            <w:tcW w:w="994" w:type="pct"/>
            <w:tcMar>
              <w:top w:w="85" w:type="dxa"/>
              <w:left w:w="85" w:type="dxa"/>
              <w:bottom w:w="85" w:type="dxa"/>
              <w:right w:w="85" w:type="dxa"/>
            </w:tcMar>
          </w:tcPr>
          <w:p w14:paraId="2F0CB151" w14:textId="77777777" w:rsidR="0099110B" w:rsidRPr="00630129" w:rsidRDefault="0099110B" w:rsidP="0099110B">
            <w:pPr>
              <w:rPr>
                <w:sz w:val="22"/>
                <w:szCs w:val="22"/>
              </w:rPr>
            </w:pPr>
            <w:r w:rsidRPr="00630129">
              <w:rPr>
                <w:sz w:val="22"/>
                <w:szCs w:val="22"/>
              </w:rPr>
              <w:lastRenderedPageBreak/>
              <w:t>Replacement Reserve Auction Result Data</w:t>
            </w:r>
          </w:p>
        </w:tc>
        <w:tc>
          <w:tcPr>
            <w:tcW w:w="974" w:type="pct"/>
            <w:tcMar>
              <w:top w:w="85" w:type="dxa"/>
              <w:left w:w="85" w:type="dxa"/>
              <w:bottom w:w="85" w:type="dxa"/>
              <w:right w:w="85" w:type="dxa"/>
            </w:tcMar>
          </w:tcPr>
          <w:p w14:paraId="14FB4397"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065CB3EA"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2D6ECEBF" w14:textId="77777777" w:rsidR="0099110B" w:rsidRPr="00630129" w:rsidRDefault="0099110B" w:rsidP="0099110B">
            <w:pPr>
              <w:rPr>
                <w:sz w:val="22"/>
                <w:szCs w:val="22"/>
              </w:rPr>
            </w:pPr>
            <w:r w:rsidRPr="00630129">
              <w:rPr>
                <w:sz w:val="22"/>
                <w:szCs w:val="22"/>
              </w:rPr>
              <w:t>Data (comprising the items set out in Section Q5.6.1) to be submitted by the NETSO pursuant to Section Q6.2C.1(d).</w:t>
            </w:r>
          </w:p>
        </w:tc>
      </w:tr>
      <w:tr w:rsidR="0099110B" w:rsidRPr="00630129" w14:paraId="5B491921" w14:textId="77777777" w:rsidTr="00A63BA8">
        <w:trPr>
          <w:cantSplit/>
        </w:trPr>
        <w:tc>
          <w:tcPr>
            <w:tcW w:w="994" w:type="pct"/>
            <w:tcMar>
              <w:top w:w="85" w:type="dxa"/>
              <w:left w:w="85" w:type="dxa"/>
              <w:bottom w:w="85" w:type="dxa"/>
              <w:right w:w="85" w:type="dxa"/>
            </w:tcMar>
          </w:tcPr>
          <w:p w14:paraId="4887DB7A" w14:textId="77777777" w:rsidR="0099110B" w:rsidRPr="00630129" w:rsidRDefault="0099110B" w:rsidP="0099110B">
            <w:pPr>
              <w:rPr>
                <w:sz w:val="22"/>
                <w:szCs w:val="22"/>
              </w:rPr>
            </w:pPr>
            <w:r w:rsidRPr="00630129">
              <w:rPr>
                <w:sz w:val="22"/>
                <w:szCs w:val="22"/>
              </w:rPr>
              <w:t>Replacement Reserve Bid</w:t>
            </w:r>
          </w:p>
        </w:tc>
        <w:tc>
          <w:tcPr>
            <w:tcW w:w="974" w:type="pct"/>
            <w:tcMar>
              <w:top w:w="85" w:type="dxa"/>
              <w:left w:w="85" w:type="dxa"/>
              <w:bottom w:w="85" w:type="dxa"/>
              <w:right w:w="85" w:type="dxa"/>
            </w:tcMar>
          </w:tcPr>
          <w:p w14:paraId="1EFBB5D8"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397BEB72"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6204554B" w14:textId="77777777" w:rsidR="0099110B" w:rsidRPr="00630129" w:rsidRDefault="0099110B" w:rsidP="0099110B">
            <w:pPr>
              <w:rPr>
                <w:sz w:val="22"/>
                <w:szCs w:val="22"/>
              </w:rPr>
            </w:pPr>
            <w:r w:rsidRPr="00630129">
              <w:rPr>
                <w:sz w:val="22"/>
                <w:szCs w:val="22"/>
              </w:rPr>
              <w:t>Has the meaning given to the term TERRE Bid as defined in the Grid Code.</w:t>
            </w:r>
          </w:p>
        </w:tc>
      </w:tr>
      <w:tr w:rsidR="0099110B" w:rsidRPr="00630129" w14:paraId="63370B1C" w14:textId="77777777" w:rsidTr="00A63BA8">
        <w:trPr>
          <w:cantSplit/>
        </w:trPr>
        <w:tc>
          <w:tcPr>
            <w:tcW w:w="994" w:type="pct"/>
            <w:tcMar>
              <w:top w:w="85" w:type="dxa"/>
              <w:left w:w="85" w:type="dxa"/>
              <w:bottom w:w="85" w:type="dxa"/>
              <w:right w:w="85" w:type="dxa"/>
            </w:tcMar>
          </w:tcPr>
          <w:p w14:paraId="1E55DCA2" w14:textId="77777777" w:rsidR="0099110B" w:rsidRPr="00630129" w:rsidRDefault="0099110B" w:rsidP="0099110B">
            <w:pPr>
              <w:rPr>
                <w:sz w:val="22"/>
                <w:szCs w:val="22"/>
              </w:rPr>
            </w:pPr>
            <w:r w:rsidRPr="00630129">
              <w:rPr>
                <w:sz w:val="22"/>
                <w:szCs w:val="22"/>
              </w:rPr>
              <w:t>Replacement Reserve Bid Data</w:t>
            </w:r>
          </w:p>
        </w:tc>
        <w:tc>
          <w:tcPr>
            <w:tcW w:w="974" w:type="pct"/>
            <w:tcMar>
              <w:top w:w="85" w:type="dxa"/>
              <w:left w:w="85" w:type="dxa"/>
              <w:bottom w:w="85" w:type="dxa"/>
              <w:right w:w="85" w:type="dxa"/>
            </w:tcMar>
          </w:tcPr>
          <w:p w14:paraId="5EFDFDEE"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51036D73"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0B8AB464" w14:textId="77777777" w:rsidR="0099110B" w:rsidRPr="00630129" w:rsidRDefault="0099110B" w:rsidP="0099110B">
            <w:pPr>
              <w:rPr>
                <w:sz w:val="22"/>
                <w:szCs w:val="22"/>
              </w:rPr>
            </w:pPr>
            <w:r w:rsidRPr="00630129">
              <w:rPr>
                <w:sz w:val="22"/>
                <w:szCs w:val="22"/>
              </w:rPr>
              <w:t>In relation to a Replacement Reserve Bid, the data comprising the items set out in the TERRE Data Validation and Consistency Rules (as defined under the Grid Code) to be submitted by the Lead Party of a BM Unit pursuant to Section Q4.3.3 and by the NETSO pursuant to Section Q6.2C.1(d).</w:t>
            </w:r>
          </w:p>
        </w:tc>
      </w:tr>
      <w:tr w:rsidR="0099110B" w:rsidRPr="00630129" w14:paraId="1F924192" w14:textId="77777777" w:rsidTr="00A63BA8">
        <w:trPr>
          <w:cantSplit/>
        </w:trPr>
        <w:tc>
          <w:tcPr>
            <w:tcW w:w="994" w:type="pct"/>
            <w:tcMar>
              <w:top w:w="85" w:type="dxa"/>
              <w:left w:w="85" w:type="dxa"/>
              <w:bottom w:w="85" w:type="dxa"/>
              <w:right w:w="85" w:type="dxa"/>
            </w:tcMar>
          </w:tcPr>
          <w:p w14:paraId="51B22682" w14:textId="77777777" w:rsidR="0099110B" w:rsidRPr="00630129" w:rsidRDefault="0099110B" w:rsidP="0099110B">
            <w:pPr>
              <w:rPr>
                <w:sz w:val="22"/>
                <w:szCs w:val="22"/>
              </w:rPr>
            </w:pPr>
            <w:r w:rsidRPr="00630129">
              <w:rPr>
                <w:sz w:val="22"/>
                <w:szCs w:val="22"/>
              </w:rPr>
              <w:t>Replacement Reserve Bid Price</w:t>
            </w:r>
          </w:p>
        </w:tc>
        <w:tc>
          <w:tcPr>
            <w:tcW w:w="974" w:type="pct"/>
            <w:tcMar>
              <w:top w:w="85" w:type="dxa"/>
              <w:left w:w="85" w:type="dxa"/>
              <w:bottom w:w="85" w:type="dxa"/>
              <w:right w:w="85" w:type="dxa"/>
            </w:tcMar>
          </w:tcPr>
          <w:p w14:paraId="3A7C344D"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49EF371A"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7921C512" w14:textId="77777777" w:rsidR="0099110B" w:rsidRPr="00630129" w:rsidRDefault="0099110B" w:rsidP="0099110B">
            <w:pPr>
              <w:rPr>
                <w:sz w:val="22"/>
                <w:szCs w:val="22"/>
              </w:rPr>
            </w:pPr>
            <w:r w:rsidRPr="00630129">
              <w:rPr>
                <w:sz w:val="22"/>
                <w:szCs w:val="22"/>
              </w:rPr>
              <w:t>The price associated with a Replacement Reserve Bid.</w:t>
            </w:r>
          </w:p>
        </w:tc>
      </w:tr>
      <w:tr w:rsidR="0099110B" w:rsidRPr="00630129" w14:paraId="514EC722" w14:textId="77777777" w:rsidTr="00A63BA8">
        <w:trPr>
          <w:cantSplit/>
        </w:trPr>
        <w:tc>
          <w:tcPr>
            <w:tcW w:w="994" w:type="pct"/>
            <w:tcMar>
              <w:top w:w="85" w:type="dxa"/>
              <w:left w:w="85" w:type="dxa"/>
              <w:bottom w:w="85" w:type="dxa"/>
              <w:right w:w="85" w:type="dxa"/>
            </w:tcMar>
          </w:tcPr>
          <w:p w14:paraId="48EA4598" w14:textId="77777777" w:rsidR="0099110B" w:rsidRPr="00630129" w:rsidRDefault="0099110B" w:rsidP="0099110B">
            <w:pPr>
              <w:rPr>
                <w:sz w:val="22"/>
                <w:szCs w:val="22"/>
              </w:rPr>
            </w:pPr>
            <w:r w:rsidRPr="00630129">
              <w:rPr>
                <w:sz w:val="22"/>
                <w:szCs w:val="22"/>
              </w:rPr>
              <w:t>Replacement Reserve Instructed Bid Deviation Volume</w:t>
            </w:r>
          </w:p>
        </w:tc>
        <w:tc>
          <w:tcPr>
            <w:tcW w:w="974" w:type="pct"/>
            <w:tcMar>
              <w:top w:w="85" w:type="dxa"/>
              <w:left w:w="85" w:type="dxa"/>
              <w:bottom w:w="85" w:type="dxa"/>
              <w:right w:w="85" w:type="dxa"/>
            </w:tcMar>
          </w:tcPr>
          <w:p w14:paraId="5E7CC3F7" w14:textId="77777777" w:rsidR="0099110B" w:rsidRPr="00630129" w:rsidRDefault="0099110B" w:rsidP="0099110B">
            <w:pPr>
              <w:rPr>
                <w:sz w:val="22"/>
                <w:szCs w:val="22"/>
              </w:rPr>
            </w:pPr>
            <w:proofErr w:type="spellStart"/>
            <w:r w:rsidRPr="00630129">
              <w:rPr>
                <w:sz w:val="22"/>
                <w:szCs w:val="22"/>
              </w:rPr>
              <w:t>IBD</w:t>
            </w:r>
            <w:r w:rsidRPr="00630129">
              <w:rPr>
                <w:sz w:val="22"/>
                <w:szCs w:val="22"/>
                <w:vertAlign w:val="subscript"/>
              </w:rPr>
              <w:t>ij</w:t>
            </w:r>
            <w:proofErr w:type="spellEnd"/>
          </w:p>
        </w:tc>
        <w:tc>
          <w:tcPr>
            <w:tcW w:w="492" w:type="pct"/>
            <w:tcMar>
              <w:top w:w="85" w:type="dxa"/>
              <w:left w:w="85" w:type="dxa"/>
              <w:bottom w:w="85" w:type="dxa"/>
              <w:right w:w="85" w:type="dxa"/>
            </w:tcMar>
          </w:tcPr>
          <w:p w14:paraId="7376BC36"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2D1F4985" w14:textId="77777777" w:rsidR="0099110B" w:rsidRPr="00630129" w:rsidRDefault="0099110B" w:rsidP="0099110B">
            <w:pPr>
              <w:spacing w:after="120"/>
              <w:rPr>
                <w:sz w:val="22"/>
                <w:szCs w:val="22"/>
              </w:rPr>
            </w:pPr>
            <w:r w:rsidRPr="00630129">
              <w:rPr>
                <w:sz w:val="22"/>
                <w:szCs w:val="22"/>
              </w:rPr>
              <w:t>The quantity established in accordance with Section T3.22.2.</w:t>
            </w:r>
          </w:p>
          <w:p w14:paraId="24544E5B" w14:textId="77777777" w:rsidR="0099110B" w:rsidRPr="00630129" w:rsidRDefault="0099110B" w:rsidP="0099110B">
            <w:pPr>
              <w:rPr>
                <w:sz w:val="22"/>
                <w:szCs w:val="22"/>
              </w:rPr>
            </w:pPr>
            <w:r w:rsidRPr="00630129">
              <w:rPr>
                <w:i/>
                <w:sz w:val="22"/>
                <w:szCs w:val="22"/>
              </w:rPr>
              <w:t>The Replacement Reserve</w:t>
            </w:r>
            <w:r w:rsidRPr="00630129">
              <w:rPr>
                <w:i/>
                <w:sz w:val="22"/>
              </w:rPr>
              <w:t xml:space="preserve"> Bid Deviation Volume</w:t>
            </w:r>
            <w:r w:rsidRPr="00630129">
              <w:rPr>
                <w:i/>
                <w:sz w:val="22"/>
                <w:szCs w:val="22"/>
              </w:rPr>
              <w:t xml:space="preserve"> is the volume of Bid, in respect of BM Unit </w:t>
            </w:r>
            <w:proofErr w:type="spellStart"/>
            <w:r w:rsidRPr="00630129">
              <w:rPr>
                <w:i/>
                <w:sz w:val="22"/>
                <w:szCs w:val="22"/>
              </w:rPr>
              <w:t>i</w:t>
            </w:r>
            <w:proofErr w:type="spellEnd"/>
            <w:r w:rsidRPr="00630129">
              <w:rPr>
                <w:i/>
                <w:sz w:val="22"/>
                <w:szCs w:val="22"/>
              </w:rPr>
              <w:t>, in Settlement Period j as a result of all acceptances of a Replacement Reserve Bids in that Settlement Period compared to the volume of Bid determined to be the Total Period Deemed Standard Product Bid Volume for that Settlement Period.</w:t>
            </w:r>
          </w:p>
        </w:tc>
      </w:tr>
      <w:tr w:rsidR="0099110B" w:rsidRPr="00630129" w14:paraId="05A4A876" w14:textId="77777777" w:rsidTr="00A63BA8">
        <w:trPr>
          <w:cantSplit/>
        </w:trPr>
        <w:tc>
          <w:tcPr>
            <w:tcW w:w="994" w:type="pct"/>
            <w:tcMar>
              <w:top w:w="85" w:type="dxa"/>
              <w:left w:w="85" w:type="dxa"/>
              <w:bottom w:w="85" w:type="dxa"/>
              <w:right w:w="85" w:type="dxa"/>
            </w:tcMar>
          </w:tcPr>
          <w:p w14:paraId="563A4788" w14:textId="77777777" w:rsidR="0099110B" w:rsidRPr="00630129" w:rsidRDefault="0099110B" w:rsidP="0099110B">
            <w:pPr>
              <w:rPr>
                <w:sz w:val="22"/>
                <w:szCs w:val="22"/>
              </w:rPr>
            </w:pPr>
            <w:r w:rsidRPr="00630129">
              <w:rPr>
                <w:sz w:val="22"/>
                <w:szCs w:val="22"/>
              </w:rPr>
              <w:t>Replacement Reserve Instructed Offer Deviation Volume</w:t>
            </w:r>
          </w:p>
        </w:tc>
        <w:tc>
          <w:tcPr>
            <w:tcW w:w="974" w:type="pct"/>
            <w:tcMar>
              <w:top w:w="85" w:type="dxa"/>
              <w:left w:w="85" w:type="dxa"/>
              <w:bottom w:w="85" w:type="dxa"/>
              <w:right w:w="85" w:type="dxa"/>
            </w:tcMar>
          </w:tcPr>
          <w:p w14:paraId="14D700A1" w14:textId="77777777" w:rsidR="0099110B" w:rsidRPr="00630129" w:rsidRDefault="0099110B" w:rsidP="0099110B">
            <w:pPr>
              <w:rPr>
                <w:sz w:val="22"/>
                <w:szCs w:val="22"/>
              </w:rPr>
            </w:pPr>
            <w:proofErr w:type="spellStart"/>
            <w:r w:rsidRPr="00630129">
              <w:rPr>
                <w:sz w:val="22"/>
                <w:szCs w:val="22"/>
              </w:rPr>
              <w:t>IOD</w:t>
            </w:r>
            <w:r w:rsidRPr="00630129">
              <w:rPr>
                <w:sz w:val="22"/>
                <w:szCs w:val="22"/>
                <w:vertAlign w:val="subscript"/>
              </w:rPr>
              <w:t>ij</w:t>
            </w:r>
            <w:proofErr w:type="spellEnd"/>
          </w:p>
        </w:tc>
        <w:tc>
          <w:tcPr>
            <w:tcW w:w="492" w:type="pct"/>
            <w:tcMar>
              <w:top w:w="85" w:type="dxa"/>
              <w:left w:w="85" w:type="dxa"/>
              <w:bottom w:w="85" w:type="dxa"/>
              <w:right w:w="85" w:type="dxa"/>
            </w:tcMar>
          </w:tcPr>
          <w:p w14:paraId="173FDA43"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07A4F18B" w14:textId="77777777" w:rsidR="0099110B" w:rsidRPr="00630129" w:rsidRDefault="0099110B" w:rsidP="0099110B">
            <w:pPr>
              <w:spacing w:after="120"/>
              <w:rPr>
                <w:sz w:val="22"/>
                <w:szCs w:val="22"/>
              </w:rPr>
            </w:pPr>
            <w:r w:rsidRPr="00630129">
              <w:rPr>
                <w:sz w:val="22"/>
                <w:szCs w:val="22"/>
              </w:rPr>
              <w:t>The quantity established in accordance with Section T3.22.1.</w:t>
            </w:r>
          </w:p>
          <w:p w14:paraId="5DD3139F" w14:textId="77777777" w:rsidR="0099110B" w:rsidRPr="00630129" w:rsidRDefault="0099110B" w:rsidP="0099110B">
            <w:pPr>
              <w:rPr>
                <w:sz w:val="22"/>
                <w:szCs w:val="22"/>
              </w:rPr>
            </w:pPr>
            <w:r w:rsidRPr="00630129">
              <w:rPr>
                <w:i/>
                <w:sz w:val="22"/>
                <w:szCs w:val="22"/>
              </w:rPr>
              <w:t>The Replacement Reserve</w:t>
            </w:r>
            <w:r w:rsidRPr="00630129">
              <w:rPr>
                <w:i/>
                <w:sz w:val="22"/>
              </w:rPr>
              <w:t xml:space="preserve"> Offer Deviation Volume</w:t>
            </w:r>
            <w:r w:rsidRPr="00630129">
              <w:rPr>
                <w:i/>
                <w:sz w:val="22"/>
                <w:szCs w:val="22"/>
              </w:rPr>
              <w:t xml:space="preserve"> is the volume of Offer, in respect of BM Unit </w:t>
            </w:r>
            <w:proofErr w:type="spellStart"/>
            <w:r w:rsidRPr="00630129">
              <w:rPr>
                <w:i/>
                <w:sz w:val="22"/>
                <w:szCs w:val="22"/>
              </w:rPr>
              <w:t>i</w:t>
            </w:r>
            <w:proofErr w:type="spellEnd"/>
            <w:r w:rsidRPr="00630129">
              <w:rPr>
                <w:i/>
                <w:sz w:val="22"/>
                <w:szCs w:val="22"/>
              </w:rPr>
              <w:t>, in Settlement Period j as a result of all acceptances of a Replacement Reserve Offers in that Settlement Period compared to the volume of Offer determined to be the Total Period Deemed Standard Product Offer Volume for that Settlement Period.</w:t>
            </w:r>
          </w:p>
        </w:tc>
      </w:tr>
      <w:tr w:rsidR="0099110B" w:rsidRPr="00630129" w14:paraId="0061E1C9" w14:textId="77777777" w:rsidTr="00A63BA8">
        <w:trPr>
          <w:cantSplit/>
        </w:trPr>
        <w:tc>
          <w:tcPr>
            <w:tcW w:w="994" w:type="pct"/>
            <w:tcMar>
              <w:top w:w="85" w:type="dxa"/>
              <w:left w:w="85" w:type="dxa"/>
              <w:bottom w:w="85" w:type="dxa"/>
              <w:right w:w="85" w:type="dxa"/>
            </w:tcMar>
          </w:tcPr>
          <w:p w14:paraId="18DF6759" w14:textId="77777777" w:rsidR="0099110B" w:rsidRPr="00630129" w:rsidRDefault="0099110B" w:rsidP="0099110B">
            <w:pPr>
              <w:rPr>
                <w:sz w:val="22"/>
                <w:szCs w:val="22"/>
              </w:rPr>
            </w:pPr>
            <w:r w:rsidRPr="00630129">
              <w:rPr>
                <w:sz w:val="22"/>
                <w:szCs w:val="22"/>
              </w:rPr>
              <w:t xml:space="preserve">Replacement Reserve Period Instructed Bid Deviation </w:t>
            </w:r>
            <w:proofErr w:type="spellStart"/>
            <w:r w:rsidRPr="00630129">
              <w:rPr>
                <w:sz w:val="22"/>
                <w:szCs w:val="22"/>
              </w:rPr>
              <w:t>Cashflow</w:t>
            </w:r>
            <w:proofErr w:type="spellEnd"/>
          </w:p>
        </w:tc>
        <w:tc>
          <w:tcPr>
            <w:tcW w:w="974" w:type="pct"/>
            <w:tcMar>
              <w:top w:w="85" w:type="dxa"/>
              <w:left w:w="85" w:type="dxa"/>
              <w:bottom w:w="85" w:type="dxa"/>
              <w:right w:w="85" w:type="dxa"/>
            </w:tcMar>
          </w:tcPr>
          <w:p w14:paraId="4D8C88D0" w14:textId="77777777" w:rsidR="0099110B" w:rsidRPr="00630129" w:rsidRDefault="0099110B" w:rsidP="0099110B">
            <w:pPr>
              <w:rPr>
                <w:sz w:val="22"/>
                <w:szCs w:val="22"/>
              </w:rPr>
            </w:pPr>
            <w:proofErr w:type="spellStart"/>
            <w:r w:rsidRPr="00630129">
              <w:rPr>
                <w:sz w:val="22"/>
                <w:szCs w:val="22"/>
              </w:rPr>
              <w:t>CDB</w:t>
            </w:r>
            <w:r w:rsidRPr="00630129">
              <w:rPr>
                <w:sz w:val="22"/>
                <w:szCs w:val="22"/>
                <w:vertAlign w:val="subscript"/>
              </w:rPr>
              <w:t>ij</w:t>
            </w:r>
            <w:proofErr w:type="spellEnd"/>
          </w:p>
        </w:tc>
        <w:tc>
          <w:tcPr>
            <w:tcW w:w="492" w:type="pct"/>
            <w:tcMar>
              <w:top w:w="85" w:type="dxa"/>
              <w:left w:w="85" w:type="dxa"/>
              <w:bottom w:w="85" w:type="dxa"/>
              <w:right w:w="85" w:type="dxa"/>
            </w:tcMar>
          </w:tcPr>
          <w:p w14:paraId="23697858"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203A8736" w14:textId="77777777" w:rsidR="0099110B" w:rsidRPr="00630129" w:rsidRDefault="0099110B" w:rsidP="0099110B">
            <w:pPr>
              <w:rPr>
                <w:sz w:val="22"/>
                <w:szCs w:val="22"/>
              </w:rPr>
            </w:pPr>
            <w:r w:rsidRPr="00630129">
              <w:rPr>
                <w:sz w:val="22"/>
                <w:szCs w:val="22"/>
              </w:rPr>
              <w:t xml:space="preserve">The </w:t>
            </w:r>
            <w:proofErr w:type="spellStart"/>
            <w:r w:rsidRPr="00630129">
              <w:rPr>
                <w:sz w:val="22"/>
                <w:szCs w:val="22"/>
              </w:rPr>
              <w:t>cashflow</w:t>
            </w:r>
            <w:proofErr w:type="spellEnd"/>
            <w:r w:rsidRPr="00630129">
              <w:rPr>
                <w:sz w:val="22"/>
                <w:szCs w:val="22"/>
              </w:rPr>
              <w:t xml:space="preserve"> determined in accordance with T3.23.2.</w:t>
            </w:r>
          </w:p>
        </w:tc>
      </w:tr>
      <w:tr w:rsidR="0099110B" w:rsidRPr="00630129" w14:paraId="0098F9A4" w14:textId="77777777" w:rsidTr="00A63BA8">
        <w:trPr>
          <w:cantSplit/>
        </w:trPr>
        <w:tc>
          <w:tcPr>
            <w:tcW w:w="994" w:type="pct"/>
            <w:tcMar>
              <w:top w:w="85" w:type="dxa"/>
              <w:left w:w="85" w:type="dxa"/>
              <w:bottom w:w="85" w:type="dxa"/>
              <w:right w:w="85" w:type="dxa"/>
            </w:tcMar>
          </w:tcPr>
          <w:p w14:paraId="461F9437" w14:textId="77777777" w:rsidR="0099110B" w:rsidRPr="00630129" w:rsidRDefault="0099110B" w:rsidP="0099110B">
            <w:pPr>
              <w:rPr>
                <w:sz w:val="22"/>
                <w:szCs w:val="22"/>
              </w:rPr>
            </w:pPr>
            <w:r w:rsidRPr="00630129">
              <w:rPr>
                <w:sz w:val="22"/>
                <w:szCs w:val="22"/>
              </w:rPr>
              <w:t xml:space="preserve">Replacement Reserve Period Instructed Offer Deviation </w:t>
            </w:r>
            <w:proofErr w:type="spellStart"/>
            <w:r w:rsidRPr="00630129">
              <w:rPr>
                <w:sz w:val="22"/>
                <w:szCs w:val="22"/>
              </w:rPr>
              <w:t>Cashflow</w:t>
            </w:r>
            <w:proofErr w:type="spellEnd"/>
          </w:p>
        </w:tc>
        <w:tc>
          <w:tcPr>
            <w:tcW w:w="974" w:type="pct"/>
            <w:tcMar>
              <w:top w:w="85" w:type="dxa"/>
              <w:left w:w="85" w:type="dxa"/>
              <w:bottom w:w="85" w:type="dxa"/>
              <w:right w:w="85" w:type="dxa"/>
            </w:tcMar>
          </w:tcPr>
          <w:p w14:paraId="4485E4AA" w14:textId="77777777" w:rsidR="0099110B" w:rsidRPr="00630129" w:rsidRDefault="0099110B" w:rsidP="0099110B">
            <w:pPr>
              <w:rPr>
                <w:sz w:val="22"/>
                <w:szCs w:val="22"/>
              </w:rPr>
            </w:pPr>
            <w:proofErr w:type="spellStart"/>
            <w:r w:rsidRPr="00630129">
              <w:rPr>
                <w:sz w:val="22"/>
                <w:szCs w:val="22"/>
              </w:rPr>
              <w:t>CDO</w:t>
            </w:r>
            <w:r w:rsidRPr="00630129">
              <w:rPr>
                <w:sz w:val="22"/>
                <w:szCs w:val="22"/>
                <w:vertAlign w:val="subscript"/>
              </w:rPr>
              <w:t>ij</w:t>
            </w:r>
            <w:proofErr w:type="spellEnd"/>
          </w:p>
        </w:tc>
        <w:tc>
          <w:tcPr>
            <w:tcW w:w="492" w:type="pct"/>
            <w:tcMar>
              <w:top w:w="85" w:type="dxa"/>
              <w:left w:w="85" w:type="dxa"/>
              <w:bottom w:w="85" w:type="dxa"/>
              <w:right w:w="85" w:type="dxa"/>
            </w:tcMar>
          </w:tcPr>
          <w:p w14:paraId="5FA21816"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6882E506" w14:textId="77777777" w:rsidR="0099110B" w:rsidRPr="00630129" w:rsidRDefault="0099110B" w:rsidP="0099110B">
            <w:pPr>
              <w:rPr>
                <w:sz w:val="22"/>
                <w:szCs w:val="22"/>
              </w:rPr>
            </w:pPr>
            <w:r w:rsidRPr="00630129">
              <w:rPr>
                <w:sz w:val="22"/>
                <w:szCs w:val="22"/>
              </w:rPr>
              <w:t>The amount determined in accordance with T3.23.1.</w:t>
            </w:r>
          </w:p>
        </w:tc>
      </w:tr>
      <w:tr w:rsidR="0099110B" w:rsidRPr="00630129" w14:paraId="77814F17" w14:textId="77777777" w:rsidTr="00A63BA8">
        <w:trPr>
          <w:cantSplit/>
        </w:trPr>
        <w:tc>
          <w:tcPr>
            <w:tcW w:w="994" w:type="pct"/>
            <w:tcMar>
              <w:top w:w="85" w:type="dxa"/>
              <w:left w:w="85" w:type="dxa"/>
              <w:bottom w:w="85" w:type="dxa"/>
              <w:right w:w="85" w:type="dxa"/>
            </w:tcMar>
          </w:tcPr>
          <w:p w14:paraId="07ADAF9F" w14:textId="77777777" w:rsidR="0099110B" w:rsidRPr="00630129" w:rsidRDefault="0099110B" w:rsidP="0099110B">
            <w:pPr>
              <w:rPr>
                <w:sz w:val="22"/>
                <w:szCs w:val="22"/>
              </w:rPr>
            </w:pPr>
            <w:r w:rsidRPr="00630129">
              <w:rPr>
                <w:sz w:val="22"/>
                <w:szCs w:val="22"/>
              </w:rPr>
              <w:lastRenderedPageBreak/>
              <w:t xml:space="preserve">Replacement Reserve Period Instruction Deviation </w:t>
            </w:r>
            <w:proofErr w:type="spellStart"/>
            <w:r w:rsidRPr="00630129">
              <w:rPr>
                <w:sz w:val="22"/>
                <w:szCs w:val="22"/>
              </w:rPr>
              <w:t>Cashflow</w:t>
            </w:r>
            <w:proofErr w:type="spellEnd"/>
          </w:p>
        </w:tc>
        <w:tc>
          <w:tcPr>
            <w:tcW w:w="974" w:type="pct"/>
            <w:tcMar>
              <w:top w:w="85" w:type="dxa"/>
              <w:left w:w="85" w:type="dxa"/>
              <w:bottom w:w="85" w:type="dxa"/>
              <w:right w:w="85" w:type="dxa"/>
            </w:tcMar>
          </w:tcPr>
          <w:p w14:paraId="2D370C3A" w14:textId="77777777" w:rsidR="0099110B" w:rsidRPr="00630129" w:rsidRDefault="0099110B" w:rsidP="0099110B">
            <w:pPr>
              <w:rPr>
                <w:sz w:val="22"/>
                <w:szCs w:val="22"/>
              </w:rPr>
            </w:pPr>
            <w:proofErr w:type="spellStart"/>
            <w:r w:rsidRPr="00630129">
              <w:rPr>
                <w:sz w:val="22"/>
                <w:szCs w:val="22"/>
              </w:rPr>
              <w:t>CDR</w:t>
            </w:r>
            <w:r w:rsidRPr="00630129">
              <w:rPr>
                <w:sz w:val="22"/>
                <w:szCs w:val="22"/>
                <w:vertAlign w:val="subscript"/>
              </w:rPr>
              <w:t>ij</w:t>
            </w:r>
            <w:proofErr w:type="spellEnd"/>
          </w:p>
        </w:tc>
        <w:tc>
          <w:tcPr>
            <w:tcW w:w="492" w:type="pct"/>
            <w:tcMar>
              <w:top w:w="85" w:type="dxa"/>
              <w:left w:w="85" w:type="dxa"/>
              <w:bottom w:w="85" w:type="dxa"/>
              <w:right w:w="85" w:type="dxa"/>
            </w:tcMar>
          </w:tcPr>
          <w:p w14:paraId="33DCEB85"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3D44125D" w14:textId="77777777" w:rsidR="0099110B" w:rsidRPr="00630129" w:rsidRDefault="0099110B" w:rsidP="0099110B">
            <w:pPr>
              <w:rPr>
                <w:sz w:val="22"/>
                <w:szCs w:val="22"/>
              </w:rPr>
            </w:pPr>
            <w:r w:rsidRPr="00630129">
              <w:rPr>
                <w:sz w:val="22"/>
                <w:szCs w:val="22"/>
              </w:rPr>
              <w:t xml:space="preserve">The </w:t>
            </w:r>
            <w:proofErr w:type="spellStart"/>
            <w:r w:rsidRPr="00630129">
              <w:rPr>
                <w:sz w:val="22"/>
                <w:szCs w:val="22"/>
              </w:rPr>
              <w:t>cashflow</w:t>
            </w:r>
            <w:proofErr w:type="spellEnd"/>
            <w:r w:rsidRPr="00630129">
              <w:rPr>
                <w:sz w:val="22"/>
                <w:szCs w:val="22"/>
              </w:rPr>
              <w:t xml:space="preserve"> determined in accordance with T3.24.1.</w:t>
            </w:r>
          </w:p>
        </w:tc>
      </w:tr>
      <w:tr w:rsidR="0099110B" w:rsidRPr="00630129" w14:paraId="57657BF9" w14:textId="77777777" w:rsidTr="00A63BA8">
        <w:trPr>
          <w:cantSplit/>
        </w:trPr>
        <w:tc>
          <w:tcPr>
            <w:tcW w:w="994" w:type="pct"/>
            <w:tcMar>
              <w:top w:w="85" w:type="dxa"/>
              <w:left w:w="85" w:type="dxa"/>
              <w:bottom w:w="85" w:type="dxa"/>
              <w:right w:w="85" w:type="dxa"/>
            </w:tcMar>
          </w:tcPr>
          <w:p w14:paraId="36C40AA9" w14:textId="77777777" w:rsidR="0099110B" w:rsidRPr="00630129" w:rsidRDefault="0099110B" w:rsidP="0099110B">
            <w:pPr>
              <w:rPr>
                <w:sz w:val="22"/>
                <w:szCs w:val="22"/>
              </w:rPr>
            </w:pPr>
            <w:r w:rsidRPr="00630129">
              <w:rPr>
                <w:sz w:val="22"/>
                <w:szCs w:val="22"/>
              </w:rPr>
              <w:t>Replacement Sell Price</w:t>
            </w:r>
          </w:p>
        </w:tc>
        <w:tc>
          <w:tcPr>
            <w:tcW w:w="974" w:type="pct"/>
            <w:tcMar>
              <w:top w:w="85" w:type="dxa"/>
              <w:left w:w="85" w:type="dxa"/>
              <w:bottom w:w="85" w:type="dxa"/>
              <w:right w:w="85" w:type="dxa"/>
            </w:tcMar>
          </w:tcPr>
          <w:p w14:paraId="19D9BF0D" w14:textId="77777777" w:rsidR="0099110B" w:rsidRPr="00630129" w:rsidRDefault="0099110B" w:rsidP="0099110B">
            <w:pPr>
              <w:rPr>
                <w:sz w:val="22"/>
                <w:szCs w:val="22"/>
              </w:rPr>
            </w:pPr>
            <w:proofErr w:type="spellStart"/>
            <w:r w:rsidRPr="00630129">
              <w:rPr>
                <w:sz w:val="22"/>
                <w:szCs w:val="22"/>
              </w:rPr>
              <w:t>RSP</w:t>
            </w:r>
            <w:r w:rsidRPr="00630129">
              <w:rPr>
                <w:sz w:val="22"/>
                <w:szCs w:val="22"/>
                <w:vertAlign w:val="subscript"/>
              </w:rPr>
              <w:t>j</w:t>
            </w:r>
            <w:proofErr w:type="spellEnd"/>
          </w:p>
        </w:tc>
        <w:tc>
          <w:tcPr>
            <w:tcW w:w="492" w:type="pct"/>
            <w:tcMar>
              <w:top w:w="85" w:type="dxa"/>
              <w:left w:w="85" w:type="dxa"/>
              <w:bottom w:w="85" w:type="dxa"/>
              <w:right w:w="85" w:type="dxa"/>
            </w:tcMar>
          </w:tcPr>
          <w:p w14:paraId="51831E67"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2E32369A" w14:textId="77777777" w:rsidR="0099110B" w:rsidRPr="00630129" w:rsidRDefault="0099110B" w:rsidP="0099110B">
            <w:pPr>
              <w:rPr>
                <w:sz w:val="22"/>
                <w:szCs w:val="22"/>
              </w:rPr>
            </w:pPr>
            <w:r w:rsidRPr="00630129">
              <w:rPr>
                <w:sz w:val="22"/>
                <w:szCs w:val="22"/>
              </w:rPr>
              <w:t>The Replacement Sell Price determined in accordance with paragraph 15 of Part 2 of Annex T-1.</w:t>
            </w:r>
          </w:p>
        </w:tc>
      </w:tr>
      <w:tr w:rsidR="0099110B" w:rsidRPr="00630129" w14:paraId="14E7A89D" w14:textId="77777777" w:rsidTr="00A63BA8">
        <w:trPr>
          <w:cantSplit/>
        </w:trPr>
        <w:tc>
          <w:tcPr>
            <w:tcW w:w="994" w:type="pct"/>
            <w:tcMar>
              <w:top w:w="85" w:type="dxa"/>
              <w:left w:w="85" w:type="dxa"/>
              <w:bottom w:w="85" w:type="dxa"/>
              <w:right w:w="85" w:type="dxa"/>
            </w:tcMar>
          </w:tcPr>
          <w:p w14:paraId="6B51EAFA" w14:textId="77777777" w:rsidR="0099110B" w:rsidRPr="00630129" w:rsidRDefault="0099110B" w:rsidP="0099110B">
            <w:pPr>
              <w:rPr>
                <w:sz w:val="22"/>
                <w:szCs w:val="22"/>
              </w:rPr>
            </w:pPr>
            <w:r w:rsidRPr="00630129">
              <w:rPr>
                <w:sz w:val="22"/>
                <w:szCs w:val="22"/>
              </w:rPr>
              <w:t>Replacement-Priced Ranked Set</w:t>
            </w:r>
          </w:p>
        </w:tc>
        <w:tc>
          <w:tcPr>
            <w:tcW w:w="974" w:type="pct"/>
            <w:tcMar>
              <w:top w:w="85" w:type="dxa"/>
              <w:left w:w="85" w:type="dxa"/>
              <w:bottom w:w="85" w:type="dxa"/>
              <w:right w:w="85" w:type="dxa"/>
            </w:tcMar>
          </w:tcPr>
          <w:p w14:paraId="40B06BC3"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4B22E3E4"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148D89AF" w14:textId="77777777" w:rsidR="0099110B" w:rsidRPr="00630129" w:rsidRDefault="0099110B" w:rsidP="0099110B">
            <w:pPr>
              <w:rPr>
                <w:sz w:val="22"/>
                <w:szCs w:val="22"/>
              </w:rPr>
            </w:pPr>
            <w:r w:rsidRPr="00630129">
              <w:rPr>
                <w:sz w:val="22"/>
                <w:szCs w:val="22"/>
              </w:rPr>
              <w:t>The Replacement-priced Ranked Set as provided in paragraph 10.4 of Part 1 of Annex T-1.</w:t>
            </w:r>
          </w:p>
        </w:tc>
      </w:tr>
      <w:tr w:rsidR="0099110B" w:rsidRPr="00630129" w14:paraId="0E1E68E8"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63C3EB1" w14:textId="77777777" w:rsidR="0099110B" w:rsidRPr="00630129" w:rsidRDefault="0099110B" w:rsidP="0099110B">
            <w:pPr>
              <w:rPr>
                <w:sz w:val="22"/>
                <w:szCs w:val="22"/>
              </w:rPr>
            </w:pPr>
            <w:r w:rsidRPr="00630129">
              <w:rPr>
                <w:sz w:val="22"/>
                <w:szCs w:val="22"/>
              </w:rPr>
              <w:t>Reserve Scarcity Price</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03DD3DC" w14:textId="77777777" w:rsidR="0099110B" w:rsidRPr="00630129" w:rsidRDefault="0099110B" w:rsidP="0099110B">
            <w:pPr>
              <w:rPr>
                <w:sz w:val="22"/>
                <w:szCs w:val="22"/>
              </w:rPr>
            </w:pPr>
            <w:proofErr w:type="spellStart"/>
            <w:r w:rsidRPr="00630129">
              <w:rPr>
                <w:sz w:val="22"/>
                <w:szCs w:val="22"/>
              </w:rPr>
              <w:t>RSVP</w:t>
            </w:r>
            <w:r w:rsidRPr="00630129">
              <w:rPr>
                <w:sz w:val="22"/>
                <w:szCs w:val="22"/>
                <w:vertAlign w:val="subscript"/>
              </w:rPr>
              <w:t>j</w:t>
            </w:r>
            <w:proofErr w:type="spellEnd"/>
            <w:r w:rsidRPr="00630129">
              <w:rPr>
                <w:sz w:val="22"/>
                <w:szCs w:val="22"/>
              </w:rPr>
              <w:t xml:space="preserve"> </w:t>
            </w:r>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EF5644D" w14:textId="77777777" w:rsidR="0099110B" w:rsidRPr="00630129" w:rsidRDefault="0099110B" w:rsidP="0099110B">
            <w:pPr>
              <w:rPr>
                <w:sz w:val="22"/>
                <w:szCs w:val="22"/>
              </w:rPr>
            </w:pPr>
            <w:r w:rsidRPr="00630129">
              <w:rPr>
                <w:sz w:val="22"/>
                <w:szCs w:val="22"/>
              </w:rPr>
              <w:t>£/MWh</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715E5D2" w14:textId="77777777" w:rsidR="0099110B" w:rsidRPr="00630129" w:rsidRDefault="0099110B" w:rsidP="0099110B">
            <w:pPr>
              <w:rPr>
                <w:sz w:val="22"/>
                <w:szCs w:val="22"/>
              </w:rPr>
            </w:pPr>
            <w:r w:rsidRPr="00630129">
              <w:rPr>
                <w:sz w:val="22"/>
                <w:szCs w:val="22"/>
              </w:rPr>
              <w:t>In respect of a Settlement Period, the price determined in accordance with Section T3.13.</w:t>
            </w:r>
          </w:p>
        </w:tc>
      </w:tr>
      <w:tr w:rsidR="0099110B" w:rsidRPr="00630129" w14:paraId="7D1EF068" w14:textId="77777777" w:rsidTr="00A63BA8">
        <w:trPr>
          <w:cantSplit/>
        </w:trPr>
        <w:tc>
          <w:tcPr>
            <w:tcW w:w="994" w:type="pct"/>
            <w:tcMar>
              <w:top w:w="85" w:type="dxa"/>
              <w:left w:w="85" w:type="dxa"/>
              <w:bottom w:w="85" w:type="dxa"/>
              <w:right w:w="85" w:type="dxa"/>
            </w:tcMar>
          </w:tcPr>
          <w:p w14:paraId="3FAB47ED" w14:textId="77777777" w:rsidR="0099110B" w:rsidRPr="00630129" w:rsidRDefault="0099110B" w:rsidP="0099110B">
            <w:pPr>
              <w:rPr>
                <w:sz w:val="22"/>
                <w:szCs w:val="22"/>
              </w:rPr>
            </w:pPr>
            <w:r w:rsidRPr="00630129">
              <w:rPr>
                <w:sz w:val="22"/>
                <w:szCs w:val="22"/>
              </w:rPr>
              <w:t xml:space="preserve">Residual </w:t>
            </w:r>
            <w:proofErr w:type="spellStart"/>
            <w:r w:rsidRPr="00630129">
              <w:rPr>
                <w:sz w:val="22"/>
                <w:szCs w:val="22"/>
              </w:rPr>
              <w:t>Cashflow</w:t>
            </w:r>
            <w:proofErr w:type="spellEnd"/>
            <w:r w:rsidRPr="00630129">
              <w:rPr>
                <w:sz w:val="22"/>
                <w:szCs w:val="22"/>
              </w:rPr>
              <w:t xml:space="preserve"> Reallocation </w:t>
            </w:r>
            <w:proofErr w:type="spellStart"/>
            <w:r w:rsidRPr="00630129">
              <w:rPr>
                <w:sz w:val="22"/>
                <w:szCs w:val="22"/>
              </w:rPr>
              <w:t>Cashflow</w:t>
            </w:r>
            <w:proofErr w:type="spellEnd"/>
          </w:p>
        </w:tc>
        <w:tc>
          <w:tcPr>
            <w:tcW w:w="974" w:type="pct"/>
            <w:tcMar>
              <w:top w:w="85" w:type="dxa"/>
              <w:left w:w="85" w:type="dxa"/>
              <w:bottom w:w="85" w:type="dxa"/>
              <w:right w:w="85" w:type="dxa"/>
            </w:tcMar>
          </w:tcPr>
          <w:p w14:paraId="28F3190E" w14:textId="77777777" w:rsidR="0099110B" w:rsidRPr="00630129" w:rsidRDefault="0099110B" w:rsidP="0099110B">
            <w:pPr>
              <w:rPr>
                <w:sz w:val="22"/>
                <w:szCs w:val="22"/>
              </w:rPr>
            </w:pPr>
            <w:proofErr w:type="spellStart"/>
            <w:r w:rsidRPr="00630129">
              <w:rPr>
                <w:sz w:val="22"/>
                <w:szCs w:val="22"/>
              </w:rPr>
              <w:t>RCRC</w:t>
            </w:r>
            <w:r w:rsidRPr="00630129">
              <w:rPr>
                <w:sz w:val="22"/>
                <w:szCs w:val="22"/>
                <w:vertAlign w:val="subscript"/>
              </w:rPr>
              <w:t>aj</w:t>
            </w:r>
            <w:proofErr w:type="spellEnd"/>
          </w:p>
        </w:tc>
        <w:tc>
          <w:tcPr>
            <w:tcW w:w="492" w:type="pct"/>
            <w:tcMar>
              <w:top w:w="85" w:type="dxa"/>
              <w:left w:w="85" w:type="dxa"/>
              <w:bottom w:w="85" w:type="dxa"/>
              <w:right w:w="85" w:type="dxa"/>
            </w:tcMar>
          </w:tcPr>
          <w:p w14:paraId="1114EC48"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6AB9307D" w14:textId="77777777" w:rsidR="0099110B" w:rsidRPr="00630129" w:rsidRDefault="0099110B" w:rsidP="0099110B">
            <w:pPr>
              <w:spacing w:after="120"/>
              <w:rPr>
                <w:sz w:val="22"/>
                <w:szCs w:val="22"/>
              </w:rPr>
            </w:pPr>
            <w:r w:rsidRPr="00630129">
              <w:rPr>
                <w:sz w:val="22"/>
                <w:szCs w:val="22"/>
              </w:rPr>
              <w:t xml:space="preserve">The </w:t>
            </w:r>
            <w:proofErr w:type="spellStart"/>
            <w:r w:rsidRPr="00630129">
              <w:rPr>
                <w:sz w:val="22"/>
                <w:szCs w:val="22"/>
              </w:rPr>
              <w:t>cashflow</w:t>
            </w:r>
            <w:proofErr w:type="spellEnd"/>
            <w:r w:rsidRPr="00630129">
              <w:rPr>
                <w:sz w:val="22"/>
                <w:szCs w:val="22"/>
              </w:rPr>
              <w:t xml:space="preserve"> determined in accordance with Section T4.10.3.</w:t>
            </w:r>
          </w:p>
          <w:p w14:paraId="5D861D4D" w14:textId="77777777" w:rsidR="0099110B" w:rsidRPr="00630129" w:rsidRDefault="0099110B" w:rsidP="0099110B">
            <w:pPr>
              <w:rPr>
                <w:i/>
                <w:sz w:val="22"/>
                <w:szCs w:val="22"/>
              </w:rPr>
            </w:pPr>
            <w:r w:rsidRPr="00630129">
              <w:rPr>
                <w:i/>
                <w:sz w:val="22"/>
                <w:szCs w:val="22"/>
              </w:rPr>
              <w:t xml:space="preserve">The Residual </w:t>
            </w:r>
            <w:proofErr w:type="spellStart"/>
            <w:r w:rsidRPr="00630129">
              <w:rPr>
                <w:i/>
                <w:sz w:val="22"/>
                <w:szCs w:val="22"/>
              </w:rPr>
              <w:t>Cashflow</w:t>
            </w:r>
            <w:proofErr w:type="spellEnd"/>
            <w:r w:rsidRPr="00630129">
              <w:rPr>
                <w:i/>
                <w:sz w:val="22"/>
                <w:szCs w:val="22"/>
              </w:rPr>
              <w:t xml:space="preserve"> Reallocation </w:t>
            </w:r>
            <w:proofErr w:type="spellStart"/>
            <w:r w:rsidRPr="00630129">
              <w:rPr>
                <w:i/>
                <w:sz w:val="22"/>
                <w:szCs w:val="22"/>
              </w:rPr>
              <w:t>Cashflow</w:t>
            </w:r>
            <w:proofErr w:type="spellEnd"/>
            <w:r w:rsidRPr="00630129">
              <w:rPr>
                <w:i/>
                <w:sz w:val="22"/>
                <w:szCs w:val="22"/>
              </w:rPr>
              <w:t xml:space="preserve"> is the </w:t>
            </w:r>
            <w:proofErr w:type="spellStart"/>
            <w:r w:rsidRPr="00630129">
              <w:rPr>
                <w:i/>
                <w:sz w:val="22"/>
                <w:szCs w:val="22"/>
              </w:rPr>
              <w:t>cashflow</w:t>
            </w:r>
            <w:proofErr w:type="spellEnd"/>
            <w:r w:rsidRPr="00630129">
              <w:rPr>
                <w:i/>
                <w:sz w:val="22"/>
                <w:szCs w:val="22"/>
              </w:rPr>
              <w:t xml:space="preserve"> to Energy Account a in Settlement Period j resulting from the reallocation the Total System Residual </w:t>
            </w:r>
            <w:proofErr w:type="spellStart"/>
            <w:r w:rsidRPr="00630129">
              <w:rPr>
                <w:i/>
                <w:sz w:val="22"/>
                <w:szCs w:val="22"/>
              </w:rPr>
              <w:t>Cashflow</w:t>
            </w:r>
            <w:proofErr w:type="spellEnd"/>
            <w:r w:rsidRPr="00630129">
              <w:rPr>
                <w:i/>
                <w:sz w:val="22"/>
                <w:szCs w:val="22"/>
              </w:rPr>
              <w:t>.</w:t>
            </w:r>
          </w:p>
        </w:tc>
      </w:tr>
      <w:tr w:rsidR="0099110B" w:rsidRPr="00630129" w14:paraId="6D79BE94" w14:textId="77777777" w:rsidTr="00A63BA8">
        <w:trPr>
          <w:cantSplit/>
        </w:trPr>
        <w:tc>
          <w:tcPr>
            <w:tcW w:w="994" w:type="pct"/>
            <w:tcMar>
              <w:top w:w="85" w:type="dxa"/>
              <w:left w:w="85" w:type="dxa"/>
              <w:bottom w:w="85" w:type="dxa"/>
              <w:right w:w="85" w:type="dxa"/>
            </w:tcMar>
          </w:tcPr>
          <w:p w14:paraId="26F9B307" w14:textId="77777777" w:rsidR="0099110B" w:rsidRPr="00630129" w:rsidRDefault="0099110B" w:rsidP="0099110B">
            <w:pPr>
              <w:rPr>
                <w:sz w:val="22"/>
                <w:szCs w:val="22"/>
              </w:rPr>
            </w:pPr>
            <w:r w:rsidRPr="00630129">
              <w:rPr>
                <w:sz w:val="22"/>
                <w:szCs w:val="22"/>
              </w:rPr>
              <w:t xml:space="preserve">Residual </w:t>
            </w:r>
            <w:proofErr w:type="spellStart"/>
            <w:r w:rsidRPr="00630129">
              <w:rPr>
                <w:sz w:val="22"/>
                <w:szCs w:val="22"/>
              </w:rPr>
              <w:t>Cashflow</w:t>
            </w:r>
            <w:proofErr w:type="spellEnd"/>
            <w:r w:rsidRPr="00630129">
              <w:rPr>
                <w:sz w:val="22"/>
                <w:szCs w:val="22"/>
              </w:rPr>
              <w:t xml:space="preserve"> Reallocation Proportion</w:t>
            </w:r>
          </w:p>
        </w:tc>
        <w:tc>
          <w:tcPr>
            <w:tcW w:w="974" w:type="pct"/>
            <w:tcMar>
              <w:top w:w="85" w:type="dxa"/>
              <w:left w:w="85" w:type="dxa"/>
              <w:bottom w:w="85" w:type="dxa"/>
              <w:right w:w="85" w:type="dxa"/>
            </w:tcMar>
          </w:tcPr>
          <w:p w14:paraId="5455E716" w14:textId="77777777" w:rsidR="0099110B" w:rsidRPr="00630129" w:rsidRDefault="0099110B" w:rsidP="0099110B">
            <w:pPr>
              <w:rPr>
                <w:sz w:val="22"/>
                <w:szCs w:val="22"/>
              </w:rPr>
            </w:pPr>
            <w:proofErr w:type="spellStart"/>
            <w:r w:rsidRPr="00630129">
              <w:rPr>
                <w:sz w:val="22"/>
                <w:szCs w:val="22"/>
              </w:rPr>
              <w:t>RCRP</w:t>
            </w:r>
            <w:r w:rsidRPr="00630129">
              <w:rPr>
                <w:sz w:val="22"/>
                <w:szCs w:val="22"/>
                <w:vertAlign w:val="subscript"/>
              </w:rPr>
              <w:t>aj</w:t>
            </w:r>
            <w:proofErr w:type="spellEnd"/>
          </w:p>
        </w:tc>
        <w:tc>
          <w:tcPr>
            <w:tcW w:w="492" w:type="pct"/>
            <w:tcMar>
              <w:top w:w="85" w:type="dxa"/>
              <w:left w:w="85" w:type="dxa"/>
              <w:bottom w:w="85" w:type="dxa"/>
              <w:right w:w="85" w:type="dxa"/>
            </w:tcMar>
          </w:tcPr>
          <w:p w14:paraId="7E8F2522"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54908A01" w14:textId="77777777" w:rsidR="0099110B" w:rsidRPr="00630129" w:rsidRDefault="0099110B" w:rsidP="0099110B">
            <w:pPr>
              <w:spacing w:after="120"/>
              <w:rPr>
                <w:sz w:val="22"/>
                <w:szCs w:val="22"/>
              </w:rPr>
            </w:pPr>
            <w:r w:rsidRPr="00630129">
              <w:rPr>
                <w:sz w:val="22"/>
                <w:szCs w:val="22"/>
              </w:rPr>
              <w:t>The proportion determined in accordance with Section T4.10.2.</w:t>
            </w:r>
          </w:p>
          <w:p w14:paraId="480B1D8E" w14:textId="77777777" w:rsidR="0099110B" w:rsidRPr="00630129" w:rsidRDefault="0099110B" w:rsidP="0099110B">
            <w:pPr>
              <w:rPr>
                <w:i/>
                <w:sz w:val="22"/>
                <w:szCs w:val="22"/>
              </w:rPr>
            </w:pPr>
            <w:r w:rsidRPr="00630129">
              <w:rPr>
                <w:i/>
                <w:sz w:val="22"/>
                <w:szCs w:val="22"/>
              </w:rPr>
              <w:t xml:space="preserve">The Residual </w:t>
            </w:r>
            <w:proofErr w:type="spellStart"/>
            <w:r w:rsidRPr="00630129">
              <w:rPr>
                <w:i/>
                <w:sz w:val="22"/>
                <w:szCs w:val="22"/>
              </w:rPr>
              <w:t>Cashflow</w:t>
            </w:r>
            <w:proofErr w:type="spellEnd"/>
            <w:r w:rsidRPr="00630129">
              <w:rPr>
                <w:i/>
                <w:sz w:val="22"/>
                <w:szCs w:val="22"/>
              </w:rPr>
              <w:t xml:space="preserve"> Reallocation Proportion is a fraction expressing the proportion of the Total System Residual </w:t>
            </w:r>
            <w:proofErr w:type="spellStart"/>
            <w:r w:rsidRPr="00630129">
              <w:rPr>
                <w:i/>
                <w:sz w:val="22"/>
                <w:szCs w:val="22"/>
              </w:rPr>
              <w:t>Cashflow</w:t>
            </w:r>
            <w:proofErr w:type="spellEnd"/>
            <w:r w:rsidRPr="00630129">
              <w:rPr>
                <w:i/>
                <w:sz w:val="22"/>
                <w:szCs w:val="22"/>
              </w:rPr>
              <w:t xml:space="preserve"> to be allocated to Energy Account a in Settlement Period j.</w:t>
            </w:r>
          </w:p>
        </w:tc>
      </w:tr>
      <w:tr w:rsidR="0099110B" w:rsidRPr="00630129" w14:paraId="7C894E02" w14:textId="77777777" w:rsidTr="00A63BA8">
        <w:trPr>
          <w:cantSplit/>
        </w:trPr>
        <w:tc>
          <w:tcPr>
            <w:tcW w:w="994" w:type="pct"/>
            <w:tcMar>
              <w:top w:w="85" w:type="dxa"/>
              <w:left w:w="85" w:type="dxa"/>
              <w:bottom w:w="85" w:type="dxa"/>
              <w:right w:w="85" w:type="dxa"/>
            </w:tcMar>
          </w:tcPr>
          <w:p w14:paraId="7291267A" w14:textId="77777777" w:rsidR="0099110B" w:rsidRPr="00630129" w:rsidRDefault="0099110B" w:rsidP="0099110B">
            <w:pPr>
              <w:rPr>
                <w:sz w:val="22"/>
                <w:szCs w:val="22"/>
              </w:rPr>
            </w:pPr>
            <w:r w:rsidRPr="00630129">
              <w:rPr>
                <w:sz w:val="22"/>
                <w:szCs w:val="22"/>
              </w:rPr>
              <w:t>RR Schedule</w:t>
            </w:r>
          </w:p>
        </w:tc>
        <w:tc>
          <w:tcPr>
            <w:tcW w:w="974" w:type="pct"/>
            <w:tcMar>
              <w:top w:w="85" w:type="dxa"/>
              <w:left w:w="85" w:type="dxa"/>
              <w:bottom w:w="85" w:type="dxa"/>
              <w:right w:w="85" w:type="dxa"/>
            </w:tcMar>
          </w:tcPr>
          <w:p w14:paraId="457E1A1F"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11BCDE39"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15A5E4B6" w14:textId="77777777" w:rsidR="0099110B" w:rsidRPr="00630129" w:rsidRDefault="0099110B" w:rsidP="0099110B">
            <w:pPr>
              <w:spacing w:after="120"/>
              <w:rPr>
                <w:sz w:val="22"/>
                <w:szCs w:val="22"/>
              </w:rPr>
            </w:pPr>
            <w:r w:rsidRPr="00630129">
              <w:rPr>
                <w:sz w:val="22"/>
                <w:szCs w:val="22"/>
              </w:rPr>
              <w:t>A MW profile constructed by the SAA that provides a baseline for RR Activations with ramping considerations.</w:t>
            </w:r>
          </w:p>
          <w:p w14:paraId="1843CFD8" w14:textId="77777777" w:rsidR="0099110B" w:rsidRPr="00630129" w:rsidRDefault="0099110B" w:rsidP="0099110B">
            <w:pPr>
              <w:rPr>
                <w:sz w:val="22"/>
                <w:szCs w:val="22"/>
              </w:rPr>
            </w:pPr>
            <w:r w:rsidRPr="00630129">
              <w:rPr>
                <w:i/>
                <w:sz w:val="22"/>
                <w:szCs w:val="22"/>
              </w:rPr>
              <w:t>This MW profile is processed by Settlement in the same way as Bid-Offer Acceptance but not settled under Bid-Offer Prices.</w:t>
            </w:r>
          </w:p>
        </w:tc>
      </w:tr>
      <w:tr w:rsidR="0099110B" w:rsidRPr="00630129" w14:paraId="013070EE" w14:textId="77777777" w:rsidTr="00A63BA8">
        <w:trPr>
          <w:cantSplit/>
        </w:trPr>
        <w:tc>
          <w:tcPr>
            <w:tcW w:w="994" w:type="pct"/>
            <w:tcMar>
              <w:top w:w="85" w:type="dxa"/>
              <w:left w:w="85" w:type="dxa"/>
              <w:bottom w:w="85" w:type="dxa"/>
              <w:right w:w="85" w:type="dxa"/>
            </w:tcMar>
          </w:tcPr>
          <w:p w14:paraId="3A8299F0" w14:textId="77777777" w:rsidR="0099110B" w:rsidRPr="00630129" w:rsidRDefault="0099110B" w:rsidP="0099110B">
            <w:pPr>
              <w:rPr>
                <w:sz w:val="22"/>
                <w:szCs w:val="22"/>
              </w:rPr>
            </w:pPr>
            <w:r w:rsidRPr="00630129">
              <w:rPr>
                <w:sz w:val="22"/>
                <w:szCs w:val="22"/>
              </w:rPr>
              <w:t>Run-Down Rate(s)</w:t>
            </w:r>
          </w:p>
        </w:tc>
        <w:tc>
          <w:tcPr>
            <w:tcW w:w="974" w:type="pct"/>
            <w:tcMar>
              <w:top w:w="85" w:type="dxa"/>
              <w:left w:w="85" w:type="dxa"/>
              <w:bottom w:w="85" w:type="dxa"/>
              <w:right w:w="85" w:type="dxa"/>
            </w:tcMar>
          </w:tcPr>
          <w:p w14:paraId="3F5865BA"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3D436CBC"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5EAF2BCE" w14:textId="77777777" w:rsidR="0099110B" w:rsidRPr="00630129" w:rsidRDefault="0099110B" w:rsidP="0099110B">
            <w:pPr>
              <w:rPr>
                <w:sz w:val="22"/>
                <w:szCs w:val="22"/>
              </w:rPr>
            </w:pPr>
            <w:r w:rsidRPr="00630129">
              <w:rPr>
                <w:sz w:val="22"/>
                <w:szCs w:val="22"/>
              </w:rPr>
              <w:t>Has the meaning given to that term in BC1 of the Grid Code.</w:t>
            </w:r>
          </w:p>
        </w:tc>
      </w:tr>
      <w:tr w:rsidR="0099110B" w:rsidRPr="00630129" w14:paraId="32CF48A6" w14:textId="77777777" w:rsidTr="00A63BA8">
        <w:trPr>
          <w:cantSplit/>
        </w:trPr>
        <w:tc>
          <w:tcPr>
            <w:tcW w:w="994" w:type="pct"/>
            <w:tcMar>
              <w:top w:w="85" w:type="dxa"/>
              <w:left w:w="85" w:type="dxa"/>
              <w:bottom w:w="85" w:type="dxa"/>
              <w:right w:w="85" w:type="dxa"/>
            </w:tcMar>
          </w:tcPr>
          <w:p w14:paraId="3A690DF0" w14:textId="77777777" w:rsidR="0099110B" w:rsidRPr="00630129" w:rsidRDefault="0099110B" w:rsidP="0099110B">
            <w:pPr>
              <w:rPr>
                <w:sz w:val="22"/>
                <w:szCs w:val="22"/>
              </w:rPr>
            </w:pPr>
            <w:r w:rsidRPr="00630129">
              <w:rPr>
                <w:sz w:val="22"/>
                <w:szCs w:val="22"/>
              </w:rPr>
              <w:t>Run-Up Rate(s)</w:t>
            </w:r>
          </w:p>
        </w:tc>
        <w:tc>
          <w:tcPr>
            <w:tcW w:w="974" w:type="pct"/>
            <w:tcMar>
              <w:top w:w="85" w:type="dxa"/>
              <w:left w:w="85" w:type="dxa"/>
              <w:bottom w:w="85" w:type="dxa"/>
              <w:right w:w="85" w:type="dxa"/>
            </w:tcMar>
          </w:tcPr>
          <w:p w14:paraId="6B4881DC"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57AAB9C6"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4BA5CDA6" w14:textId="77777777" w:rsidR="0099110B" w:rsidRPr="00630129" w:rsidRDefault="0099110B" w:rsidP="0099110B">
            <w:pPr>
              <w:rPr>
                <w:sz w:val="22"/>
                <w:szCs w:val="22"/>
              </w:rPr>
            </w:pPr>
            <w:r w:rsidRPr="00630129">
              <w:rPr>
                <w:sz w:val="22"/>
                <w:szCs w:val="22"/>
              </w:rPr>
              <w:t>Has the meaning given to that term in BC1 of the Grid Code.</w:t>
            </w:r>
          </w:p>
        </w:tc>
      </w:tr>
      <w:tr w:rsidR="0099110B" w:rsidRPr="00630129" w14:paraId="63887C68" w14:textId="77777777" w:rsidTr="00A63BA8">
        <w:trPr>
          <w:cantSplit/>
        </w:trPr>
        <w:tc>
          <w:tcPr>
            <w:tcW w:w="994" w:type="pct"/>
            <w:tcMar>
              <w:top w:w="85" w:type="dxa"/>
              <w:left w:w="85" w:type="dxa"/>
              <w:bottom w:w="85" w:type="dxa"/>
              <w:right w:w="85" w:type="dxa"/>
            </w:tcMar>
          </w:tcPr>
          <w:p w14:paraId="5522DEFF" w14:textId="150276A8" w:rsidR="0099110B" w:rsidRPr="00630129" w:rsidRDefault="0099110B" w:rsidP="0099110B">
            <w:pPr>
              <w:rPr>
                <w:sz w:val="22"/>
                <w:szCs w:val="22"/>
              </w:rPr>
            </w:pPr>
            <w:r w:rsidRPr="00CA017C">
              <w:rPr>
                <w:sz w:val="22"/>
                <w:szCs w:val="22"/>
              </w:rPr>
              <w:t>Secondary BM Unit AMSID Pair Data</w:t>
            </w:r>
          </w:p>
        </w:tc>
        <w:tc>
          <w:tcPr>
            <w:tcW w:w="974" w:type="pct"/>
            <w:tcMar>
              <w:top w:w="85" w:type="dxa"/>
              <w:left w:w="85" w:type="dxa"/>
              <w:bottom w:w="85" w:type="dxa"/>
              <w:right w:w="85" w:type="dxa"/>
            </w:tcMar>
          </w:tcPr>
          <w:p w14:paraId="35D1BC8C"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4A3B0D84"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568265CE" w14:textId="77777777" w:rsidR="0099110B" w:rsidRPr="00630129" w:rsidRDefault="0099110B" w:rsidP="0099110B">
            <w:pPr>
              <w:rPr>
                <w:sz w:val="22"/>
                <w:szCs w:val="22"/>
              </w:rPr>
            </w:pPr>
            <w:r w:rsidRPr="00FC0D03">
              <w:rPr>
                <w:sz w:val="22"/>
                <w:szCs w:val="22"/>
              </w:rPr>
              <w:t>Has the meaning given to that te</w:t>
            </w:r>
            <w:r>
              <w:rPr>
                <w:sz w:val="22"/>
                <w:szCs w:val="22"/>
              </w:rPr>
              <w:t>rm in Section S paragraph 10.1A</w:t>
            </w:r>
          </w:p>
        </w:tc>
      </w:tr>
      <w:tr w:rsidR="0099110B" w:rsidRPr="00630129" w14:paraId="24B42CC7" w14:textId="77777777" w:rsidTr="00A63BA8">
        <w:trPr>
          <w:cantSplit/>
        </w:trPr>
        <w:tc>
          <w:tcPr>
            <w:tcW w:w="994" w:type="pct"/>
            <w:tcMar>
              <w:top w:w="85" w:type="dxa"/>
              <w:left w:w="85" w:type="dxa"/>
              <w:bottom w:w="85" w:type="dxa"/>
              <w:right w:w="85" w:type="dxa"/>
            </w:tcMar>
          </w:tcPr>
          <w:p w14:paraId="06198331" w14:textId="77777777" w:rsidR="0099110B" w:rsidRPr="00630129" w:rsidRDefault="0099110B" w:rsidP="0099110B">
            <w:pPr>
              <w:rPr>
                <w:sz w:val="22"/>
                <w:szCs w:val="22"/>
              </w:rPr>
            </w:pPr>
            <w:r w:rsidRPr="00630129">
              <w:rPr>
                <w:sz w:val="22"/>
                <w:szCs w:val="22"/>
              </w:rPr>
              <w:t>Secondary BM Unit Delivered Volume</w:t>
            </w:r>
          </w:p>
        </w:tc>
        <w:tc>
          <w:tcPr>
            <w:tcW w:w="974" w:type="pct"/>
            <w:tcMar>
              <w:top w:w="85" w:type="dxa"/>
              <w:left w:w="85" w:type="dxa"/>
              <w:bottom w:w="85" w:type="dxa"/>
              <w:right w:w="85" w:type="dxa"/>
            </w:tcMar>
          </w:tcPr>
          <w:p w14:paraId="1BCAA760" w14:textId="77777777" w:rsidR="0099110B" w:rsidRPr="00630129" w:rsidRDefault="0099110B" w:rsidP="0099110B">
            <w:pPr>
              <w:rPr>
                <w:sz w:val="22"/>
                <w:szCs w:val="22"/>
              </w:rPr>
            </w:pPr>
            <w:r w:rsidRPr="00630129">
              <w:rPr>
                <w:sz w:val="22"/>
                <w:szCs w:val="22"/>
              </w:rPr>
              <w:t>QVBMD</w:t>
            </w:r>
            <w:r w:rsidRPr="00630129">
              <w:rPr>
                <w:sz w:val="22"/>
                <w:szCs w:val="22"/>
                <w:vertAlign w:val="subscript"/>
              </w:rPr>
              <w:t>i2NKji</w:t>
            </w:r>
          </w:p>
        </w:tc>
        <w:tc>
          <w:tcPr>
            <w:tcW w:w="492" w:type="pct"/>
            <w:tcMar>
              <w:top w:w="85" w:type="dxa"/>
              <w:left w:w="85" w:type="dxa"/>
              <w:bottom w:w="85" w:type="dxa"/>
              <w:right w:w="85" w:type="dxa"/>
            </w:tcMar>
          </w:tcPr>
          <w:p w14:paraId="4883C6AC"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02698230" w14:textId="77777777" w:rsidR="0099110B" w:rsidRPr="00630129" w:rsidRDefault="0099110B" w:rsidP="0099110B">
            <w:pPr>
              <w:rPr>
                <w:sz w:val="22"/>
                <w:szCs w:val="22"/>
              </w:rPr>
            </w:pPr>
            <w:r w:rsidRPr="00630129">
              <w:rPr>
                <w:sz w:val="22"/>
                <w:szCs w:val="22"/>
              </w:rPr>
              <w:t>The quantity determined in accordance with 7.1.1D Annex S-2.</w:t>
            </w:r>
          </w:p>
        </w:tc>
      </w:tr>
      <w:tr w:rsidR="0099110B" w:rsidRPr="00630129" w14:paraId="5246F394" w14:textId="77777777" w:rsidTr="00A63BA8">
        <w:trPr>
          <w:cantSplit/>
        </w:trPr>
        <w:tc>
          <w:tcPr>
            <w:tcW w:w="994" w:type="pct"/>
            <w:tcMar>
              <w:top w:w="85" w:type="dxa"/>
              <w:left w:w="85" w:type="dxa"/>
              <w:bottom w:w="85" w:type="dxa"/>
              <w:right w:w="85" w:type="dxa"/>
            </w:tcMar>
          </w:tcPr>
          <w:p w14:paraId="2F2690C2" w14:textId="77777777" w:rsidR="0099110B" w:rsidRPr="00630129" w:rsidRDefault="0099110B" w:rsidP="0099110B">
            <w:pPr>
              <w:rPr>
                <w:sz w:val="22"/>
                <w:szCs w:val="22"/>
              </w:rPr>
            </w:pPr>
            <w:r w:rsidRPr="00630129">
              <w:rPr>
                <w:sz w:val="22"/>
                <w:szCs w:val="22"/>
              </w:rPr>
              <w:lastRenderedPageBreak/>
              <w:t>Secondary BM Unit Supplier Delivered Volume</w:t>
            </w:r>
          </w:p>
        </w:tc>
        <w:tc>
          <w:tcPr>
            <w:tcW w:w="974" w:type="pct"/>
            <w:tcMar>
              <w:top w:w="85" w:type="dxa"/>
              <w:left w:w="85" w:type="dxa"/>
              <w:bottom w:w="85" w:type="dxa"/>
              <w:right w:w="85" w:type="dxa"/>
            </w:tcMar>
          </w:tcPr>
          <w:p w14:paraId="758C3160" w14:textId="77777777" w:rsidR="0099110B" w:rsidRPr="00630129" w:rsidRDefault="0099110B" w:rsidP="0099110B">
            <w:pPr>
              <w:rPr>
                <w:sz w:val="22"/>
                <w:szCs w:val="22"/>
              </w:rPr>
            </w:pPr>
            <w:r w:rsidRPr="00630129">
              <w:rPr>
                <w:sz w:val="22"/>
                <w:szCs w:val="22"/>
              </w:rPr>
              <w:t>VBMUSDV</w:t>
            </w:r>
            <w:r w:rsidRPr="00630129">
              <w:rPr>
                <w:sz w:val="22"/>
                <w:szCs w:val="22"/>
                <w:vertAlign w:val="subscript"/>
              </w:rPr>
              <w:t>i2ji</w:t>
            </w:r>
          </w:p>
        </w:tc>
        <w:tc>
          <w:tcPr>
            <w:tcW w:w="492" w:type="pct"/>
            <w:tcMar>
              <w:top w:w="85" w:type="dxa"/>
              <w:left w:w="85" w:type="dxa"/>
              <w:bottom w:w="85" w:type="dxa"/>
              <w:right w:w="85" w:type="dxa"/>
            </w:tcMar>
          </w:tcPr>
          <w:p w14:paraId="1E4F13FB"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5ABE516F" w14:textId="77777777" w:rsidR="0099110B" w:rsidRPr="00630129" w:rsidRDefault="0099110B" w:rsidP="0099110B">
            <w:pPr>
              <w:rPr>
                <w:sz w:val="22"/>
                <w:szCs w:val="22"/>
              </w:rPr>
            </w:pPr>
            <w:r w:rsidRPr="00630129">
              <w:rPr>
                <w:sz w:val="22"/>
                <w:szCs w:val="22"/>
              </w:rPr>
              <w:t>The Secondary BM Unit half hourly Supplier Delivered Volumes determined by the SVAA pursuant to paragraph 9.6.1C of Annex S-2.</w:t>
            </w:r>
          </w:p>
        </w:tc>
      </w:tr>
      <w:tr w:rsidR="0099110B" w:rsidRPr="00630129" w14:paraId="1051DCC2" w14:textId="77777777" w:rsidTr="00A63BA8">
        <w:trPr>
          <w:cantSplit/>
        </w:trPr>
        <w:tc>
          <w:tcPr>
            <w:tcW w:w="994" w:type="pct"/>
            <w:tcMar>
              <w:top w:w="85" w:type="dxa"/>
              <w:left w:w="85" w:type="dxa"/>
              <w:bottom w:w="85" w:type="dxa"/>
              <w:right w:w="85" w:type="dxa"/>
            </w:tcMar>
          </w:tcPr>
          <w:p w14:paraId="06FB4FF5" w14:textId="77777777" w:rsidR="0099110B" w:rsidRPr="00630129" w:rsidRDefault="0099110B" w:rsidP="0099110B">
            <w:pPr>
              <w:rPr>
                <w:sz w:val="22"/>
                <w:szCs w:val="22"/>
              </w:rPr>
            </w:pPr>
            <w:r w:rsidRPr="00630129">
              <w:rPr>
                <w:sz w:val="22"/>
                <w:szCs w:val="22"/>
              </w:rPr>
              <w:t>Second-Stage Flagged</w:t>
            </w:r>
          </w:p>
        </w:tc>
        <w:tc>
          <w:tcPr>
            <w:tcW w:w="974" w:type="pct"/>
            <w:tcMar>
              <w:top w:w="85" w:type="dxa"/>
              <w:left w:w="85" w:type="dxa"/>
              <w:bottom w:w="85" w:type="dxa"/>
              <w:right w:w="85" w:type="dxa"/>
            </w:tcMar>
          </w:tcPr>
          <w:p w14:paraId="72371FA6"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47C6259B"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179D805B" w14:textId="77777777" w:rsidR="0099110B" w:rsidRPr="00630129" w:rsidRDefault="0099110B" w:rsidP="0099110B">
            <w:pPr>
              <w:rPr>
                <w:sz w:val="22"/>
                <w:szCs w:val="22"/>
              </w:rPr>
            </w:pPr>
            <w:r w:rsidRPr="00630129">
              <w:rPr>
                <w:sz w:val="22"/>
                <w:szCs w:val="22"/>
              </w:rPr>
              <w:t>Second-Stage Flagged in accordance with paragraph 8 of Part 1 of Annex T-1.</w:t>
            </w:r>
          </w:p>
        </w:tc>
      </w:tr>
      <w:tr w:rsidR="0099110B" w:rsidRPr="00630129" w14:paraId="25F1DF13" w14:textId="77777777" w:rsidTr="00A63BA8">
        <w:trPr>
          <w:cantSplit/>
        </w:trPr>
        <w:tc>
          <w:tcPr>
            <w:tcW w:w="994" w:type="pct"/>
            <w:tcMar>
              <w:top w:w="85" w:type="dxa"/>
              <w:left w:w="85" w:type="dxa"/>
              <w:bottom w:w="85" w:type="dxa"/>
              <w:right w:w="85" w:type="dxa"/>
            </w:tcMar>
          </w:tcPr>
          <w:p w14:paraId="2F8EACB5" w14:textId="77777777" w:rsidR="0099110B" w:rsidRPr="00630129" w:rsidRDefault="0099110B" w:rsidP="0099110B">
            <w:pPr>
              <w:rPr>
                <w:sz w:val="22"/>
                <w:szCs w:val="22"/>
              </w:rPr>
            </w:pPr>
            <w:r w:rsidRPr="00630129">
              <w:rPr>
                <w:sz w:val="22"/>
                <w:szCs w:val="22"/>
              </w:rPr>
              <w:t xml:space="preserve">Sell Price </w:t>
            </w:r>
            <w:proofErr w:type="spellStart"/>
            <w:r w:rsidRPr="00630129">
              <w:rPr>
                <w:sz w:val="22"/>
                <w:szCs w:val="22"/>
              </w:rPr>
              <w:t>Price</w:t>
            </w:r>
            <w:proofErr w:type="spellEnd"/>
            <w:r w:rsidRPr="00630129">
              <w:rPr>
                <w:sz w:val="22"/>
                <w:szCs w:val="22"/>
              </w:rPr>
              <w:t xml:space="preserve"> Adjustment</w:t>
            </w:r>
          </w:p>
        </w:tc>
        <w:tc>
          <w:tcPr>
            <w:tcW w:w="974" w:type="pct"/>
            <w:tcMar>
              <w:top w:w="85" w:type="dxa"/>
              <w:left w:w="85" w:type="dxa"/>
              <w:bottom w:w="85" w:type="dxa"/>
              <w:right w:w="85" w:type="dxa"/>
            </w:tcMar>
          </w:tcPr>
          <w:p w14:paraId="0F84785E" w14:textId="77777777" w:rsidR="0099110B" w:rsidRPr="00630129" w:rsidRDefault="0099110B" w:rsidP="0099110B">
            <w:pPr>
              <w:rPr>
                <w:sz w:val="22"/>
                <w:szCs w:val="22"/>
              </w:rPr>
            </w:pPr>
            <w:proofErr w:type="spellStart"/>
            <w:r w:rsidRPr="00630129">
              <w:rPr>
                <w:sz w:val="22"/>
                <w:szCs w:val="22"/>
              </w:rPr>
              <w:t>SPAj</w:t>
            </w:r>
            <w:proofErr w:type="spellEnd"/>
          </w:p>
        </w:tc>
        <w:tc>
          <w:tcPr>
            <w:tcW w:w="492" w:type="pct"/>
            <w:tcMar>
              <w:top w:w="85" w:type="dxa"/>
              <w:left w:w="85" w:type="dxa"/>
              <w:bottom w:w="85" w:type="dxa"/>
              <w:right w:w="85" w:type="dxa"/>
            </w:tcMar>
          </w:tcPr>
          <w:p w14:paraId="680A751A"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743B672B" w14:textId="77777777" w:rsidR="0099110B" w:rsidRPr="00630129" w:rsidRDefault="0099110B" w:rsidP="0099110B">
            <w:pPr>
              <w:rPr>
                <w:sz w:val="22"/>
                <w:szCs w:val="22"/>
              </w:rPr>
            </w:pPr>
            <w:r w:rsidRPr="00630129">
              <w:rPr>
                <w:sz w:val="22"/>
                <w:szCs w:val="22"/>
              </w:rPr>
              <w:t xml:space="preserve">The amount sent by the NETSO as the ‘Sell Price </w:t>
            </w:r>
            <w:proofErr w:type="spellStart"/>
            <w:r w:rsidRPr="00630129">
              <w:rPr>
                <w:sz w:val="22"/>
                <w:szCs w:val="22"/>
              </w:rPr>
              <w:t>Price</w:t>
            </w:r>
            <w:proofErr w:type="spellEnd"/>
            <w:r w:rsidRPr="00630129">
              <w:rPr>
                <w:sz w:val="22"/>
                <w:szCs w:val="22"/>
              </w:rPr>
              <w:t xml:space="preserve"> Adjustment’ in accordance with Section Q6.3.</w:t>
            </w:r>
          </w:p>
        </w:tc>
      </w:tr>
      <w:tr w:rsidR="0099110B" w:rsidRPr="00630129" w14:paraId="312F3401" w14:textId="77777777" w:rsidTr="00670A3A">
        <w:trPr>
          <w:cantSplit/>
          <w:ins w:id="16" w:author="Aditi Tulpule" w:date="2021-02-24T16:16:00Z"/>
        </w:trPr>
        <w:tc>
          <w:tcPr>
            <w:tcW w:w="994" w:type="pct"/>
            <w:tcMar>
              <w:top w:w="85" w:type="dxa"/>
              <w:left w:w="85" w:type="dxa"/>
              <w:bottom w:w="85" w:type="dxa"/>
              <w:right w:w="85" w:type="dxa"/>
            </w:tcMar>
          </w:tcPr>
          <w:p w14:paraId="0E5EB8DF" w14:textId="37A4115C" w:rsidR="0099110B" w:rsidRPr="00630129" w:rsidRDefault="0099110B" w:rsidP="0099110B">
            <w:pPr>
              <w:rPr>
                <w:ins w:id="17" w:author="Aditi Tulpule" w:date="2021-02-24T16:16:00Z"/>
                <w:sz w:val="22"/>
                <w:szCs w:val="22"/>
              </w:rPr>
            </w:pPr>
            <w:ins w:id="18" w:author="Aditi Tulpule" w:date="2021-02-24T16:16:00Z">
              <w:r>
                <w:rPr>
                  <w:sz w:val="22"/>
                  <w:szCs w:val="22"/>
                </w:rPr>
                <w:t>[P376]Settlement Expected Volumes</w:t>
              </w:r>
            </w:ins>
          </w:p>
        </w:tc>
        <w:tc>
          <w:tcPr>
            <w:tcW w:w="974" w:type="pct"/>
            <w:tcMar>
              <w:top w:w="85" w:type="dxa"/>
              <w:left w:w="85" w:type="dxa"/>
              <w:bottom w:w="85" w:type="dxa"/>
              <w:right w:w="85" w:type="dxa"/>
            </w:tcMar>
          </w:tcPr>
          <w:p w14:paraId="62E6EAA6" w14:textId="77777777" w:rsidR="0099110B" w:rsidRPr="00630129" w:rsidRDefault="0099110B" w:rsidP="0099110B">
            <w:pPr>
              <w:rPr>
                <w:ins w:id="19" w:author="Aditi Tulpule" w:date="2021-02-24T16:16:00Z"/>
                <w:sz w:val="22"/>
                <w:szCs w:val="22"/>
              </w:rPr>
            </w:pPr>
            <w:ins w:id="20" w:author="Aditi Tulpule" w:date="2021-02-24T16:16:00Z">
              <w:r>
                <w:rPr>
                  <w:sz w:val="22"/>
                  <w:szCs w:val="22"/>
                </w:rPr>
                <w:t>SEV</w:t>
              </w:r>
            </w:ins>
          </w:p>
        </w:tc>
        <w:tc>
          <w:tcPr>
            <w:tcW w:w="492" w:type="pct"/>
            <w:tcMar>
              <w:top w:w="85" w:type="dxa"/>
              <w:left w:w="85" w:type="dxa"/>
              <w:bottom w:w="85" w:type="dxa"/>
              <w:right w:w="85" w:type="dxa"/>
            </w:tcMar>
          </w:tcPr>
          <w:p w14:paraId="4FC4BF84" w14:textId="77777777" w:rsidR="0099110B" w:rsidRPr="00630129" w:rsidRDefault="0099110B" w:rsidP="0099110B">
            <w:pPr>
              <w:rPr>
                <w:ins w:id="21" w:author="Aditi Tulpule" w:date="2021-02-24T16:16:00Z"/>
                <w:sz w:val="22"/>
                <w:szCs w:val="22"/>
              </w:rPr>
            </w:pPr>
            <w:ins w:id="22" w:author="Aditi Tulpule" w:date="2021-02-24T16:16:00Z">
              <w:r>
                <w:rPr>
                  <w:sz w:val="22"/>
                  <w:szCs w:val="22"/>
                </w:rPr>
                <w:t>MWh</w:t>
              </w:r>
            </w:ins>
          </w:p>
        </w:tc>
        <w:tc>
          <w:tcPr>
            <w:tcW w:w="2540" w:type="pct"/>
            <w:tcMar>
              <w:top w:w="85" w:type="dxa"/>
              <w:left w:w="85" w:type="dxa"/>
              <w:bottom w:w="85" w:type="dxa"/>
              <w:right w:w="85" w:type="dxa"/>
            </w:tcMar>
          </w:tcPr>
          <w:p w14:paraId="49F4034B" w14:textId="77777777" w:rsidR="0099110B" w:rsidRPr="00630129" w:rsidRDefault="0099110B" w:rsidP="0099110B">
            <w:pPr>
              <w:rPr>
                <w:ins w:id="23" w:author="Aditi Tulpule" w:date="2021-02-24T16:16:00Z"/>
                <w:sz w:val="22"/>
                <w:szCs w:val="22"/>
              </w:rPr>
            </w:pPr>
            <w:ins w:id="24" w:author="Aditi Tulpule" w:date="2021-02-24T16:16:00Z">
              <w:r w:rsidRPr="00630129">
                <w:rPr>
                  <w:sz w:val="22"/>
                  <w:szCs w:val="22"/>
                </w:rPr>
                <w:t>The quantity determined in accordance with 7.</w:t>
              </w:r>
              <w:r>
                <w:rPr>
                  <w:sz w:val="22"/>
                  <w:szCs w:val="22"/>
                </w:rPr>
                <w:t>3</w:t>
              </w:r>
              <w:r w:rsidRPr="00630129">
                <w:rPr>
                  <w:sz w:val="22"/>
                  <w:szCs w:val="22"/>
                </w:rPr>
                <w:t>.</w:t>
              </w:r>
              <w:r>
                <w:rPr>
                  <w:sz w:val="22"/>
                  <w:szCs w:val="22"/>
                </w:rPr>
                <w:t>5</w:t>
              </w:r>
              <w:r w:rsidRPr="00630129">
                <w:rPr>
                  <w:sz w:val="22"/>
                  <w:szCs w:val="22"/>
                </w:rPr>
                <w:t xml:space="preserve"> Annex S-2.</w:t>
              </w:r>
            </w:ins>
          </w:p>
        </w:tc>
      </w:tr>
      <w:tr w:rsidR="0099110B" w:rsidRPr="00630129" w14:paraId="4979E6C7" w14:textId="77777777" w:rsidTr="00A63BA8">
        <w:trPr>
          <w:cantSplit/>
        </w:trPr>
        <w:tc>
          <w:tcPr>
            <w:tcW w:w="994" w:type="pct"/>
            <w:tcMar>
              <w:top w:w="85" w:type="dxa"/>
              <w:left w:w="85" w:type="dxa"/>
              <w:bottom w:w="85" w:type="dxa"/>
              <w:right w:w="85" w:type="dxa"/>
            </w:tcMar>
          </w:tcPr>
          <w:p w14:paraId="4B079885" w14:textId="77777777" w:rsidR="0099110B" w:rsidRPr="00630129" w:rsidRDefault="0099110B" w:rsidP="0099110B">
            <w:pPr>
              <w:rPr>
                <w:sz w:val="22"/>
                <w:szCs w:val="22"/>
              </w:rPr>
            </w:pPr>
            <w:r w:rsidRPr="00630129">
              <w:rPr>
                <w:sz w:val="22"/>
                <w:szCs w:val="22"/>
              </w:rPr>
              <w:t>Settlement Period</w:t>
            </w:r>
          </w:p>
        </w:tc>
        <w:tc>
          <w:tcPr>
            <w:tcW w:w="974" w:type="pct"/>
            <w:tcMar>
              <w:top w:w="85" w:type="dxa"/>
              <w:left w:w="85" w:type="dxa"/>
              <w:bottom w:w="85" w:type="dxa"/>
              <w:right w:w="85" w:type="dxa"/>
            </w:tcMar>
          </w:tcPr>
          <w:p w14:paraId="7D72FE21" w14:textId="77777777" w:rsidR="0099110B" w:rsidRPr="00630129" w:rsidRDefault="0099110B" w:rsidP="0099110B">
            <w:pPr>
              <w:rPr>
                <w:sz w:val="22"/>
                <w:szCs w:val="22"/>
              </w:rPr>
            </w:pPr>
            <w:r w:rsidRPr="00630129">
              <w:rPr>
                <w:sz w:val="22"/>
                <w:szCs w:val="22"/>
              </w:rPr>
              <w:t>j</w:t>
            </w:r>
          </w:p>
        </w:tc>
        <w:tc>
          <w:tcPr>
            <w:tcW w:w="492" w:type="pct"/>
            <w:tcMar>
              <w:top w:w="85" w:type="dxa"/>
              <w:left w:w="85" w:type="dxa"/>
              <w:bottom w:w="85" w:type="dxa"/>
              <w:right w:w="85" w:type="dxa"/>
            </w:tcMar>
          </w:tcPr>
          <w:p w14:paraId="3F8C33B2"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00A80950" w14:textId="77777777" w:rsidR="0099110B" w:rsidRPr="00630129" w:rsidRDefault="0099110B" w:rsidP="0099110B">
            <w:pPr>
              <w:rPr>
                <w:sz w:val="22"/>
                <w:szCs w:val="22"/>
              </w:rPr>
            </w:pPr>
            <w:r w:rsidRPr="00630129">
              <w:rPr>
                <w:sz w:val="22"/>
                <w:szCs w:val="22"/>
              </w:rPr>
              <w:t>A period of 30 minutes beginning on the hour or the half-hour and in accordance with paragraph 4.3 of this Annex X-2.</w:t>
            </w:r>
          </w:p>
        </w:tc>
      </w:tr>
      <w:tr w:rsidR="0099110B" w:rsidRPr="00630129" w14:paraId="234C1038" w14:textId="77777777" w:rsidTr="00A63BA8">
        <w:trPr>
          <w:cantSplit/>
        </w:trPr>
        <w:tc>
          <w:tcPr>
            <w:tcW w:w="994" w:type="pct"/>
            <w:tcMar>
              <w:top w:w="85" w:type="dxa"/>
              <w:left w:w="85" w:type="dxa"/>
              <w:bottom w:w="85" w:type="dxa"/>
              <w:right w:w="85" w:type="dxa"/>
            </w:tcMar>
          </w:tcPr>
          <w:p w14:paraId="64973A48" w14:textId="77777777" w:rsidR="0099110B" w:rsidRPr="00630129" w:rsidRDefault="0099110B" w:rsidP="0099110B">
            <w:pPr>
              <w:rPr>
                <w:sz w:val="22"/>
                <w:szCs w:val="22"/>
              </w:rPr>
            </w:pPr>
            <w:r w:rsidRPr="00630129">
              <w:rPr>
                <w:sz w:val="22"/>
                <w:szCs w:val="22"/>
              </w:rPr>
              <w:t>Settlement Period Duration</w:t>
            </w:r>
          </w:p>
        </w:tc>
        <w:tc>
          <w:tcPr>
            <w:tcW w:w="974" w:type="pct"/>
            <w:tcMar>
              <w:top w:w="85" w:type="dxa"/>
              <w:left w:w="85" w:type="dxa"/>
              <w:bottom w:w="85" w:type="dxa"/>
              <w:right w:w="85" w:type="dxa"/>
            </w:tcMar>
          </w:tcPr>
          <w:p w14:paraId="18A3C73B" w14:textId="77777777" w:rsidR="0099110B" w:rsidRPr="00630129" w:rsidRDefault="0099110B" w:rsidP="0099110B">
            <w:pPr>
              <w:rPr>
                <w:sz w:val="22"/>
                <w:szCs w:val="22"/>
              </w:rPr>
            </w:pPr>
            <w:r w:rsidRPr="00630129">
              <w:rPr>
                <w:sz w:val="22"/>
                <w:szCs w:val="22"/>
              </w:rPr>
              <w:t>SPD</w:t>
            </w:r>
          </w:p>
        </w:tc>
        <w:tc>
          <w:tcPr>
            <w:tcW w:w="492" w:type="pct"/>
            <w:tcMar>
              <w:top w:w="85" w:type="dxa"/>
              <w:left w:w="85" w:type="dxa"/>
              <w:bottom w:w="85" w:type="dxa"/>
              <w:right w:w="85" w:type="dxa"/>
            </w:tcMar>
          </w:tcPr>
          <w:p w14:paraId="5E1EEB90" w14:textId="77777777" w:rsidR="0099110B" w:rsidRPr="00630129" w:rsidRDefault="0099110B" w:rsidP="0099110B">
            <w:pPr>
              <w:rPr>
                <w:sz w:val="22"/>
                <w:szCs w:val="22"/>
              </w:rPr>
            </w:pPr>
            <w:r w:rsidRPr="00630129">
              <w:rPr>
                <w:sz w:val="22"/>
                <w:szCs w:val="22"/>
              </w:rPr>
              <w:t>Hours</w:t>
            </w:r>
          </w:p>
        </w:tc>
        <w:tc>
          <w:tcPr>
            <w:tcW w:w="2540" w:type="pct"/>
            <w:tcMar>
              <w:top w:w="85" w:type="dxa"/>
              <w:left w:w="85" w:type="dxa"/>
              <w:bottom w:w="85" w:type="dxa"/>
              <w:right w:w="85" w:type="dxa"/>
            </w:tcMar>
          </w:tcPr>
          <w:p w14:paraId="633FD7F0" w14:textId="77777777" w:rsidR="0099110B" w:rsidRPr="00630129" w:rsidRDefault="0099110B" w:rsidP="0099110B">
            <w:pPr>
              <w:rPr>
                <w:sz w:val="22"/>
                <w:szCs w:val="22"/>
              </w:rPr>
            </w:pPr>
            <w:r w:rsidRPr="00630129">
              <w:rPr>
                <w:sz w:val="22"/>
                <w:szCs w:val="22"/>
              </w:rPr>
              <w:t>0.5 hours.</w:t>
            </w:r>
          </w:p>
        </w:tc>
      </w:tr>
      <w:tr w:rsidR="0099110B" w:rsidRPr="00630129" w14:paraId="18ACD773" w14:textId="77777777" w:rsidTr="00A63BA8">
        <w:trPr>
          <w:cantSplit/>
        </w:trPr>
        <w:tc>
          <w:tcPr>
            <w:tcW w:w="994" w:type="pct"/>
            <w:tcMar>
              <w:top w:w="85" w:type="dxa"/>
              <w:left w:w="85" w:type="dxa"/>
              <w:bottom w:w="85" w:type="dxa"/>
              <w:right w:w="85" w:type="dxa"/>
            </w:tcMar>
          </w:tcPr>
          <w:p w14:paraId="3816FBC0" w14:textId="77777777" w:rsidR="0099110B" w:rsidRPr="00630129" w:rsidRDefault="0099110B" w:rsidP="0099110B">
            <w:pPr>
              <w:rPr>
                <w:sz w:val="22"/>
                <w:szCs w:val="22"/>
              </w:rPr>
            </w:pPr>
            <w:r w:rsidRPr="00630129">
              <w:rPr>
                <w:sz w:val="22"/>
                <w:szCs w:val="22"/>
              </w:rPr>
              <w:t>Site Specific Line Loss Factor</w:t>
            </w:r>
          </w:p>
        </w:tc>
        <w:tc>
          <w:tcPr>
            <w:tcW w:w="974" w:type="pct"/>
            <w:tcMar>
              <w:top w:w="85" w:type="dxa"/>
              <w:left w:w="85" w:type="dxa"/>
              <w:bottom w:w="85" w:type="dxa"/>
              <w:right w:w="85" w:type="dxa"/>
            </w:tcMar>
          </w:tcPr>
          <w:p w14:paraId="64C4D28F"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6DCEA1AC"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2B1D28A4" w14:textId="77777777" w:rsidR="0099110B" w:rsidRPr="00630129" w:rsidRDefault="0099110B" w:rsidP="0099110B">
            <w:pPr>
              <w:rPr>
                <w:sz w:val="22"/>
                <w:szCs w:val="22"/>
              </w:rPr>
            </w:pPr>
            <w:r w:rsidRPr="00630129">
              <w:rPr>
                <w:sz w:val="22"/>
                <w:szCs w:val="22"/>
              </w:rPr>
              <w:t>A Line Loss Factor established for a single Metering System as provided in Section K1.7.2.</w:t>
            </w:r>
          </w:p>
        </w:tc>
      </w:tr>
      <w:tr w:rsidR="0099110B" w:rsidRPr="00630129" w14:paraId="1048B211" w14:textId="77777777" w:rsidTr="00A63BA8">
        <w:trPr>
          <w:cantSplit/>
        </w:trPr>
        <w:tc>
          <w:tcPr>
            <w:tcW w:w="994" w:type="pct"/>
            <w:tcMar>
              <w:top w:w="85" w:type="dxa"/>
              <w:left w:w="85" w:type="dxa"/>
              <w:bottom w:w="85" w:type="dxa"/>
              <w:right w:w="85" w:type="dxa"/>
            </w:tcMar>
          </w:tcPr>
          <w:p w14:paraId="39D20F46" w14:textId="77777777" w:rsidR="0099110B" w:rsidRPr="00630129" w:rsidRDefault="0099110B" w:rsidP="0099110B">
            <w:pPr>
              <w:rPr>
                <w:sz w:val="22"/>
                <w:szCs w:val="22"/>
              </w:rPr>
            </w:pPr>
            <w:r w:rsidRPr="00630129">
              <w:rPr>
                <w:sz w:val="22"/>
                <w:szCs w:val="22"/>
              </w:rPr>
              <w:t>Small Scale Third Party Generating Plant Limit</w:t>
            </w:r>
          </w:p>
        </w:tc>
        <w:tc>
          <w:tcPr>
            <w:tcW w:w="974" w:type="pct"/>
            <w:tcMar>
              <w:top w:w="85" w:type="dxa"/>
              <w:left w:w="85" w:type="dxa"/>
              <w:bottom w:w="85" w:type="dxa"/>
              <w:right w:w="85" w:type="dxa"/>
            </w:tcMar>
          </w:tcPr>
          <w:p w14:paraId="4AA0C89F" w14:textId="77777777" w:rsidR="0099110B" w:rsidRPr="00630129" w:rsidRDefault="0099110B" w:rsidP="0099110B">
            <w:pPr>
              <w:rPr>
                <w:sz w:val="22"/>
                <w:szCs w:val="22"/>
              </w:rPr>
            </w:pPr>
            <w:r w:rsidRPr="00630129">
              <w:rPr>
                <w:sz w:val="22"/>
                <w:szCs w:val="22"/>
              </w:rPr>
              <w:t>SSTPGPL</w:t>
            </w:r>
          </w:p>
        </w:tc>
        <w:tc>
          <w:tcPr>
            <w:tcW w:w="492" w:type="pct"/>
            <w:tcMar>
              <w:top w:w="85" w:type="dxa"/>
              <w:left w:w="85" w:type="dxa"/>
              <w:bottom w:w="85" w:type="dxa"/>
              <w:right w:w="85" w:type="dxa"/>
            </w:tcMar>
          </w:tcPr>
          <w:p w14:paraId="153D4D96"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6BD63474" w14:textId="77777777" w:rsidR="0099110B" w:rsidRPr="00630129" w:rsidRDefault="0099110B" w:rsidP="0099110B">
            <w:pPr>
              <w:spacing w:after="120"/>
              <w:rPr>
                <w:sz w:val="22"/>
                <w:szCs w:val="22"/>
              </w:rPr>
            </w:pPr>
            <w:r w:rsidRPr="00630129">
              <w:rPr>
                <w:sz w:val="22"/>
                <w:szCs w:val="22"/>
              </w:rPr>
              <w:t>The quantity established in accordance with Section L1.5</w:t>
            </w:r>
          </w:p>
          <w:p w14:paraId="13A7327D" w14:textId="77777777" w:rsidR="0099110B" w:rsidRPr="00630129" w:rsidRDefault="0099110B" w:rsidP="0099110B">
            <w:pPr>
              <w:rPr>
                <w:sz w:val="22"/>
                <w:szCs w:val="22"/>
              </w:rPr>
            </w:pPr>
            <w:r w:rsidRPr="00630129">
              <w:rPr>
                <w:i/>
                <w:sz w:val="22"/>
                <w:szCs w:val="22"/>
              </w:rPr>
              <w:t>The Small Scale Third Party Generating Plant Limit is the maximum generation capacity</w:t>
            </w:r>
            <w:r w:rsidRPr="00630129">
              <w:rPr>
                <w:sz w:val="22"/>
                <w:szCs w:val="22"/>
              </w:rPr>
              <w:t xml:space="preserve"> </w:t>
            </w:r>
            <w:r w:rsidRPr="00630129">
              <w:rPr>
                <w:i/>
                <w:sz w:val="22"/>
                <w:szCs w:val="22"/>
              </w:rPr>
              <w:t>(measured at the Boundary Point) of the aggregate Small Scale Third Party Generating Plant connected to a Distribution System at a single Boundary Point.</w:t>
            </w:r>
          </w:p>
        </w:tc>
      </w:tr>
      <w:tr w:rsidR="0099110B" w:rsidRPr="00630129" w14:paraId="545A03B8" w14:textId="77777777" w:rsidTr="00A63BA8">
        <w:trPr>
          <w:cantSplit/>
        </w:trPr>
        <w:tc>
          <w:tcPr>
            <w:tcW w:w="994" w:type="pct"/>
            <w:tcMar>
              <w:top w:w="85" w:type="dxa"/>
              <w:left w:w="85" w:type="dxa"/>
              <w:bottom w:w="85" w:type="dxa"/>
              <w:right w:w="85" w:type="dxa"/>
            </w:tcMar>
          </w:tcPr>
          <w:p w14:paraId="4FE3E2AF" w14:textId="77777777" w:rsidR="0099110B" w:rsidRPr="00630129" w:rsidRDefault="0099110B" w:rsidP="0099110B">
            <w:pPr>
              <w:rPr>
                <w:sz w:val="22"/>
                <w:szCs w:val="22"/>
              </w:rPr>
            </w:pPr>
            <w:r w:rsidRPr="00630129">
              <w:rPr>
                <w:sz w:val="22"/>
                <w:szCs w:val="22"/>
              </w:rPr>
              <w:t>SO-Flagged Ranked Set</w:t>
            </w:r>
          </w:p>
        </w:tc>
        <w:tc>
          <w:tcPr>
            <w:tcW w:w="974" w:type="pct"/>
            <w:tcMar>
              <w:top w:w="85" w:type="dxa"/>
              <w:left w:w="85" w:type="dxa"/>
              <w:bottom w:w="85" w:type="dxa"/>
              <w:right w:w="85" w:type="dxa"/>
            </w:tcMar>
          </w:tcPr>
          <w:p w14:paraId="747C295D"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5A4BD429"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2A172102" w14:textId="77777777" w:rsidR="0099110B" w:rsidRPr="00630129" w:rsidRDefault="0099110B" w:rsidP="0099110B">
            <w:pPr>
              <w:rPr>
                <w:sz w:val="22"/>
                <w:szCs w:val="22"/>
              </w:rPr>
            </w:pPr>
            <w:r w:rsidRPr="00630129">
              <w:rPr>
                <w:sz w:val="22"/>
                <w:szCs w:val="22"/>
              </w:rPr>
              <w:t>One of the SO-Flagged Ranked Sets as provided in paragraph 4 of Part 1 of Annex T-1.</w:t>
            </w:r>
          </w:p>
        </w:tc>
      </w:tr>
      <w:tr w:rsidR="0099110B" w:rsidRPr="00630129" w14:paraId="72B64B01" w14:textId="77777777" w:rsidTr="00A63BA8">
        <w:trPr>
          <w:cantSplit/>
        </w:trPr>
        <w:tc>
          <w:tcPr>
            <w:tcW w:w="994" w:type="pct"/>
            <w:tcMar>
              <w:top w:w="85" w:type="dxa"/>
              <w:left w:w="85" w:type="dxa"/>
              <w:bottom w:w="85" w:type="dxa"/>
              <w:right w:w="85" w:type="dxa"/>
            </w:tcMar>
          </w:tcPr>
          <w:p w14:paraId="1C4D9A50" w14:textId="77777777" w:rsidR="0099110B" w:rsidRPr="00630129" w:rsidRDefault="0099110B" w:rsidP="0099110B">
            <w:pPr>
              <w:rPr>
                <w:sz w:val="22"/>
                <w:szCs w:val="22"/>
              </w:rPr>
            </w:pPr>
            <w:r w:rsidRPr="00630129">
              <w:rPr>
                <w:sz w:val="22"/>
                <w:szCs w:val="22"/>
              </w:rPr>
              <w:t xml:space="preserve">Stable Export Limit </w:t>
            </w:r>
          </w:p>
        </w:tc>
        <w:tc>
          <w:tcPr>
            <w:tcW w:w="974" w:type="pct"/>
            <w:tcMar>
              <w:top w:w="85" w:type="dxa"/>
              <w:left w:w="85" w:type="dxa"/>
              <w:bottom w:w="85" w:type="dxa"/>
              <w:right w:w="85" w:type="dxa"/>
            </w:tcMar>
          </w:tcPr>
          <w:p w14:paraId="6825BB30"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0A8B0F43"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13D52342" w14:textId="77777777" w:rsidR="0099110B" w:rsidRPr="00630129" w:rsidRDefault="0099110B" w:rsidP="0099110B">
            <w:pPr>
              <w:rPr>
                <w:sz w:val="22"/>
                <w:szCs w:val="22"/>
              </w:rPr>
            </w:pPr>
            <w:r w:rsidRPr="00630129">
              <w:rPr>
                <w:sz w:val="22"/>
                <w:szCs w:val="22"/>
              </w:rPr>
              <w:t>Has the meaning given to that term in BC1 of the Grid Code.</w:t>
            </w:r>
          </w:p>
        </w:tc>
      </w:tr>
      <w:tr w:rsidR="0099110B" w:rsidRPr="00630129" w14:paraId="363D8072" w14:textId="77777777" w:rsidTr="00A63BA8">
        <w:trPr>
          <w:cantSplit/>
        </w:trPr>
        <w:tc>
          <w:tcPr>
            <w:tcW w:w="994" w:type="pct"/>
            <w:tcMar>
              <w:top w:w="85" w:type="dxa"/>
              <w:left w:w="85" w:type="dxa"/>
              <w:bottom w:w="85" w:type="dxa"/>
              <w:right w:w="85" w:type="dxa"/>
            </w:tcMar>
          </w:tcPr>
          <w:p w14:paraId="56684FC3" w14:textId="77777777" w:rsidR="0099110B" w:rsidRPr="00630129" w:rsidRDefault="0099110B" w:rsidP="0099110B">
            <w:pPr>
              <w:rPr>
                <w:sz w:val="22"/>
                <w:szCs w:val="22"/>
              </w:rPr>
            </w:pPr>
            <w:r w:rsidRPr="00630129">
              <w:rPr>
                <w:sz w:val="22"/>
                <w:szCs w:val="22"/>
              </w:rPr>
              <w:t>Stable Import Limit</w:t>
            </w:r>
          </w:p>
        </w:tc>
        <w:tc>
          <w:tcPr>
            <w:tcW w:w="974" w:type="pct"/>
            <w:tcMar>
              <w:top w:w="85" w:type="dxa"/>
              <w:left w:w="85" w:type="dxa"/>
              <w:bottom w:w="85" w:type="dxa"/>
              <w:right w:w="85" w:type="dxa"/>
            </w:tcMar>
          </w:tcPr>
          <w:p w14:paraId="7AC8C2FA"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02ECFA8B"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58545493" w14:textId="77777777" w:rsidR="0099110B" w:rsidRPr="00630129" w:rsidRDefault="0099110B" w:rsidP="0099110B">
            <w:pPr>
              <w:rPr>
                <w:sz w:val="22"/>
                <w:szCs w:val="22"/>
              </w:rPr>
            </w:pPr>
            <w:r w:rsidRPr="00630129">
              <w:rPr>
                <w:sz w:val="22"/>
                <w:szCs w:val="22"/>
              </w:rPr>
              <w:t>Has the meaning given to that term in BC1 of the Grid Code.</w:t>
            </w:r>
          </w:p>
        </w:tc>
      </w:tr>
      <w:tr w:rsidR="0099110B" w:rsidRPr="00630129" w14:paraId="42D9C69D"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0755540" w14:textId="77777777" w:rsidR="0099110B" w:rsidRPr="00630129" w:rsidRDefault="0099110B" w:rsidP="0099110B">
            <w:pPr>
              <w:rPr>
                <w:sz w:val="22"/>
                <w:szCs w:val="22"/>
              </w:rPr>
            </w:pPr>
            <w:r w:rsidRPr="00630129">
              <w:rPr>
                <w:sz w:val="22"/>
                <w:szCs w:val="22"/>
              </w:rPr>
              <w:t>Start Point Demand Control Level</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0546F29" w14:textId="77777777" w:rsidR="0099110B" w:rsidRPr="00630129" w:rsidRDefault="0099110B" w:rsidP="0099110B">
            <w:pPr>
              <w:rPr>
                <w:sz w:val="22"/>
                <w:szCs w:val="22"/>
              </w:rPr>
            </w:pPr>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2395BED" w14:textId="77777777" w:rsidR="0099110B" w:rsidRPr="00630129" w:rsidRDefault="0099110B" w:rsidP="0099110B">
            <w:pPr>
              <w:rPr>
                <w:sz w:val="22"/>
                <w:szCs w:val="22"/>
              </w:rPr>
            </w:pPr>
            <w:r w:rsidRPr="00630129">
              <w:rPr>
                <w:sz w:val="22"/>
                <w:szCs w:val="22"/>
              </w:rPr>
              <w:t>MW</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D885962" w14:textId="77777777" w:rsidR="0099110B" w:rsidRPr="00630129" w:rsidRDefault="0099110B" w:rsidP="0099110B">
            <w:pPr>
              <w:rPr>
                <w:sz w:val="22"/>
                <w:szCs w:val="22"/>
              </w:rPr>
            </w:pPr>
            <w:r w:rsidRPr="00630129">
              <w:rPr>
                <w:sz w:val="22"/>
                <w:szCs w:val="22"/>
              </w:rPr>
              <w:t>Has the meaning given to that term in Section T3.15(a).</w:t>
            </w:r>
          </w:p>
        </w:tc>
      </w:tr>
      <w:tr w:rsidR="0099110B" w:rsidRPr="00630129" w14:paraId="3330C35F"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7A54FD9" w14:textId="77777777" w:rsidR="0099110B" w:rsidRPr="00630129" w:rsidRDefault="0099110B" w:rsidP="0099110B">
            <w:pPr>
              <w:rPr>
                <w:sz w:val="22"/>
                <w:szCs w:val="22"/>
              </w:rPr>
            </w:pPr>
            <w:r w:rsidRPr="00630129">
              <w:rPr>
                <w:sz w:val="22"/>
                <w:szCs w:val="22"/>
              </w:rPr>
              <w:t>STOR Action</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BF5175D" w14:textId="77777777" w:rsidR="0099110B" w:rsidRPr="00630129" w:rsidRDefault="0099110B" w:rsidP="0099110B">
            <w:pPr>
              <w:rPr>
                <w:sz w:val="22"/>
                <w:szCs w:val="22"/>
              </w:rPr>
            </w:pPr>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48E3B53" w14:textId="77777777" w:rsidR="0099110B" w:rsidRPr="00630129" w:rsidRDefault="0099110B" w:rsidP="0099110B">
            <w:pPr>
              <w:rPr>
                <w:sz w:val="22"/>
                <w:szCs w:val="22"/>
              </w:rPr>
            </w:pP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F86D89D" w14:textId="77777777" w:rsidR="0099110B" w:rsidRPr="00630129" w:rsidRDefault="0099110B" w:rsidP="0099110B">
            <w:pPr>
              <w:rPr>
                <w:sz w:val="22"/>
                <w:szCs w:val="22"/>
              </w:rPr>
            </w:pPr>
            <w:r w:rsidRPr="00630129">
              <w:rPr>
                <w:sz w:val="22"/>
                <w:szCs w:val="22"/>
              </w:rPr>
              <w:t>An Accepted Offer derived from a STOR Flagged BOA taken by the NETSO during a STOR Availability Window in order to increase generation or reduce demand.</w:t>
            </w:r>
          </w:p>
        </w:tc>
      </w:tr>
      <w:tr w:rsidR="0099110B" w:rsidRPr="00630129" w14:paraId="1B010E04"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0C3E029" w14:textId="77777777" w:rsidR="0099110B" w:rsidRPr="00630129" w:rsidRDefault="0099110B" w:rsidP="0099110B">
            <w:pPr>
              <w:rPr>
                <w:sz w:val="22"/>
                <w:szCs w:val="22"/>
              </w:rPr>
            </w:pPr>
            <w:r w:rsidRPr="00630129">
              <w:rPr>
                <w:sz w:val="22"/>
                <w:szCs w:val="22"/>
              </w:rPr>
              <w:t>STOR Action Price</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57B7E21" w14:textId="77777777" w:rsidR="0099110B" w:rsidRPr="00630129" w:rsidRDefault="0099110B" w:rsidP="0099110B">
            <w:pPr>
              <w:rPr>
                <w:sz w:val="22"/>
                <w:szCs w:val="22"/>
              </w:rPr>
            </w:pPr>
            <w:proofErr w:type="spellStart"/>
            <w:r w:rsidRPr="00630129">
              <w:rPr>
                <w:sz w:val="22"/>
                <w:szCs w:val="22"/>
              </w:rPr>
              <w:t>STAP</w:t>
            </w:r>
            <w:r w:rsidRPr="00630129">
              <w:rPr>
                <w:sz w:val="22"/>
                <w:szCs w:val="22"/>
                <w:vertAlign w:val="superscript"/>
              </w:rPr>
              <w:t>t</w:t>
            </w:r>
            <w:r w:rsidRPr="00630129">
              <w:rPr>
                <w:sz w:val="22"/>
                <w:szCs w:val="22"/>
                <w:vertAlign w:val="subscript"/>
              </w:rPr>
              <w:t>j</w:t>
            </w:r>
            <w:proofErr w:type="spellEnd"/>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DA28DEF" w14:textId="77777777" w:rsidR="0099110B" w:rsidRPr="00630129" w:rsidRDefault="0099110B" w:rsidP="0099110B">
            <w:pPr>
              <w:rPr>
                <w:sz w:val="22"/>
                <w:szCs w:val="22"/>
              </w:rPr>
            </w:pPr>
            <w:r w:rsidRPr="00630129">
              <w:rPr>
                <w:sz w:val="22"/>
                <w:szCs w:val="22"/>
              </w:rPr>
              <w:t>£/MWh</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02BCA6A" w14:textId="77777777" w:rsidR="0099110B" w:rsidRPr="00630129" w:rsidRDefault="0099110B" w:rsidP="0099110B">
            <w:pPr>
              <w:rPr>
                <w:sz w:val="22"/>
                <w:szCs w:val="22"/>
              </w:rPr>
            </w:pPr>
            <w:r w:rsidRPr="00630129">
              <w:rPr>
                <w:sz w:val="22"/>
                <w:szCs w:val="22"/>
              </w:rPr>
              <w:t>In relation to each STOR Action, the price determined in accordance with Section T3.14</w:t>
            </w:r>
          </w:p>
        </w:tc>
      </w:tr>
      <w:tr w:rsidR="0099110B" w:rsidRPr="00630129" w14:paraId="42176FCC"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2836A33" w14:textId="77777777" w:rsidR="0099110B" w:rsidRPr="00630129" w:rsidRDefault="0099110B" w:rsidP="0099110B">
            <w:pPr>
              <w:rPr>
                <w:sz w:val="22"/>
                <w:szCs w:val="22"/>
              </w:rPr>
            </w:pPr>
            <w:r w:rsidRPr="00630129">
              <w:rPr>
                <w:sz w:val="22"/>
                <w:szCs w:val="22"/>
              </w:rPr>
              <w:lastRenderedPageBreak/>
              <w:t>STOR Instructed Volume</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68DE996" w14:textId="77777777" w:rsidR="0099110B" w:rsidRPr="00630129" w:rsidRDefault="0099110B" w:rsidP="0099110B">
            <w:pPr>
              <w:rPr>
                <w:sz w:val="22"/>
                <w:szCs w:val="22"/>
              </w:rPr>
            </w:pPr>
            <w:proofErr w:type="spellStart"/>
            <w:r w:rsidRPr="00630129">
              <w:rPr>
                <w:sz w:val="22"/>
                <w:szCs w:val="22"/>
              </w:rPr>
              <w:t>QSIV</w:t>
            </w:r>
            <w:r w:rsidRPr="00630129">
              <w:rPr>
                <w:sz w:val="22"/>
                <w:szCs w:val="22"/>
                <w:vertAlign w:val="superscript"/>
              </w:rPr>
              <w:t>t</w:t>
            </w:r>
            <w:r w:rsidRPr="00630129">
              <w:rPr>
                <w:sz w:val="22"/>
                <w:szCs w:val="22"/>
                <w:vertAlign w:val="subscript"/>
              </w:rPr>
              <w:t>j</w:t>
            </w:r>
            <w:proofErr w:type="spellEnd"/>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D470F23" w14:textId="77777777" w:rsidR="0099110B" w:rsidRPr="00630129" w:rsidRDefault="0099110B" w:rsidP="0099110B">
            <w:pPr>
              <w:rPr>
                <w:sz w:val="22"/>
                <w:szCs w:val="22"/>
              </w:rPr>
            </w:pPr>
            <w:r w:rsidRPr="00630129">
              <w:rPr>
                <w:sz w:val="22"/>
                <w:szCs w:val="22"/>
              </w:rPr>
              <w:t>MWh</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4A1C7DEB" w14:textId="77777777" w:rsidR="0099110B" w:rsidRPr="00630129" w:rsidRDefault="0099110B" w:rsidP="0099110B">
            <w:pPr>
              <w:rPr>
                <w:sz w:val="22"/>
                <w:szCs w:val="22"/>
              </w:rPr>
            </w:pPr>
            <w:r w:rsidRPr="00630129">
              <w:rPr>
                <w:sz w:val="22"/>
                <w:szCs w:val="22"/>
              </w:rPr>
              <w:t>The Period Accepted Offer Volume in respect of each STOR Action instructed by the NETSO in order to increase generation or reduce demand.</w:t>
            </w:r>
          </w:p>
        </w:tc>
      </w:tr>
      <w:tr w:rsidR="0099110B" w:rsidRPr="00630129" w14:paraId="42084CF3" w14:textId="77777777" w:rsidTr="00A63BA8">
        <w:trPr>
          <w:cantSplit/>
        </w:trPr>
        <w:tc>
          <w:tcPr>
            <w:tcW w:w="994" w:type="pct"/>
            <w:tcMar>
              <w:top w:w="85" w:type="dxa"/>
              <w:left w:w="85" w:type="dxa"/>
              <w:bottom w:w="85" w:type="dxa"/>
              <w:right w:w="85" w:type="dxa"/>
            </w:tcMar>
          </w:tcPr>
          <w:p w14:paraId="1828AD45" w14:textId="77777777" w:rsidR="0099110B" w:rsidRPr="00630129" w:rsidRDefault="0099110B" w:rsidP="0099110B">
            <w:pPr>
              <w:rPr>
                <w:sz w:val="22"/>
                <w:szCs w:val="22"/>
              </w:rPr>
            </w:pPr>
            <w:r w:rsidRPr="00630129">
              <w:rPr>
                <w:sz w:val="22"/>
                <w:szCs w:val="22"/>
              </w:rPr>
              <w:t>Submitted Bid-Offer Pair</w:t>
            </w:r>
          </w:p>
        </w:tc>
        <w:tc>
          <w:tcPr>
            <w:tcW w:w="974" w:type="pct"/>
            <w:tcMar>
              <w:top w:w="85" w:type="dxa"/>
              <w:left w:w="85" w:type="dxa"/>
              <w:bottom w:w="85" w:type="dxa"/>
              <w:right w:w="85" w:type="dxa"/>
            </w:tcMar>
          </w:tcPr>
          <w:p w14:paraId="6B8BE078"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702F4278"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6015DE91" w14:textId="77777777" w:rsidR="0099110B" w:rsidRPr="00630129" w:rsidRDefault="0099110B" w:rsidP="0099110B">
            <w:pPr>
              <w:rPr>
                <w:sz w:val="22"/>
                <w:szCs w:val="22"/>
              </w:rPr>
            </w:pPr>
            <w:r w:rsidRPr="00630129">
              <w:rPr>
                <w:sz w:val="22"/>
                <w:szCs w:val="22"/>
              </w:rPr>
              <w:t>A Bid-Offer Pair in respect of which the NETSO submits Bid-Offer Data pursuant to Section Q6.2.</w:t>
            </w:r>
          </w:p>
        </w:tc>
      </w:tr>
      <w:tr w:rsidR="0099110B" w:rsidRPr="00630129" w14:paraId="65F51BEE" w14:textId="77777777" w:rsidTr="00A63BA8">
        <w:trPr>
          <w:cantSplit/>
        </w:trPr>
        <w:tc>
          <w:tcPr>
            <w:tcW w:w="994" w:type="pct"/>
            <w:tcMar>
              <w:top w:w="85" w:type="dxa"/>
              <w:left w:w="85" w:type="dxa"/>
              <w:bottom w:w="85" w:type="dxa"/>
              <w:right w:w="85" w:type="dxa"/>
            </w:tcMar>
          </w:tcPr>
          <w:p w14:paraId="537CCBCF" w14:textId="77777777" w:rsidR="0099110B" w:rsidRPr="006A10DE" w:rsidRDefault="0099110B" w:rsidP="0099110B">
            <w:pPr>
              <w:rPr>
                <w:sz w:val="22"/>
                <w:szCs w:val="22"/>
              </w:rPr>
            </w:pPr>
            <w:r w:rsidRPr="00FC0D03">
              <w:rPr>
                <w:sz w:val="22"/>
              </w:rPr>
              <w:t>Supplier BM Unit Non BM ABSVD</w:t>
            </w:r>
          </w:p>
        </w:tc>
        <w:tc>
          <w:tcPr>
            <w:tcW w:w="974" w:type="pct"/>
            <w:tcMar>
              <w:top w:w="85" w:type="dxa"/>
              <w:left w:w="85" w:type="dxa"/>
              <w:bottom w:w="85" w:type="dxa"/>
              <w:right w:w="85" w:type="dxa"/>
            </w:tcMar>
          </w:tcPr>
          <w:p w14:paraId="75A3B39D" w14:textId="77777777" w:rsidR="0099110B" w:rsidRPr="006A10DE" w:rsidRDefault="0099110B" w:rsidP="0099110B">
            <w:pPr>
              <w:rPr>
                <w:sz w:val="22"/>
                <w:szCs w:val="22"/>
              </w:rPr>
            </w:pPr>
            <w:proofErr w:type="spellStart"/>
            <w:r w:rsidRPr="00FC0D03">
              <w:rPr>
                <w:sz w:val="22"/>
              </w:rPr>
              <w:t>SNBABSVD</w:t>
            </w:r>
            <w:r w:rsidRPr="00FC0D03">
              <w:rPr>
                <w:sz w:val="22"/>
                <w:vertAlign w:val="subscript"/>
              </w:rPr>
              <w:t>ij</w:t>
            </w:r>
            <w:proofErr w:type="spellEnd"/>
          </w:p>
        </w:tc>
        <w:tc>
          <w:tcPr>
            <w:tcW w:w="492" w:type="pct"/>
            <w:tcMar>
              <w:top w:w="85" w:type="dxa"/>
              <w:left w:w="85" w:type="dxa"/>
              <w:bottom w:w="85" w:type="dxa"/>
              <w:right w:w="85" w:type="dxa"/>
            </w:tcMar>
          </w:tcPr>
          <w:p w14:paraId="242E9210" w14:textId="77777777" w:rsidR="0099110B" w:rsidRPr="006A10DE" w:rsidRDefault="0099110B" w:rsidP="0099110B">
            <w:pPr>
              <w:rPr>
                <w:sz w:val="22"/>
                <w:szCs w:val="22"/>
              </w:rPr>
            </w:pPr>
            <w:r w:rsidRPr="00FC0D03">
              <w:rPr>
                <w:sz w:val="22"/>
              </w:rPr>
              <w:t>MWh</w:t>
            </w:r>
          </w:p>
        </w:tc>
        <w:tc>
          <w:tcPr>
            <w:tcW w:w="2540" w:type="pct"/>
            <w:tcMar>
              <w:top w:w="85" w:type="dxa"/>
              <w:left w:w="85" w:type="dxa"/>
              <w:bottom w:w="85" w:type="dxa"/>
              <w:right w:w="85" w:type="dxa"/>
            </w:tcMar>
          </w:tcPr>
          <w:p w14:paraId="29A62563" w14:textId="77777777" w:rsidR="0099110B" w:rsidRPr="006A10DE" w:rsidRDefault="0099110B" w:rsidP="0099110B">
            <w:pPr>
              <w:rPr>
                <w:sz w:val="22"/>
                <w:szCs w:val="22"/>
              </w:rPr>
            </w:pPr>
            <w:r w:rsidRPr="00FC0D03">
              <w:rPr>
                <w:sz w:val="22"/>
              </w:rPr>
              <w:t>The amount determined by the SVAA pursuant to Annex S-2 paragraph</w:t>
            </w:r>
            <w:r>
              <w:rPr>
                <w:sz w:val="22"/>
              </w:rPr>
              <w:t xml:space="preserve"> 9.6.1C</w:t>
            </w:r>
            <w:r w:rsidRPr="00FC0D03">
              <w:rPr>
                <w:sz w:val="22"/>
              </w:rPr>
              <w:t>.</w:t>
            </w:r>
          </w:p>
        </w:tc>
      </w:tr>
      <w:tr w:rsidR="0099110B" w:rsidRPr="00630129" w14:paraId="7D6F9ECB" w14:textId="77777777" w:rsidTr="00A63BA8">
        <w:trPr>
          <w:cantSplit/>
        </w:trPr>
        <w:tc>
          <w:tcPr>
            <w:tcW w:w="994" w:type="pct"/>
            <w:tcMar>
              <w:top w:w="85" w:type="dxa"/>
              <w:left w:w="85" w:type="dxa"/>
              <w:bottom w:w="85" w:type="dxa"/>
              <w:right w:w="85" w:type="dxa"/>
            </w:tcMar>
          </w:tcPr>
          <w:p w14:paraId="073D78EB" w14:textId="77777777" w:rsidR="0099110B" w:rsidRPr="00630129" w:rsidRDefault="0099110B" w:rsidP="0099110B">
            <w:pPr>
              <w:rPr>
                <w:sz w:val="22"/>
                <w:szCs w:val="22"/>
              </w:rPr>
            </w:pPr>
            <w:r w:rsidRPr="00630129">
              <w:rPr>
                <w:sz w:val="22"/>
                <w:szCs w:val="22"/>
              </w:rPr>
              <w:t>Surplus</w:t>
            </w:r>
          </w:p>
        </w:tc>
        <w:tc>
          <w:tcPr>
            <w:tcW w:w="974" w:type="pct"/>
            <w:tcMar>
              <w:top w:w="85" w:type="dxa"/>
              <w:left w:w="85" w:type="dxa"/>
              <w:bottom w:w="85" w:type="dxa"/>
              <w:right w:w="85" w:type="dxa"/>
            </w:tcMar>
          </w:tcPr>
          <w:p w14:paraId="5C5481B9" w14:textId="77777777" w:rsidR="0099110B" w:rsidRPr="00630129" w:rsidRDefault="0099110B" w:rsidP="0099110B">
            <w:pPr>
              <w:rPr>
                <w:sz w:val="22"/>
                <w:szCs w:val="22"/>
              </w:rPr>
            </w:pPr>
            <w:r w:rsidRPr="00630129">
              <w:rPr>
                <w:sz w:val="22"/>
                <w:szCs w:val="22"/>
              </w:rPr>
              <w:t>SPLD or SPLW</w:t>
            </w:r>
          </w:p>
        </w:tc>
        <w:tc>
          <w:tcPr>
            <w:tcW w:w="492" w:type="pct"/>
            <w:tcMar>
              <w:top w:w="85" w:type="dxa"/>
              <w:left w:w="85" w:type="dxa"/>
              <w:bottom w:w="85" w:type="dxa"/>
              <w:right w:w="85" w:type="dxa"/>
            </w:tcMar>
          </w:tcPr>
          <w:p w14:paraId="31017272" w14:textId="77777777" w:rsidR="0099110B" w:rsidRPr="00630129" w:rsidRDefault="0099110B" w:rsidP="0099110B">
            <w:pPr>
              <w:rPr>
                <w:sz w:val="22"/>
                <w:szCs w:val="22"/>
              </w:rPr>
            </w:pPr>
            <w:r w:rsidRPr="00630129">
              <w:rPr>
                <w:sz w:val="22"/>
                <w:szCs w:val="22"/>
              </w:rPr>
              <w:t>MW</w:t>
            </w:r>
          </w:p>
        </w:tc>
        <w:tc>
          <w:tcPr>
            <w:tcW w:w="2540" w:type="pct"/>
            <w:tcMar>
              <w:top w:w="85" w:type="dxa"/>
              <w:left w:w="85" w:type="dxa"/>
              <w:bottom w:w="85" w:type="dxa"/>
              <w:right w:w="85" w:type="dxa"/>
            </w:tcMar>
          </w:tcPr>
          <w:p w14:paraId="1F9049E5" w14:textId="77777777" w:rsidR="0099110B" w:rsidRPr="00630129" w:rsidRDefault="0099110B" w:rsidP="0099110B">
            <w:pPr>
              <w:rPr>
                <w:sz w:val="22"/>
                <w:szCs w:val="22"/>
              </w:rPr>
            </w:pPr>
            <w:r w:rsidRPr="00630129">
              <w:rPr>
                <w:sz w:val="22"/>
                <w:szCs w:val="22"/>
              </w:rPr>
              <w:t>Has the meaning given to that term in OC2 of the Grid Code</w:t>
            </w:r>
          </w:p>
        </w:tc>
      </w:tr>
      <w:tr w:rsidR="0099110B" w:rsidRPr="00630129" w14:paraId="6A451580" w14:textId="77777777" w:rsidTr="00A63BA8">
        <w:trPr>
          <w:cantSplit/>
        </w:trPr>
        <w:tc>
          <w:tcPr>
            <w:tcW w:w="994" w:type="pct"/>
            <w:tcMar>
              <w:top w:w="85" w:type="dxa"/>
              <w:left w:w="85" w:type="dxa"/>
              <w:bottom w:w="85" w:type="dxa"/>
              <w:right w:w="85" w:type="dxa"/>
            </w:tcMar>
          </w:tcPr>
          <w:p w14:paraId="3E2BD253" w14:textId="77777777" w:rsidR="0099110B" w:rsidRPr="00630129" w:rsidRDefault="0099110B" w:rsidP="0099110B">
            <w:pPr>
              <w:rPr>
                <w:sz w:val="22"/>
                <w:szCs w:val="22"/>
              </w:rPr>
            </w:pPr>
            <w:r w:rsidRPr="00630129">
              <w:rPr>
                <w:sz w:val="22"/>
                <w:szCs w:val="22"/>
              </w:rPr>
              <w:t>SVA (Production) Funding Share</w:t>
            </w:r>
          </w:p>
        </w:tc>
        <w:tc>
          <w:tcPr>
            <w:tcW w:w="974" w:type="pct"/>
            <w:tcMar>
              <w:top w:w="85" w:type="dxa"/>
              <w:left w:w="85" w:type="dxa"/>
              <w:bottom w:w="85" w:type="dxa"/>
              <w:right w:w="85" w:type="dxa"/>
            </w:tcMar>
          </w:tcPr>
          <w:p w14:paraId="3230884E" w14:textId="77777777" w:rsidR="0099110B" w:rsidRPr="00630129" w:rsidRDefault="0099110B" w:rsidP="0099110B">
            <w:pPr>
              <w:rPr>
                <w:sz w:val="22"/>
                <w:szCs w:val="22"/>
              </w:rPr>
            </w:pPr>
            <w:proofErr w:type="spellStart"/>
            <w:r w:rsidRPr="00630129">
              <w:rPr>
                <w:sz w:val="22"/>
                <w:szCs w:val="22"/>
              </w:rPr>
              <w:t>FSPS</w:t>
            </w:r>
            <w:r w:rsidRPr="00630129">
              <w:rPr>
                <w:sz w:val="22"/>
                <w:szCs w:val="22"/>
                <w:vertAlign w:val="subscript"/>
              </w:rPr>
              <w:t>pm</w:t>
            </w:r>
            <w:proofErr w:type="spellEnd"/>
          </w:p>
        </w:tc>
        <w:tc>
          <w:tcPr>
            <w:tcW w:w="492" w:type="pct"/>
            <w:tcMar>
              <w:top w:w="85" w:type="dxa"/>
              <w:left w:w="85" w:type="dxa"/>
              <w:bottom w:w="85" w:type="dxa"/>
              <w:right w:w="85" w:type="dxa"/>
            </w:tcMar>
          </w:tcPr>
          <w:p w14:paraId="0AE9DD20"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48D4BE5C" w14:textId="77777777" w:rsidR="0099110B" w:rsidRPr="00630129" w:rsidRDefault="0099110B" w:rsidP="0099110B">
            <w:pPr>
              <w:spacing w:after="120"/>
              <w:rPr>
                <w:sz w:val="22"/>
                <w:szCs w:val="22"/>
              </w:rPr>
            </w:pPr>
            <w:r w:rsidRPr="00630129">
              <w:rPr>
                <w:sz w:val="22"/>
                <w:szCs w:val="22"/>
              </w:rPr>
              <w:t>Has the meaning given to that term in Section D1.2.1(c).</w:t>
            </w:r>
          </w:p>
          <w:p w14:paraId="2497AFEE" w14:textId="77777777" w:rsidR="0099110B" w:rsidRPr="00630129" w:rsidRDefault="0099110B" w:rsidP="0099110B">
            <w:pPr>
              <w:rPr>
                <w:i/>
                <w:sz w:val="22"/>
                <w:szCs w:val="22"/>
              </w:rPr>
            </w:pPr>
            <w:r w:rsidRPr="00630129">
              <w:rPr>
                <w:i/>
                <w:sz w:val="22"/>
                <w:szCs w:val="22"/>
              </w:rPr>
              <w:t>In relation to a month m, the SVA (Production) Funding Share represents a Party’s proportionate share of aggregate Credited Energy Volumes for Production BM Units for that month.</w:t>
            </w:r>
          </w:p>
        </w:tc>
      </w:tr>
      <w:tr w:rsidR="0099110B" w:rsidRPr="00630129" w14:paraId="0475376E" w14:textId="77777777" w:rsidTr="00A63BA8">
        <w:trPr>
          <w:cantSplit/>
        </w:trPr>
        <w:tc>
          <w:tcPr>
            <w:tcW w:w="994" w:type="pct"/>
            <w:tcMar>
              <w:top w:w="85" w:type="dxa"/>
              <w:left w:w="85" w:type="dxa"/>
              <w:bottom w:w="85" w:type="dxa"/>
              <w:right w:w="85" w:type="dxa"/>
            </w:tcMar>
          </w:tcPr>
          <w:p w14:paraId="7756B9BF" w14:textId="77777777" w:rsidR="0099110B" w:rsidRPr="00630129" w:rsidRDefault="0099110B" w:rsidP="0099110B">
            <w:pPr>
              <w:rPr>
                <w:sz w:val="22"/>
                <w:szCs w:val="22"/>
              </w:rPr>
            </w:pPr>
            <w:r w:rsidRPr="00630129">
              <w:rPr>
                <w:sz w:val="22"/>
                <w:szCs w:val="22"/>
              </w:rPr>
              <w:t>System Action</w:t>
            </w:r>
          </w:p>
        </w:tc>
        <w:tc>
          <w:tcPr>
            <w:tcW w:w="974" w:type="pct"/>
            <w:tcMar>
              <w:top w:w="85" w:type="dxa"/>
              <w:left w:w="85" w:type="dxa"/>
              <w:bottom w:w="85" w:type="dxa"/>
              <w:right w:w="85" w:type="dxa"/>
            </w:tcMar>
          </w:tcPr>
          <w:p w14:paraId="5520C3F4" w14:textId="77777777" w:rsidR="0099110B" w:rsidRPr="00630129" w:rsidRDefault="0099110B" w:rsidP="0099110B">
            <w:pPr>
              <w:rPr>
                <w:sz w:val="22"/>
                <w:szCs w:val="22"/>
              </w:rPr>
            </w:pPr>
            <w:r w:rsidRPr="00630129">
              <w:rPr>
                <w:sz w:val="22"/>
                <w:szCs w:val="22"/>
              </w:rPr>
              <w:t>w</w:t>
            </w:r>
          </w:p>
        </w:tc>
        <w:tc>
          <w:tcPr>
            <w:tcW w:w="492" w:type="pct"/>
            <w:tcMar>
              <w:top w:w="85" w:type="dxa"/>
              <w:left w:w="85" w:type="dxa"/>
              <w:bottom w:w="85" w:type="dxa"/>
              <w:right w:w="85" w:type="dxa"/>
            </w:tcMar>
          </w:tcPr>
          <w:p w14:paraId="650A5350"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582AFE93" w14:textId="77777777" w:rsidR="0099110B" w:rsidRPr="00630129" w:rsidRDefault="0099110B" w:rsidP="0099110B">
            <w:pPr>
              <w:rPr>
                <w:sz w:val="22"/>
                <w:szCs w:val="22"/>
              </w:rPr>
            </w:pPr>
            <w:r w:rsidRPr="00630129">
              <w:rPr>
                <w:sz w:val="22"/>
                <w:szCs w:val="22"/>
              </w:rPr>
              <w:t>Has the meaning given to that term in paragraph 1.2 of Annex T-1.</w:t>
            </w:r>
          </w:p>
        </w:tc>
      </w:tr>
      <w:tr w:rsidR="0099110B" w:rsidRPr="00630129" w14:paraId="070F4546" w14:textId="77777777" w:rsidTr="00A63BA8">
        <w:trPr>
          <w:cantSplit/>
        </w:trPr>
        <w:tc>
          <w:tcPr>
            <w:tcW w:w="994" w:type="pct"/>
            <w:tcMar>
              <w:top w:w="85" w:type="dxa"/>
              <w:left w:w="85" w:type="dxa"/>
              <w:bottom w:w="85" w:type="dxa"/>
              <w:right w:w="85" w:type="dxa"/>
            </w:tcMar>
          </w:tcPr>
          <w:p w14:paraId="1FDC2B43" w14:textId="77777777" w:rsidR="0099110B" w:rsidRPr="00630129" w:rsidRDefault="0099110B" w:rsidP="0099110B">
            <w:pPr>
              <w:rPr>
                <w:sz w:val="22"/>
                <w:szCs w:val="22"/>
              </w:rPr>
            </w:pPr>
            <w:r w:rsidRPr="00630129">
              <w:rPr>
                <w:sz w:val="22"/>
                <w:szCs w:val="22"/>
              </w:rPr>
              <w:t>System Action Price</w:t>
            </w:r>
          </w:p>
        </w:tc>
        <w:tc>
          <w:tcPr>
            <w:tcW w:w="974" w:type="pct"/>
            <w:tcMar>
              <w:top w:w="85" w:type="dxa"/>
              <w:left w:w="85" w:type="dxa"/>
              <w:bottom w:w="85" w:type="dxa"/>
              <w:right w:w="85" w:type="dxa"/>
            </w:tcMar>
          </w:tcPr>
          <w:p w14:paraId="5C747AEF" w14:textId="77777777" w:rsidR="0099110B" w:rsidRPr="00630129" w:rsidRDefault="0099110B" w:rsidP="0099110B">
            <w:pPr>
              <w:rPr>
                <w:sz w:val="22"/>
                <w:szCs w:val="22"/>
              </w:rPr>
            </w:pPr>
            <w:r w:rsidRPr="00630129">
              <w:rPr>
                <w:sz w:val="22"/>
                <w:szCs w:val="22"/>
              </w:rPr>
              <w:t>SAP</w:t>
            </w:r>
            <w:r w:rsidRPr="00630129">
              <w:rPr>
                <w:sz w:val="22"/>
                <w:szCs w:val="22"/>
                <w:vertAlign w:val="superscript"/>
              </w:rPr>
              <w:t xml:space="preserve"> </w:t>
            </w:r>
            <w:proofErr w:type="spellStart"/>
            <w:r w:rsidRPr="00630129">
              <w:rPr>
                <w:sz w:val="22"/>
                <w:szCs w:val="22"/>
                <w:vertAlign w:val="superscript"/>
              </w:rPr>
              <w:t>w</w:t>
            </w:r>
            <w:r w:rsidRPr="00630129">
              <w:rPr>
                <w:sz w:val="22"/>
                <w:szCs w:val="22"/>
                <w:vertAlign w:val="subscript"/>
              </w:rPr>
              <w:t>j</w:t>
            </w:r>
            <w:proofErr w:type="spellEnd"/>
          </w:p>
        </w:tc>
        <w:tc>
          <w:tcPr>
            <w:tcW w:w="492" w:type="pct"/>
            <w:tcMar>
              <w:top w:w="85" w:type="dxa"/>
              <w:left w:w="85" w:type="dxa"/>
              <w:bottom w:w="85" w:type="dxa"/>
              <w:right w:w="85" w:type="dxa"/>
            </w:tcMar>
          </w:tcPr>
          <w:p w14:paraId="7B9D1B9B"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55390204" w14:textId="77777777" w:rsidR="0099110B" w:rsidRPr="00630129" w:rsidRDefault="0099110B" w:rsidP="0099110B">
            <w:pPr>
              <w:rPr>
                <w:sz w:val="22"/>
                <w:szCs w:val="22"/>
              </w:rPr>
            </w:pPr>
            <w:r w:rsidRPr="00630129">
              <w:rPr>
                <w:sz w:val="22"/>
                <w:szCs w:val="22"/>
              </w:rPr>
              <w:t>Has the meaning given to that term in paragraph 1.2 of Annex T-1.</w:t>
            </w:r>
          </w:p>
        </w:tc>
      </w:tr>
      <w:tr w:rsidR="0099110B" w:rsidRPr="00630129" w14:paraId="4DC00364" w14:textId="77777777" w:rsidTr="00A63BA8">
        <w:trPr>
          <w:cantSplit/>
        </w:trPr>
        <w:tc>
          <w:tcPr>
            <w:tcW w:w="994" w:type="pct"/>
            <w:tcMar>
              <w:top w:w="85" w:type="dxa"/>
              <w:left w:w="85" w:type="dxa"/>
              <w:bottom w:w="85" w:type="dxa"/>
              <w:right w:w="85" w:type="dxa"/>
            </w:tcMar>
          </w:tcPr>
          <w:p w14:paraId="6FE13E88" w14:textId="77777777" w:rsidR="0099110B" w:rsidRPr="00630129" w:rsidRDefault="0099110B" w:rsidP="0099110B">
            <w:pPr>
              <w:rPr>
                <w:sz w:val="22"/>
                <w:szCs w:val="22"/>
              </w:rPr>
            </w:pPr>
            <w:r w:rsidRPr="00630129">
              <w:rPr>
                <w:sz w:val="22"/>
                <w:szCs w:val="22"/>
              </w:rPr>
              <w:t>System Buy Action</w:t>
            </w:r>
          </w:p>
        </w:tc>
        <w:tc>
          <w:tcPr>
            <w:tcW w:w="974" w:type="pct"/>
            <w:tcMar>
              <w:top w:w="85" w:type="dxa"/>
              <w:left w:w="85" w:type="dxa"/>
              <w:bottom w:w="85" w:type="dxa"/>
              <w:right w:w="85" w:type="dxa"/>
            </w:tcMar>
          </w:tcPr>
          <w:p w14:paraId="2F28D8C6" w14:textId="77777777" w:rsidR="0099110B" w:rsidRPr="00630129" w:rsidRDefault="0099110B" w:rsidP="0099110B">
            <w:pPr>
              <w:rPr>
                <w:sz w:val="22"/>
                <w:szCs w:val="22"/>
              </w:rPr>
            </w:pPr>
            <w:proofErr w:type="spellStart"/>
            <w:r w:rsidRPr="00630129">
              <w:rPr>
                <w:sz w:val="22"/>
                <w:szCs w:val="22"/>
              </w:rPr>
              <w:t>QSB</w:t>
            </w:r>
            <w:r w:rsidRPr="00630129">
              <w:rPr>
                <w:sz w:val="22"/>
                <w:szCs w:val="22"/>
                <w:vertAlign w:val="superscript"/>
              </w:rPr>
              <w:t>w</w:t>
            </w:r>
            <w:r w:rsidRPr="00630129">
              <w:rPr>
                <w:sz w:val="22"/>
                <w:szCs w:val="22"/>
                <w:vertAlign w:val="subscript"/>
              </w:rPr>
              <w:t>j</w:t>
            </w:r>
            <w:proofErr w:type="spellEnd"/>
          </w:p>
        </w:tc>
        <w:tc>
          <w:tcPr>
            <w:tcW w:w="492" w:type="pct"/>
            <w:tcMar>
              <w:top w:w="85" w:type="dxa"/>
              <w:left w:w="85" w:type="dxa"/>
              <w:bottom w:w="85" w:type="dxa"/>
              <w:right w:w="85" w:type="dxa"/>
            </w:tcMar>
          </w:tcPr>
          <w:p w14:paraId="4D10F706"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1EE18BE1" w14:textId="77777777" w:rsidR="0099110B" w:rsidRPr="00630129" w:rsidRDefault="0099110B" w:rsidP="0099110B">
            <w:pPr>
              <w:rPr>
                <w:sz w:val="22"/>
                <w:szCs w:val="22"/>
              </w:rPr>
            </w:pPr>
            <w:r w:rsidRPr="00630129">
              <w:rPr>
                <w:sz w:val="22"/>
                <w:szCs w:val="22"/>
              </w:rPr>
              <w:t>Has the meaning given to that term in paragraph 1.2 of Annex T-1.</w:t>
            </w:r>
          </w:p>
        </w:tc>
      </w:tr>
      <w:tr w:rsidR="0099110B" w:rsidRPr="00630129" w14:paraId="76A1FE7C" w14:textId="77777777" w:rsidTr="00A63BA8">
        <w:trPr>
          <w:cantSplit/>
        </w:trPr>
        <w:tc>
          <w:tcPr>
            <w:tcW w:w="994" w:type="pct"/>
            <w:tcMar>
              <w:top w:w="85" w:type="dxa"/>
              <w:left w:w="85" w:type="dxa"/>
              <w:bottom w:w="85" w:type="dxa"/>
              <w:right w:w="85" w:type="dxa"/>
            </w:tcMar>
          </w:tcPr>
          <w:p w14:paraId="5A4EE633" w14:textId="77777777" w:rsidR="0099110B" w:rsidRPr="00630129" w:rsidRDefault="0099110B" w:rsidP="0099110B">
            <w:pPr>
              <w:rPr>
                <w:sz w:val="22"/>
                <w:szCs w:val="22"/>
              </w:rPr>
            </w:pPr>
            <w:r w:rsidRPr="00630129">
              <w:rPr>
                <w:sz w:val="22"/>
                <w:szCs w:val="22"/>
              </w:rPr>
              <w:t>System Buy Price</w:t>
            </w:r>
          </w:p>
        </w:tc>
        <w:tc>
          <w:tcPr>
            <w:tcW w:w="974" w:type="pct"/>
            <w:tcMar>
              <w:top w:w="85" w:type="dxa"/>
              <w:left w:w="85" w:type="dxa"/>
              <w:bottom w:w="85" w:type="dxa"/>
              <w:right w:w="85" w:type="dxa"/>
            </w:tcMar>
          </w:tcPr>
          <w:p w14:paraId="1FE20853" w14:textId="77777777" w:rsidR="0099110B" w:rsidRPr="00630129" w:rsidRDefault="0099110B" w:rsidP="0099110B">
            <w:pPr>
              <w:rPr>
                <w:sz w:val="22"/>
                <w:szCs w:val="22"/>
              </w:rPr>
            </w:pPr>
            <w:proofErr w:type="spellStart"/>
            <w:r w:rsidRPr="00630129">
              <w:rPr>
                <w:sz w:val="22"/>
                <w:szCs w:val="22"/>
              </w:rPr>
              <w:t>SBP</w:t>
            </w:r>
            <w:r w:rsidRPr="00630129">
              <w:rPr>
                <w:sz w:val="22"/>
                <w:szCs w:val="22"/>
                <w:vertAlign w:val="subscript"/>
              </w:rPr>
              <w:t>j</w:t>
            </w:r>
            <w:proofErr w:type="spellEnd"/>
          </w:p>
        </w:tc>
        <w:tc>
          <w:tcPr>
            <w:tcW w:w="492" w:type="pct"/>
            <w:tcMar>
              <w:top w:w="85" w:type="dxa"/>
              <w:left w:w="85" w:type="dxa"/>
              <w:bottom w:w="85" w:type="dxa"/>
              <w:right w:w="85" w:type="dxa"/>
            </w:tcMar>
          </w:tcPr>
          <w:p w14:paraId="3D660ACE"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0EB95296" w14:textId="77777777" w:rsidR="0099110B" w:rsidRPr="00630129" w:rsidRDefault="0099110B" w:rsidP="0099110B">
            <w:pPr>
              <w:rPr>
                <w:i/>
                <w:sz w:val="22"/>
                <w:szCs w:val="22"/>
              </w:rPr>
            </w:pPr>
            <w:r w:rsidRPr="00630129">
              <w:rPr>
                <w:sz w:val="22"/>
                <w:szCs w:val="22"/>
              </w:rPr>
              <w:t>The price determined in accordance with Section T4.4.2.</w:t>
            </w:r>
          </w:p>
        </w:tc>
      </w:tr>
      <w:tr w:rsidR="0099110B" w:rsidRPr="00630129" w14:paraId="4405B2A9"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FACCB84" w14:textId="77777777" w:rsidR="0099110B" w:rsidRPr="00630129" w:rsidRDefault="0099110B" w:rsidP="0099110B">
            <w:pPr>
              <w:rPr>
                <w:sz w:val="22"/>
                <w:szCs w:val="22"/>
              </w:rPr>
            </w:pPr>
            <w:r w:rsidRPr="00630129">
              <w:rPr>
                <w:sz w:val="22"/>
                <w:szCs w:val="22"/>
              </w:rPr>
              <w:t>System Demand Control Volume</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3085327" w14:textId="77777777" w:rsidR="0099110B" w:rsidRPr="00630129" w:rsidRDefault="0099110B" w:rsidP="0099110B">
            <w:pPr>
              <w:rPr>
                <w:sz w:val="22"/>
                <w:szCs w:val="22"/>
              </w:rPr>
            </w:pPr>
            <w:proofErr w:type="spellStart"/>
            <w:r w:rsidRPr="00630129">
              <w:rPr>
                <w:sz w:val="22"/>
                <w:szCs w:val="22"/>
              </w:rPr>
              <w:t>QSDC</w:t>
            </w:r>
            <w:r w:rsidRPr="00630129">
              <w:rPr>
                <w:sz w:val="22"/>
                <w:szCs w:val="22"/>
                <w:vertAlign w:val="subscript"/>
              </w:rPr>
              <w:t>cj</w:t>
            </w:r>
            <w:proofErr w:type="spellEnd"/>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16AF4F4" w14:textId="77777777" w:rsidR="0099110B" w:rsidRPr="00630129" w:rsidRDefault="0099110B" w:rsidP="0099110B">
            <w:pPr>
              <w:rPr>
                <w:sz w:val="22"/>
                <w:szCs w:val="22"/>
              </w:rPr>
            </w:pPr>
            <w:r w:rsidRPr="00630129">
              <w:rPr>
                <w:sz w:val="22"/>
                <w:szCs w:val="22"/>
              </w:rPr>
              <w:t>MWh</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F44232A" w14:textId="77777777" w:rsidR="0099110B" w:rsidRPr="00630129" w:rsidRDefault="0099110B" w:rsidP="0099110B">
            <w:pPr>
              <w:rPr>
                <w:sz w:val="22"/>
                <w:szCs w:val="22"/>
              </w:rPr>
            </w:pPr>
            <w:r w:rsidRPr="00630129">
              <w:rPr>
                <w:sz w:val="22"/>
                <w:szCs w:val="22"/>
              </w:rPr>
              <w:t>Has the meaning given to it in Section T3.15.3(a).</w:t>
            </w:r>
          </w:p>
        </w:tc>
      </w:tr>
      <w:tr w:rsidR="0099110B" w:rsidRPr="00630129" w14:paraId="7863C145" w14:textId="77777777" w:rsidTr="00A63BA8">
        <w:trPr>
          <w:cantSplit/>
        </w:trPr>
        <w:tc>
          <w:tcPr>
            <w:tcW w:w="994" w:type="pct"/>
            <w:tcMar>
              <w:top w:w="85" w:type="dxa"/>
              <w:left w:w="85" w:type="dxa"/>
              <w:bottom w:w="85" w:type="dxa"/>
              <w:right w:w="85" w:type="dxa"/>
            </w:tcMar>
          </w:tcPr>
          <w:p w14:paraId="29A3E446" w14:textId="77777777" w:rsidR="0099110B" w:rsidRPr="00630129" w:rsidRDefault="0099110B" w:rsidP="0099110B">
            <w:pPr>
              <w:rPr>
                <w:sz w:val="22"/>
                <w:szCs w:val="22"/>
              </w:rPr>
            </w:pPr>
            <w:r w:rsidRPr="00630129">
              <w:rPr>
                <w:sz w:val="22"/>
                <w:szCs w:val="22"/>
              </w:rPr>
              <w:t xml:space="preserve">System Operator </w:t>
            </w:r>
            <w:proofErr w:type="spellStart"/>
            <w:r w:rsidRPr="00630129">
              <w:rPr>
                <w:sz w:val="22"/>
                <w:szCs w:val="22"/>
              </w:rPr>
              <w:t>Cashflow</w:t>
            </w:r>
            <w:proofErr w:type="spellEnd"/>
          </w:p>
        </w:tc>
        <w:tc>
          <w:tcPr>
            <w:tcW w:w="974" w:type="pct"/>
            <w:tcMar>
              <w:top w:w="85" w:type="dxa"/>
              <w:left w:w="85" w:type="dxa"/>
              <w:bottom w:w="85" w:type="dxa"/>
              <w:right w:w="85" w:type="dxa"/>
            </w:tcMar>
          </w:tcPr>
          <w:p w14:paraId="0F7913F8" w14:textId="77777777" w:rsidR="0099110B" w:rsidRPr="00630129" w:rsidRDefault="0099110B" w:rsidP="0099110B">
            <w:pPr>
              <w:rPr>
                <w:sz w:val="22"/>
                <w:szCs w:val="22"/>
              </w:rPr>
            </w:pPr>
            <w:proofErr w:type="spellStart"/>
            <w:r w:rsidRPr="00630129">
              <w:rPr>
                <w:sz w:val="22"/>
                <w:szCs w:val="22"/>
              </w:rPr>
              <w:t>CSO</w:t>
            </w:r>
            <w:r w:rsidRPr="00630129">
              <w:rPr>
                <w:sz w:val="22"/>
                <w:szCs w:val="22"/>
                <w:vertAlign w:val="subscript"/>
              </w:rPr>
              <w:t>j</w:t>
            </w:r>
            <w:proofErr w:type="spellEnd"/>
          </w:p>
        </w:tc>
        <w:tc>
          <w:tcPr>
            <w:tcW w:w="492" w:type="pct"/>
            <w:tcMar>
              <w:top w:w="85" w:type="dxa"/>
              <w:left w:w="85" w:type="dxa"/>
              <w:bottom w:w="85" w:type="dxa"/>
              <w:right w:w="85" w:type="dxa"/>
            </w:tcMar>
          </w:tcPr>
          <w:p w14:paraId="32FFCFF6"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1AD9D30E" w14:textId="77777777" w:rsidR="0099110B" w:rsidRPr="00630129" w:rsidRDefault="0099110B" w:rsidP="0099110B">
            <w:pPr>
              <w:spacing w:after="120"/>
              <w:rPr>
                <w:sz w:val="22"/>
                <w:szCs w:val="22"/>
              </w:rPr>
            </w:pPr>
            <w:r w:rsidRPr="00630129">
              <w:rPr>
                <w:sz w:val="22"/>
                <w:szCs w:val="22"/>
              </w:rPr>
              <w:t>The amount determined in accordance with Section T4.9.1.</w:t>
            </w:r>
          </w:p>
          <w:p w14:paraId="31828CE3" w14:textId="77777777" w:rsidR="0099110B" w:rsidRPr="00630129" w:rsidRDefault="0099110B" w:rsidP="0099110B">
            <w:pPr>
              <w:rPr>
                <w:i/>
                <w:sz w:val="22"/>
                <w:szCs w:val="22"/>
              </w:rPr>
            </w:pPr>
            <w:r w:rsidRPr="00630129">
              <w:rPr>
                <w:i/>
                <w:sz w:val="22"/>
                <w:szCs w:val="22"/>
              </w:rPr>
              <w:t xml:space="preserve">The System Operator </w:t>
            </w:r>
            <w:proofErr w:type="spellStart"/>
            <w:r w:rsidRPr="00630129">
              <w:rPr>
                <w:i/>
                <w:sz w:val="22"/>
                <w:szCs w:val="22"/>
              </w:rPr>
              <w:t>Cashflow</w:t>
            </w:r>
            <w:proofErr w:type="spellEnd"/>
            <w:r w:rsidRPr="00630129">
              <w:rPr>
                <w:i/>
                <w:sz w:val="22"/>
                <w:szCs w:val="22"/>
              </w:rPr>
              <w:t xml:space="preserve"> is the amount paid by</w:t>
            </w:r>
            <w:r w:rsidRPr="00630129">
              <w:t xml:space="preserve"> </w:t>
            </w:r>
            <w:r w:rsidRPr="00630129">
              <w:rPr>
                <w:i/>
                <w:sz w:val="22"/>
                <w:szCs w:val="22"/>
              </w:rPr>
              <w:t>or to the System Operator in Settlement Period j in relation to the settlement of the Balancing Services.</w:t>
            </w:r>
          </w:p>
        </w:tc>
      </w:tr>
      <w:tr w:rsidR="0099110B" w:rsidRPr="00630129" w14:paraId="4DF755B8" w14:textId="77777777" w:rsidTr="00A63BA8">
        <w:trPr>
          <w:cantSplit/>
        </w:trPr>
        <w:tc>
          <w:tcPr>
            <w:tcW w:w="994" w:type="pct"/>
            <w:tcMar>
              <w:top w:w="85" w:type="dxa"/>
              <w:left w:w="85" w:type="dxa"/>
              <w:bottom w:w="85" w:type="dxa"/>
              <w:right w:w="85" w:type="dxa"/>
            </w:tcMar>
          </w:tcPr>
          <w:p w14:paraId="25FA67FB" w14:textId="77777777" w:rsidR="0099110B" w:rsidRPr="00630129" w:rsidRDefault="0099110B" w:rsidP="0099110B">
            <w:pPr>
              <w:rPr>
                <w:sz w:val="22"/>
                <w:szCs w:val="22"/>
              </w:rPr>
            </w:pPr>
            <w:r w:rsidRPr="00630129">
              <w:rPr>
                <w:sz w:val="22"/>
                <w:szCs w:val="22"/>
              </w:rPr>
              <w:t>System Sell Action</w:t>
            </w:r>
          </w:p>
        </w:tc>
        <w:tc>
          <w:tcPr>
            <w:tcW w:w="974" w:type="pct"/>
            <w:tcMar>
              <w:top w:w="85" w:type="dxa"/>
              <w:left w:w="85" w:type="dxa"/>
              <w:bottom w:w="85" w:type="dxa"/>
              <w:right w:w="85" w:type="dxa"/>
            </w:tcMar>
          </w:tcPr>
          <w:p w14:paraId="1273E207" w14:textId="77777777" w:rsidR="0099110B" w:rsidRPr="00630129" w:rsidRDefault="0099110B" w:rsidP="0099110B">
            <w:pPr>
              <w:rPr>
                <w:sz w:val="22"/>
                <w:szCs w:val="22"/>
              </w:rPr>
            </w:pPr>
            <w:proofErr w:type="spellStart"/>
            <w:r w:rsidRPr="00630129">
              <w:rPr>
                <w:sz w:val="22"/>
                <w:szCs w:val="22"/>
              </w:rPr>
              <w:t>QSS</w:t>
            </w:r>
            <w:r w:rsidRPr="00630129">
              <w:rPr>
                <w:sz w:val="22"/>
                <w:szCs w:val="22"/>
                <w:vertAlign w:val="superscript"/>
              </w:rPr>
              <w:t>w</w:t>
            </w:r>
            <w:r w:rsidRPr="00630129">
              <w:rPr>
                <w:sz w:val="22"/>
                <w:szCs w:val="22"/>
                <w:vertAlign w:val="subscript"/>
              </w:rPr>
              <w:t>j</w:t>
            </w:r>
            <w:proofErr w:type="spellEnd"/>
          </w:p>
        </w:tc>
        <w:tc>
          <w:tcPr>
            <w:tcW w:w="492" w:type="pct"/>
            <w:tcMar>
              <w:top w:w="85" w:type="dxa"/>
              <w:left w:w="85" w:type="dxa"/>
              <w:bottom w:w="85" w:type="dxa"/>
              <w:right w:w="85" w:type="dxa"/>
            </w:tcMar>
          </w:tcPr>
          <w:p w14:paraId="02B2D1DB"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21297196" w14:textId="77777777" w:rsidR="0099110B" w:rsidRPr="00630129" w:rsidRDefault="0099110B" w:rsidP="0099110B">
            <w:pPr>
              <w:rPr>
                <w:sz w:val="22"/>
                <w:szCs w:val="22"/>
              </w:rPr>
            </w:pPr>
            <w:r w:rsidRPr="00630129">
              <w:rPr>
                <w:sz w:val="22"/>
                <w:szCs w:val="22"/>
              </w:rPr>
              <w:t>Has the meaning given to that term in paragraph 1.2 of Annex T-1.</w:t>
            </w:r>
          </w:p>
        </w:tc>
      </w:tr>
      <w:tr w:rsidR="0099110B" w:rsidRPr="00630129" w14:paraId="1099407C" w14:textId="77777777" w:rsidTr="00A63BA8">
        <w:trPr>
          <w:cantSplit/>
        </w:trPr>
        <w:tc>
          <w:tcPr>
            <w:tcW w:w="994" w:type="pct"/>
            <w:tcMar>
              <w:top w:w="85" w:type="dxa"/>
              <w:left w:w="85" w:type="dxa"/>
              <w:bottom w:w="85" w:type="dxa"/>
              <w:right w:w="85" w:type="dxa"/>
            </w:tcMar>
          </w:tcPr>
          <w:p w14:paraId="24A0569A" w14:textId="77777777" w:rsidR="0099110B" w:rsidRPr="00630129" w:rsidRDefault="0099110B" w:rsidP="0099110B">
            <w:pPr>
              <w:rPr>
                <w:sz w:val="22"/>
                <w:szCs w:val="22"/>
              </w:rPr>
            </w:pPr>
            <w:r w:rsidRPr="00630129">
              <w:rPr>
                <w:sz w:val="22"/>
                <w:szCs w:val="22"/>
              </w:rPr>
              <w:t>System Sell Price</w:t>
            </w:r>
          </w:p>
        </w:tc>
        <w:tc>
          <w:tcPr>
            <w:tcW w:w="974" w:type="pct"/>
            <w:tcMar>
              <w:top w:w="85" w:type="dxa"/>
              <w:left w:w="85" w:type="dxa"/>
              <w:bottom w:w="85" w:type="dxa"/>
              <w:right w:w="85" w:type="dxa"/>
            </w:tcMar>
          </w:tcPr>
          <w:p w14:paraId="362714DB" w14:textId="77777777" w:rsidR="0099110B" w:rsidRPr="00630129" w:rsidRDefault="0099110B" w:rsidP="0099110B">
            <w:pPr>
              <w:rPr>
                <w:sz w:val="22"/>
                <w:szCs w:val="22"/>
              </w:rPr>
            </w:pPr>
            <w:proofErr w:type="spellStart"/>
            <w:r w:rsidRPr="00630129">
              <w:rPr>
                <w:sz w:val="22"/>
                <w:szCs w:val="22"/>
              </w:rPr>
              <w:t>SSP</w:t>
            </w:r>
            <w:r w:rsidRPr="00630129">
              <w:rPr>
                <w:sz w:val="22"/>
                <w:szCs w:val="22"/>
                <w:vertAlign w:val="subscript"/>
              </w:rPr>
              <w:t>j</w:t>
            </w:r>
            <w:proofErr w:type="spellEnd"/>
          </w:p>
        </w:tc>
        <w:tc>
          <w:tcPr>
            <w:tcW w:w="492" w:type="pct"/>
            <w:tcMar>
              <w:top w:w="85" w:type="dxa"/>
              <w:left w:w="85" w:type="dxa"/>
              <w:bottom w:w="85" w:type="dxa"/>
              <w:right w:w="85" w:type="dxa"/>
            </w:tcMar>
          </w:tcPr>
          <w:p w14:paraId="1457F745"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0DB5C027" w14:textId="77777777" w:rsidR="0099110B" w:rsidRPr="00630129" w:rsidRDefault="0099110B" w:rsidP="0099110B">
            <w:pPr>
              <w:rPr>
                <w:i/>
                <w:sz w:val="22"/>
                <w:szCs w:val="22"/>
              </w:rPr>
            </w:pPr>
            <w:r w:rsidRPr="00630129">
              <w:rPr>
                <w:sz w:val="22"/>
                <w:szCs w:val="22"/>
              </w:rPr>
              <w:t xml:space="preserve">The price determined in accordance with Section T4.4.3. </w:t>
            </w:r>
          </w:p>
        </w:tc>
      </w:tr>
      <w:tr w:rsidR="0099110B" w:rsidRPr="00630129" w14:paraId="7A7537B2" w14:textId="77777777" w:rsidTr="00A63BA8">
        <w:trPr>
          <w:cantSplit/>
        </w:trPr>
        <w:tc>
          <w:tcPr>
            <w:tcW w:w="994" w:type="pct"/>
            <w:tcMar>
              <w:top w:w="85" w:type="dxa"/>
              <w:left w:w="85" w:type="dxa"/>
              <w:bottom w:w="85" w:type="dxa"/>
              <w:right w:w="85" w:type="dxa"/>
            </w:tcMar>
          </w:tcPr>
          <w:p w14:paraId="624B7DE2" w14:textId="77777777" w:rsidR="0099110B" w:rsidRPr="00630129" w:rsidRDefault="0099110B" w:rsidP="0099110B">
            <w:pPr>
              <w:rPr>
                <w:sz w:val="22"/>
                <w:szCs w:val="22"/>
              </w:rPr>
            </w:pPr>
            <w:r w:rsidRPr="00630129">
              <w:rPr>
                <w:sz w:val="22"/>
                <w:szCs w:val="22"/>
              </w:rPr>
              <w:t>System Warning</w:t>
            </w:r>
          </w:p>
        </w:tc>
        <w:tc>
          <w:tcPr>
            <w:tcW w:w="974" w:type="pct"/>
            <w:tcMar>
              <w:top w:w="85" w:type="dxa"/>
              <w:left w:w="85" w:type="dxa"/>
              <w:bottom w:w="85" w:type="dxa"/>
              <w:right w:w="85" w:type="dxa"/>
            </w:tcMar>
          </w:tcPr>
          <w:p w14:paraId="052920B8"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15D8EF9D"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3E6D196D" w14:textId="77777777" w:rsidR="0099110B" w:rsidRPr="00630129" w:rsidRDefault="0099110B" w:rsidP="0099110B">
            <w:pPr>
              <w:rPr>
                <w:sz w:val="22"/>
                <w:szCs w:val="22"/>
              </w:rPr>
            </w:pPr>
            <w:r w:rsidRPr="00630129">
              <w:rPr>
                <w:sz w:val="22"/>
                <w:szCs w:val="22"/>
              </w:rPr>
              <w:t>Has the meaning given to that term in BC1 of the Grid Code.</w:t>
            </w:r>
          </w:p>
        </w:tc>
      </w:tr>
      <w:tr w:rsidR="0099110B" w:rsidRPr="00630129" w14:paraId="28AC8C7D" w14:textId="77777777" w:rsidTr="00A63BA8">
        <w:trPr>
          <w:cantSplit/>
        </w:trPr>
        <w:tc>
          <w:tcPr>
            <w:tcW w:w="994" w:type="pct"/>
            <w:tcMar>
              <w:top w:w="85" w:type="dxa"/>
              <w:left w:w="85" w:type="dxa"/>
              <w:bottom w:w="85" w:type="dxa"/>
              <w:right w:w="85" w:type="dxa"/>
            </w:tcMar>
          </w:tcPr>
          <w:p w14:paraId="7DE6A457" w14:textId="77777777" w:rsidR="0099110B" w:rsidRPr="00630129" w:rsidRDefault="0099110B" w:rsidP="0099110B">
            <w:pPr>
              <w:rPr>
                <w:sz w:val="22"/>
                <w:szCs w:val="22"/>
              </w:rPr>
            </w:pPr>
            <w:r w:rsidRPr="00630129">
              <w:rPr>
                <w:sz w:val="22"/>
                <w:szCs w:val="22"/>
              </w:rPr>
              <w:t>System Zone</w:t>
            </w:r>
          </w:p>
        </w:tc>
        <w:tc>
          <w:tcPr>
            <w:tcW w:w="974" w:type="pct"/>
            <w:tcMar>
              <w:top w:w="85" w:type="dxa"/>
              <w:left w:w="85" w:type="dxa"/>
              <w:bottom w:w="85" w:type="dxa"/>
              <w:right w:w="85" w:type="dxa"/>
            </w:tcMar>
          </w:tcPr>
          <w:p w14:paraId="143BA767"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4F91CF64"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27CE1947" w14:textId="77777777" w:rsidR="0099110B" w:rsidRPr="00630129" w:rsidRDefault="0099110B" w:rsidP="0099110B">
            <w:pPr>
              <w:rPr>
                <w:sz w:val="22"/>
                <w:szCs w:val="22"/>
              </w:rPr>
            </w:pPr>
            <w:r w:rsidRPr="00630129">
              <w:rPr>
                <w:sz w:val="22"/>
                <w:szCs w:val="22"/>
              </w:rPr>
              <w:t>Has the meaning given to that term in the Grid Code.</w:t>
            </w:r>
          </w:p>
        </w:tc>
      </w:tr>
      <w:tr w:rsidR="0099110B" w:rsidRPr="00630129" w14:paraId="4A72886A" w14:textId="77777777" w:rsidTr="00A63BA8">
        <w:trPr>
          <w:cantSplit/>
        </w:trPr>
        <w:tc>
          <w:tcPr>
            <w:tcW w:w="994" w:type="pct"/>
            <w:tcMar>
              <w:top w:w="85" w:type="dxa"/>
              <w:left w:w="85" w:type="dxa"/>
              <w:bottom w:w="85" w:type="dxa"/>
              <w:right w:w="85" w:type="dxa"/>
            </w:tcMar>
          </w:tcPr>
          <w:p w14:paraId="7E966D20" w14:textId="77777777" w:rsidR="0099110B" w:rsidRPr="00630129" w:rsidRDefault="0099110B" w:rsidP="0099110B">
            <w:pPr>
              <w:pStyle w:val="Text"/>
              <w:spacing w:after="0"/>
              <w:rPr>
                <w:szCs w:val="22"/>
              </w:rPr>
            </w:pPr>
            <w:r w:rsidRPr="00630129">
              <w:rPr>
                <w:szCs w:val="22"/>
              </w:rPr>
              <w:lastRenderedPageBreak/>
              <w:t>Total Instantaneous Out-Turn Generation</w:t>
            </w:r>
          </w:p>
        </w:tc>
        <w:tc>
          <w:tcPr>
            <w:tcW w:w="974" w:type="pct"/>
            <w:tcMar>
              <w:top w:w="85" w:type="dxa"/>
              <w:left w:w="85" w:type="dxa"/>
              <w:bottom w:w="85" w:type="dxa"/>
              <w:right w:w="85" w:type="dxa"/>
            </w:tcMar>
          </w:tcPr>
          <w:p w14:paraId="6BE55D08"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592EF836" w14:textId="77777777" w:rsidR="0099110B" w:rsidRPr="00630129" w:rsidRDefault="0099110B" w:rsidP="0099110B">
            <w:pPr>
              <w:rPr>
                <w:sz w:val="22"/>
                <w:szCs w:val="22"/>
              </w:rPr>
            </w:pPr>
            <w:r w:rsidRPr="00630129">
              <w:rPr>
                <w:sz w:val="22"/>
                <w:szCs w:val="22"/>
              </w:rPr>
              <w:t>MW</w:t>
            </w:r>
          </w:p>
        </w:tc>
        <w:tc>
          <w:tcPr>
            <w:tcW w:w="2540" w:type="pct"/>
            <w:tcMar>
              <w:top w:w="85" w:type="dxa"/>
              <w:left w:w="85" w:type="dxa"/>
              <w:bottom w:w="85" w:type="dxa"/>
              <w:right w:w="85" w:type="dxa"/>
            </w:tcMar>
          </w:tcPr>
          <w:p w14:paraId="79F516A4" w14:textId="77777777" w:rsidR="0099110B" w:rsidRPr="00630129" w:rsidRDefault="0099110B" w:rsidP="0099110B">
            <w:pPr>
              <w:rPr>
                <w:sz w:val="22"/>
                <w:szCs w:val="22"/>
              </w:rPr>
            </w:pPr>
            <w:r w:rsidRPr="00630129">
              <w:rPr>
                <w:sz w:val="22"/>
                <w:szCs w:val="22"/>
              </w:rPr>
              <w:t>The total instantaneous generation metered by the NETSO in accordance with CC6.5.6 of the Grid Code.</w:t>
            </w:r>
          </w:p>
        </w:tc>
      </w:tr>
      <w:tr w:rsidR="0099110B" w:rsidRPr="00630129" w14:paraId="7DBECE97" w14:textId="77777777" w:rsidTr="00A63BA8">
        <w:trPr>
          <w:cantSplit/>
        </w:trPr>
        <w:tc>
          <w:tcPr>
            <w:tcW w:w="994" w:type="pct"/>
            <w:tcMar>
              <w:top w:w="85" w:type="dxa"/>
              <w:left w:w="85" w:type="dxa"/>
              <w:bottom w:w="85" w:type="dxa"/>
              <w:right w:w="85" w:type="dxa"/>
            </w:tcMar>
          </w:tcPr>
          <w:p w14:paraId="26E827A5" w14:textId="77777777" w:rsidR="0099110B" w:rsidRPr="00630129" w:rsidRDefault="0099110B" w:rsidP="0099110B">
            <w:pPr>
              <w:pStyle w:val="Text"/>
              <w:spacing w:after="0"/>
              <w:rPr>
                <w:szCs w:val="22"/>
              </w:rPr>
            </w:pPr>
            <w:r w:rsidRPr="00630129">
              <w:rPr>
                <w:szCs w:val="22"/>
              </w:rPr>
              <w:t>Total Metered Capacity</w:t>
            </w:r>
          </w:p>
        </w:tc>
        <w:tc>
          <w:tcPr>
            <w:tcW w:w="974" w:type="pct"/>
            <w:tcMar>
              <w:top w:w="85" w:type="dxa"/>
              <w:left w:w="85" w:type="dxa"/>
              <w:bottom w:w="85" w:type="dxa"/>
              <w:right w:w="85" w:type="dxa"/>
            </w:tcMar>
          </w:tcPr>
          <w:p w14:paraId="3345B651"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146FFEF2" w14:textId="77777777" w:rsidR="0099110B" w:rsidRPr="00630129" w:rsidRDefault="0099110B" w:rsidP="0099110B">
            <w:pPr>
              <w:rPr>
                <w:sz w:val="22"/>
                <w:szCs w:val="22"/>
              </w:rPr>
            </w:pPr>
            <w:r w:rsidRPr="00630129">
              <w:rPr>
                <w:sz w:val="22"/>
                <w:szCs w:val="22"/>
              </w:rPr>
              <w:t>MW</w:t>
            </w:r>
          </w:p>
        </w:tc>
        <w:tc>
          <w:tcPr>
            <w:tcW w:w="2540" w:type="pct"/>
            <w:tcMar>
              <w:top w:w="85" w:type="dxa"/>
              <w:left w:w="85" w:type="dxa"/>
              <w:bottom w:w="85" w:type="dxa"/>
              <w:right w:w="85" w:type="dxa"/>
            </w:tcMar>
          </w:tcPr>
          <w:p w14:paraId="27944243" w14:textId="77777777" w:rsidR="0099110B" w:rsidRPr="00630129" w:rsidRDefault="0099110B" w:rsidP="0099110B">
            <w:pPr>
              <w:rPr>
                <w:sz w:val="22"/>
                <w:szCs w:val="22"/>
              </w:rPr>
            </w:pPr>
            <w:r w:rsidRPr="00630129">
              <w:rPr>
                <w:sz w:val="22"/>
                <w:szCs w:val="22"/>
              </w:rPr>
              <w:t>The total value of the Registered Capacity of all Power Park Modules metered by the NETSO in accordance with CC6.5.6 of the Grid Code.</w:t>
            </w:r>
          </w:p>
        </w:tc>
      </w:tr>
      <w:tr w:rsidR="0099110B" w:rsidRPr="00630129" w14:paraId="5C8FBAB2" w14:textId="77777777" w:rsidTr="0058731E">
        <w:trPr>
          <w:cantSplit/>
          <w:ins w:id="25" w:author="Aditi Tulpule" w:date="2021-02-24T16:16:00Z"/>
        </w:trPr>
        <w:tc>
          <w:tcPr>
            <w:tcW w:w="994" w:type="pct"/>
            <w:tcMar>
              <w:top w:w="85" w:type="dxa"/>
              <w:left w:w="85" w:type="dxa"/>
              <w:bottom w:w="85" w:type="dxa"/>
              <w:right w:w="85" w:type="dxa"/>
            </w:tcMar>
          </w:tcPr>
          <w:p w14:paraId="6FD2E758" w14:textId="0F02BA52" w:rsidR="0099110B" w:rsidRPr="00630129" w:rsidRDefault="0099110B" w:rsidP="0099110B">
            <w:pPr>
              <w:pStyle w:val="Text"/>
              <w:spacing w:after="0"/>
              <w:rPr>
                <w:ins w:id="26" w:author="Aditi Tulpule" w:date="2021-02-24T16:16:00Z"/>
                <w:szCs w:val="22"/>
              </w:rPr>
            </w:pPr>
            <w:ins w:id="27" w:author="Aditi Tulpule" w:date="2021-02-24T16:16:00Z">
              <w:r>
                <w:rPr>
                  <w:szCs w:val="22"/>
                </w:rPr>
                <w:t>Total AMSID Pair Delivered Volume</w:t>
              </w:r>
            </w:ins>
          </w:p>
        </w:tc>
        <w:tc>
          <w:tcPr>
            <w:tcW w:w="974" w:type="pct"/>
            <w:tcMar>
              <w:top w:w="85" w:type="dxa"/>
              <w:left w:w="85" w:type="dxa"/>
              <w:bottom w:w="85" w:type="dxa"/>
              <w:right w:w="85" w:type="dxa"/>
            </w:tcMar>
          </w:tcPr>
          <w:p w14:paraId="09021448" w14:textId="4771340E" w:rsidR="0099110B" w:rsidRPr="00630129" w:rsidRDefault="0099110B" w:rsidP="0099110B">
            <w:pPr>
              <w:rPr>
                <w:ins w:id="28" w:author="Aditi Tulpule" w:date="2021-02-24T16:16:00Z"/>
                <w:sz w:val="22"/>
                <w:szCs w:val="22"/>
              </w:rPr>
            </w:pPr>
            <w:proofErr w:type="spellStart"/>
            <w:ins w:id="29" w:author="Aditi Tulpule" w:date="2021-02-24T16:16:00Z">
              <w:r>
                <w:rPr>
                  <w:sz w:val="22"/>
                  <w:szCs w:val="22"/>
                </w:rPr>
                <w:t>TAPDV</w:t>
              </w:r>
              <w:r w:rsidRPr="00F82C93">
                <w:rPr>
                  <w:sz w:val="22"/>
                  <w:szCs w:val="22"/>
                  <w:vertAlign w:val="subscript"/>
                </w:rPr>
                <w:t>j</w:t>
              </w:r>
              <w:proofErr w:type="spellEnd"/>
            </w:ins>
          </w:p>
        </w:tc>
        <w:tc>
          <w:tcPr>
            <w:tcW w:w="492" w:type="pct"/>
            <w:tcMar>
              <w:top w:w="85" w:type="dxa"/>
              <w:left w:w="85" w:type="dxa"/>
              <w:bottom w:w="85" w:type="dxa"/>
              <w:right w:w="85" w:type="dxa"/>
            </w:tcMar>
          </w:tcPr>
          <w:p w14:paraId="2FD0C4A1" w14:textId="6086DC00" w:rsidR="0099110B" w:rsidRPr="00630129" w:rsidRDefault="0099110B" w:rsidP="0099110B">
            <w:pPr>
              <w:rPr>
                <w:ins w:id="30" w:author="Aditi Tulpule" w:date="2021-02-24T16:16:00Z"/>
                <w:sz w:val="22"/>
                <w:szCs w:val="22"/>
              </w:rPr>
            </w:pPr>
            <w:ins w:id="31" w:author="Aditi Tulpule" w:date="2021-02-24T16:16:00Z">
              <w:r w:rsidRPr="004C7C3F">
                <w:rPr>
                  <w:sz w:val="22"/>
                  <w:szCs w:val="22"/>
                </w:rPr>
                <w:t>MWh</w:t>
              </w:r>
            </w:ins>
          </w:p>
        </w:tc>
        <w:tc>
          <w:tcPr>
            <w:tcW w:w="2540" w:type="pct"/>
            <w:tcMar>
              <w:top w:w="85" w:type="dxa"/>
              <w:left w:w="85" w:type="dxa"/>
              <w:bottom w:w="85" w:type="dxa"/>
              <w:right w:w="85" w:type="dxa"/>
            </w:tcMar>
          </w:tcPr>
          <w:p w14:paraId="77143059" w14:textId="5A55B155" w:rsidR="0099110B" w:rsidRPr="00630129" w:rsidRDefault="0099110B" w:rsidP="0099110B">
            <w:pPr>
              <w:rPr>
                <w:ins w:id="32" w:author="Aditi Tulpule" w:date="2021-02-24T16:16:00Z"/>
                <w:sz w:val="22"/>
                <w:szCs w:val="22"/>
              </w:rPr>
            </w:pPr>
            <w:ins w:id="33" w:author="Aditi Tulpule" w:date="2021-02-24T16:16:00Z">
              <w:r w:rsidRPr="00FC0D03">
                <w:rPr>
                  <w:sz w:val="22"/>
                </w:rPr>
                <w:t xml:space="preserve">The amount determined in accordance with </w:t>
              </w:r>
              <w:r w:rsidRPr="00630129">
                <w:rPr>
                  <w:sz w:val="22"/>
                  <w:szCs w:val="22"/>
                </w:rPr>
                <w:t>Annex S-2</w:t>
              </w:r>
              <w:r>
                <w:rPr>
                  <w:sz w:val="22"/>
                  <w:szCs w:val="22"/>
                </w:rPr>
                <w:t xml:space="preserve"> </w:t>
              </w:r>
              <w:r>
                <w:rPr>
                  <w:sz w:val="22"/>
                </w:rPr>
                <w:t>3.11.3</w:t>
              </w:r>
              <w:r w:rsidRPr="00FC0D03">
                <w:rPr>
                  <w:sz w:val="22"/>
                </w:rPr>
                <w:t>.</w:t>
              </w:r>
            </w:ins>
          </w:p>
        </w:tc>
      </w:tr>
      <w:tr w:rsidR="0099110B" w:rsidRPr="00630129" w14:paraId="05286B5A" w14:textId="77777777" w:rsidTr="0058731E">
        <w:trPr>
          <w:cantSplit/>
          <w:ins w:id="34" w:author="Aditi Tulpule" w:date="2021-02-24T16:16:00Z"/>
        </w:trPr>
        <w:tc>
          <w:tcPr>
            <w:tcW w:w="994" w:type="pct"/>
            <w:tcMar>
              <w:top w:w="85" w:type="dxa"/>
              <w:left w:w="85" w:type="dxa"/>
              <w:bottom w:w="85" w:type="dxa"/>
              <w:right w:w="85" w:type="dxa"/>
            </w:tcMar>
          </w:tcPr>
          <w:p w14:paraId="60DCF9B0" w14:textId="0F1D9909" w:rsidR="0099110B" w:rsidRPr="00630129" w:rsidRDefault="0099110B" w:rsidP="0099110B">
            <w:pPr>
              <w:pStyle w:val="Text"/>
              <w:spacing w:after="0"/>
              <w:rPr>
                <w:ins w:id="35" w:author="Aditi Tulpule" w:date="2021-02-24T16:16:00Z"/>
                <w:szCs w:val="22"/>
              </w:rPr>
            </w:pPr>
            <w:ins w:id="36" w:author="Aditi Tulpule" w:date="2021-02-24T16:16:00Z">
              <w:r>
                <w:t xml:space="preserve">Total </w:t>
              </w:r>
              <w:r w:rsidRPr="00FC0D03">
                <w:t>MSID Pair Delivered Volume</w:t>
              </w:r>
            </w:ins>
          </w:p>
        </w:tc>
        <w:tc>
          <w:tcPr>
            <w:tcW w:w="974" w:type="pct"/>
            <w:tcMar>
              <w:top w:w="85" w:type="dxa"/>
              <w:left w:w="85" w:type="dxa"/>
              <w:bottom w:w="85" w:type="dxa"/>
              <w:right w:w="85" w:type="dxa"/>
            </w:tcMar>
          </w:tcPr>
          <w:p w14:paraId="1863CB8D" w14:textId="7DACD6A7" w:rsidR="0099110B" w:rsidRPr="00630129" w:rsidRDefault="0099110B" w:rsidP="0099110B">
            <w:pPr>
              <w:rPr>
                <w:ins w:id="37" w:author="Aditi Tulpule" w:date="2021-02-24T16:16:00Z"/>
                <w:sz w:val="22"/>
                <w:szCs w:val="22"/>
              </w:rPr>
            </w:pPr>
            <w:proofErr w:type="spellStart"/>
            <w:ins w:id="38" w:author="Aditi Tulpule" w:date="2021-02-24T16:16:00Z">
              <w:r>
                <w:rPr>
                  <w:sz w:val="22"/>
                  <w:szCs w:val="22"/>
                </w:rPr>
                <w:t>TMPDV</w:t>
              </w:r>
              <w:r>
                <w:rPr>
                  <w:sz w:val="22"/>
                  <w:szCs w:val="22"/>
                  <w:vertAlign w:val="subscript"/>
                </w:rPr>
                <w:t>j</w:t>
              </w:r>
              <w:proofErr w:type="spellEnd"/>
            </w:ins>
          </w:p>
        </w:tc>
        <w:tc>
          <w:tcPr>
            <w:tcW w:w="492" w:type="pct"/>
            <w:tcMar>
              <w:top w:w="85" w:type="dxa"/>
              <w:left w:w="85" w:type="dxa"/>
              <w:bottom w:w="85" w:type="dxa"/>
              <w:right w:w="85" w:type="dxa"/>
            </w:tcMar>
          </w:tcPr>
          <w:p w14:paraId="4784A84E" w14:textId="1363CC03" w:rsidR="0099110B" w:rsidRPr="00630129" w:rsidRDefault="0099110B" w:rsidP="0099110B">
            <w:pPr>
              <w:rPr>
                <w:ins w:id="39" w:author="Aditi Tulpule" w:date="2021-02-24T16:16:00Z"/>
                <w:sz w:val="22"/>
                <w:szCs w:val="22"/>
              </w:rPr>
            </w:pPr>
            <w:ins w:id="40" w:author="Aditi Tulpule" w:date="2021-02-24T16:16:00Z">
              <w:r w:rsidRPr="00FC0D03">
                <w:rPr>
                  <w:sz w:val="22"/>
                </w:rPr>
                <w:t>MWh</w:t>
              </w:r>
            </w:ins>
          </w:p>
        </w:tc>
        <w:tc>
          <w:tcPr>
            <w:tcW w:w="2540" w:type="pct"/>
            <w:tcMar>
              <w:top w:w="85" w:type="dxa"/>
              <w:left w:w="85" w:type="dxa"/>
              <w:bottom w:w="85" w:type="dxa"/>
              <w:right w:w="85" w:type="dxa"/>
            </w:tcMar>
          </w:tcPr>
          <w:p w14:paraId="47398822" w14:textId="08D684E3" w:rsidR="0099110B" w:rsidRPr="001D4CE0" w:rsidRDefault="0099110B" w:rsidP="0099110B">
            <w:pPr>
              <w:spacing w:after="120"/>
              <w:rPr>
                <w:ins w:id="41" w:author="Aditi Tulpule" w:date="2021-02-24T16:16:00Z"/>
                <w:sz w:val="22"/>
              </w:rPr>
            </w:pPr>
            <w:ins w:id="42" w:author="Aditi Tulpule" w:date="2021-02-24T16:16:00Z">
              <w:r w:rsidRPr="00FC0D03">
                <w:rPr>
                  <w:sz w:val="22"/>
                </w:rPr>
                <w:t xml:space="preserve">The amount determined in accordance with </w:t>
              </w:r>
              <w:r w:rsidRPr="00630129">
                <w:rPr>
                  <w:sz w:val="22"/>
                  <w:szCs w:val="22"/>
                </w:rPr>
                <w:t>Annex S-2</w:t>
              </w:r>
              <w:r>
                <w:rPr>
                  <w:sz w:val="22"/>
                  <w:szCs w:val="22"/>
                </w:rPr>
                <w:t xml:space="preserve"> </w:t>
              </w:r>
              <w:r>
                <w:rPr>
                  <w:sz w:val="22"/>
                </w:rPr>
                <w:t>3.10.1B</w:t>
              </w:r>
              <w:r w:rsidRPr="00FC0D03">
                <w:rPr>
                  <w:sz w:val="22"/>
                </w:rPr>
                <w:t>.</w:t>
              </w:r>
            </w:ins>
          </w:p>
        </w:tc>
      </w:tr>
      <w:tr w:rsidR="0099110B" w:rsidRPr="00630129" w14:paraId="56FFB175" w14:textId="77777777" w:rsidTr="00A63BA8">
        <w:trPr>
          <w:cantSplit/>
        </w:trPr>
        <w:tc>
          <w:tcPr>
            <w:tcW w:w="994" w:type="pct"/>
            <w:tcMar>
              <w:top w:w="85" w:type="dxa"/>
              <w:left w:w="85" w:type="dxa"/>
              <w:bottom w:w="85" w:type="dxa"/>
              <w:right w:w="85" w:type="dxa"/>
            </w:tcMar>
          </w:tcPr>
          <w:p w14:paraId="1C087749" w14:textId="77777777" w:rsidR="0099110B" w:rsidRPr="00630129" w:rsidRDefault="0099110B" w:rsidP="0099110B">
            <w:pPr>
              <w:pStyle w:val="Text"/>
              <w:spacing w:after="0"/>
              <w:rPr>
                <w:szCs w:val="22"/>
              </w:rPr>
            </w:pPr>
            <w:r w:rsidRPr="00630129">
              <w:rPr>
                <w:szCs w:val="22"/>
              </w:rPr>
              <w:t>Total Output Usable</w:t>
            </w:r>
          </w:p>
        </w:tc>
        <w:tc>
          <w:tcPr>
            <w:tcW w:w="974" w:type="pct"/>
            <w:tcMar>
              <w:top w:w="85" w:type="dxa"/>
              <w:left w:w="85" w:type="dxa"/>
              <w:bottom w:w="85" w:type="dxa"/>
              <w:right w:w="85" w:type="dxa"/>
            </w:tcMar>
          </w:tcPr>
          <w:p w14:paraId="0BD4EBE3"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026A1812" w14:textId="77777777" w:rsidR="0099110B" w:rsidRPr="00630129" w:rsidRDefault="0099110B" w:rsidP="0099110B">
            <w:pPr>
              <w:rPr>
                <w:sz w:val="22"/>
                <w:szCs w:val="22"/>
              </w:rPr>
            </w:pPr>
            <w:r w:rsidRPr="00630129">
              <w:rPr>
                <w:sz w:val="22"/>
                <w:szCs w:val="22"/>
              </w:rPr>
              <w:t>MW</w:t>
            </w:r>
          </w:p>
        </w:tc>
        <w:tc>
          <w:tcPr>
            <w:tcW w:w="2540" w:type="pct"/>
            <w:tcMar>
              <w:top w:w="85" w:type="dxa"/>
              <w:left w:w="85" w:type="dxa"/>
              <w:bottom w:w="85" w:type="dxa"/>
              <w:right w:w="85" w:type="dxa"/>
            </w:tcMar>
          </w:tcPr>
          <w:p w14:paraId="3B2A0B49" w14:textId="77777777" w:rsidR="0099110B" w:rsidRPr="00630129" w:rsidRDefault="0099110B" w:rsidP="0099110B">
            <w:pPr>
              <w:rPr>
                <w:sz w:val="22"/>
                <w:szCs w:val="22"/>
              </w:rPr>
            </w:pPr>
            <w:r w:rsidRPr="00630129">
              <w:rPr>
                <w:sz w:val="22"/>
                <w:szCs w:val="22"/>
              </w:rPr>
              <w:t xml:space="preserve">Means the sum of Output </w:t>
            </w:r>
            <w:proofErr w:type="spellStart"/>
            <w:r w:rsidRPr="00630129">
              <w:rPr>
                <w:sz w:val="22"/>
                <w:szCs w:val="22"/>
              </w:rPr>
              <w:t>Usables</w:t>
            </w:r>
            <w:proofErr w:type="spellEnd"/>
            <w:r w:rsidRPr="00630129">
              <w:rPr>
                <w:sz w:val="22"/>
                <w:szCs w:val="22"/>
              </w:rPr>
              <w:t xml:space="preserve"> (as defined in the Grid Code) excluding (unless expressly stated otherwise in the Code) expected Interconnector transfer capacity.</w:t>
            </w:r>
          </w:p>
        </w:tc>
      </w:tr>
      <w:tr w:rsidR="0099110B" w:rsidRPr="00630129" w14:paraId="5EFB3D3C" w14:textId="77777777" w:rsidTr="00A63BA8">
        <w:trPr>
          <w:cantSplit/>
        </w:trPr>
        <w:tc>
          <w:tcPr>
            <w:tcW w:w="994" w:type="pct"/>
            <w:tcMar>
              <w:top w:w="85" w:type="dxa"/>
              <w:left w:w="85" w:type="dxa"/>
              <w:bottom w:w="85" w:type="dxa"/>
              <w:right w:w="85" w:type="dxa"/>
            </w:tcMar>
          </w:tcPr>
          <w:p w14:paraId="2A47C05A" w14:textId="77777777" w:rsidR="0099110B" w:rsidRPr="00630129" w:rsidRDefault="0099110B" w:rsidP="0099110B">
            <w:pPr>
              <w:rPr>
                <w:sz w:val="22"/>
                <w:szCs w:val="22"/>
              </w:rPr>
            </w:pPr>
            <w:r w:rsidRPr="00630129">
              <w:rPr>
                <w:sz w:val="22"/>
                <w:szCs w:val="22"/>
              </w:rPr>
              <w:t>Total Period Applicable Balancing Services Volume</w:t>
            </w:r>
          </w:p>
        </w:tc>
        <w:tc>
          <w:tcPr>
            <w:tcW w:w="974" w:type="pct"/>
            <w:tcMar>
              <w:top w:w="85" w:type="dxa"/>
              <w:left w:w="85" w:type="dxa"/>
              <w:bottom w:w="85" w:type="dxa"/>
              <w:right w:w="85" w:type="dxa"/>
            </w:tcMar>
          </w:tcPr>
          <w:p w14:paraId="1DAB1749" w14:textId="77777777" w:rsidR="0099110B" w:rsidRPr="00630129" w:rsidRDefault="0099110B" w:rsidP="0099110B">
            <w:pPr>
              <w:rPr>
                <w:sz w:val="22"/>
                <w:szCs w:val="22"/>
              </w:rPr>
            </w:pPr>
            <w:proofErr w:type="spellStart"/>
            <w:r w:rsidRPr="00630129">
              <w:rPr>
                <w:sz w:val="22"/>
                <w:szCs w:val="22"/>
              </w:rPr>
              <w:t>TQAS</w:t>
            </w:r>
            <w:r w:rsidRPr="00630129">
              <w:rPr>
                <w:sz w:val="22"/>
                <w:szCs w:val="22"/>
                <w:vertAlign w:val="subscript"/>
              </w:rPr>
              <w:t>j</w:t>
            </w:r>
            <w:proofErr w:type="spellEnd"/>
          </w:p>
        </w:tc>
        <w:tc>
          <w:tcPr>
            <w:tcW w:w="492" w:type="pct"/>
            <w:tcMar>
              <w:top w:w="85" w:type="dxa"/>
              <w:left w:w="85" w:type="dxa"/>
              <w:bottom w:w="85" w:type="dxa"/>
              <w:right w:w="85" w:type="dxa"/>
            </w:tcMar>
          </w:tcPr>
          <w:p w14:paraId="47A91626" w14:textId="77777777" w:rsidR="0099110B" w:rsidRPr="00630129" w:rsidRDefault="0099110B" w:rsidP="0099110B">
            <w:pPr>
              <w:pStyle w:val="Text"/>
              <w:spacing w:after="0"/>
              <w:rPr>
                <w:szCs w:val="22"/>
              </w:rPr>
            </w:pPr>
            <w:r w:rsidRPr="00630129">
              <w:rPr>
                <w:szCs w:val="22"/>
              </w:rPr>
              <w:t>MWh</w:t>
            </w:r>
          </w:p>
        </w:tc>
        <w:tc>
          <w:tcPr>
            <w:tcW w:w="2540" w:type="pct"/>
            <w:tcMar>
              <w:top w:w="85" w:type="dxa"/>
              <w:left w:w="85" w:type="dxa"/>
              <w:bottom w:w="85" w:type="dxa"/>
              <w:right w:w="85" w:type="dxa"/>
            </w:tcMar>
          </w:tcPr>
          <w:p w14:paraId="3CC38659" w14:textId="77777777" w:rsidR="0099110B" w:rsidRPr="00630129" w:rsidRDefault="0099110B" w:rsidP="0099110B">
            <w:pPr>
              <w:spacing w:after="120"/>
              <w:rPr>
                <w:sz w:val="22"/>
                <w:szCs w:val="22"/>
              </w:rPr>
            </w:pPr>
            <w:r w:rsidRPr="00630129">
              <w:rPr>
                <w:sz w:val="22"/>
                <w:szCs w:val="22"/>
              </w:rPr>
              <w:t>The amount determined in accordance with Section T4.6.5.</w:t>
            </w:r>
          </w:p>
          <w:p w14:paraId="3405D64E" w14:textId="77777777" w:rsidR="0099110B" w:rsidRPr="00630129" w:rsidRDefault="0099110B" w:rsidP="0099110B">
            <w:pPr>
              <w:rPr>
                <w:i/>
                <w:sz w:val="22"/>
                <w:szCs w:val="22"/>
              </w:rPr>
            </w:pPr>
            <w:r w:rsidRPr="00630129">
              <w:rPr>
                <w:i/>
                <w:sz w:val="22"/>
                <w:szCs w:val="22"/>
              </w:rPr>
              <w:t>The Total Period Applicable Balancing Services Volume is the net quantity of energy associated with delivery of Applicable Balancing Services by all BM Units in Settlement Period j.</w:t>
            </w:r>
          </w:p>
        </w:tc>
      </w:tr>
      <w:tr w:rsidR="0099110B" w:rsidRPr="00630129" w14:paraId="468D0E17" w14:textId="77777777" w:rsidTr="00A63BA8">
        <w:trPr>
          <w:cantSplit/>
        </w:trPr>
        <w:tc>
          <w:tcPr>
            <w:tcW w:w="994" w:type="pct"/>
            <w:tcMar>
              <w:top w:w="85" w:type="dxa"/>
              <w:left w:w="85" w:type="dxa"/>
              <w:bottom w:w="85" w:type="dxa"/>
              <w:right w:w="85" w:type="dxa"/>
            </w:tcMar>
          </w:tcPr>
          <w:p w14:paraId="67690AE6" w14:textId="77777777" w:rsidR="0099110B" w:rsidRPr="00630129" w:rsidRDefault="0099110B" w:rsidP="0099110B">
            <w:pPr>
              <w:rPr>
                <w:sz w:val="22"/>
                <w:szCs w:val="22"/>
              </w:rPr>
            </w:pPr>
            <w:r w:rsidRPr="00630129">
              <w:rPr>
                <w:sz w:val="22"/>
                <w:szCs w:val="22"/>
              </w:rPr>
              <w:t>Total Period Deemed Standard Product Bid Volume</w:t>
            </w:r>
          </w:p>
        </w:tc>
        <w:tc>
          <w:tcPr>
            <w:tcW w:w="974" w:type="pct"/>
            <w:tcMar>
              <w:top w:w="85" w:type="dxa"/>
              <w:left w:w="85" w:type="dxa"/>
              <w:bottom w:w="85" w:type="dxa"/>
              <w:right w:w="85" w:type="dxa"/>
            </w:tcMar>
          </w:tcPr>
          <w:p w14:paraId="43D40D2B" w14:textId="77777777" w:rsidR="0099110B" w:rsidRPr="00630129" w:rsidRDefault="0099110B" w:rsidP="0099110B">
            <w:pPr>
              <w:rPr>
                <w:sz w:val="22"/>
                <w:szCs w:val="22"/>
              </w:rPr>
            </w:pPr>
            <w:proofErr w:type="spellStart"/>
            <w:r w:rsidRPr="00630129">
              <w:rPr>
                <w:sz w:val="22"/>
                <w:szCs w:val="22"/>
              </w:rPr>
              <w:t>TDSPB</w:t>
            </w:r>
            <w:r w:rsidRPr="00630129">
              <w:rPr>
                <w:sz w:val="22"/>
                <w:szCs w:val="22"/>
                <w:vertAlign w:val="subscript"/>
              </w:rPr>
              <w:t>ij</w:t>
            </w:r>
            <w:proofErr w:type="spellEnd"/>
          </w:p>
        </w:tc>
        <w:tc>
          <w:tcPr>
            <w:tcW w:w="492" w:type="pct"/>
            <w:tcMar>
              <w:top w:w="85" w:type="dxa"/>
              <w:left w:w="85" w:type="dxa"/>
              <w:bottom w:w="85" w:type="dxa"/>
              <w:right w:w="85" w:type="dxa"/>
            </w:tcMar>
          </w:tcPr>
          <w:p w14:paraId="390A0EE0"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51E98290" w14:textId="77777777" w:rsidR="0099110B" w:rsidRPr="00630129" w:rsidRDefault="0099110B" w:rsidP="0099110B">
            <w:pPr>
              <w:spacing w:after="120"/>
              <w:rPr>
                <w:sz w:val="22"/>
                <w:szCs w:val="22"/>
              </w:rPr>
            </w:pPr>
            <w:r w:rsidRPr="00630129">
              <w:rPr>
                <w:sz w:val="22"/>
                <w:szCs w:val="22"/>
              </w:rPr>
              <w:t>The quantity established in accordance with Section T3.21.2.</w:t>
            </w:r>
          </w:p>
          <w:p w14:paraId="0642AA54" w14:textId="77777777" w:rsidR="0099110B" w:rsidRPr="00630129" w:rsidRDefault="0099110B" w:rsidP="0099110B">
            <w:pPr>
              <w:rPr>
                <w:sz w:val="22"/>
                <w:szCs w:val="22"/>
              </w:rPr>
            </w:pPr>
            <w:r w:rsidRPr="00630129">
              <w:rPr>
                <w:i/>
                <w:sz w:val="22"/>
                <w:szCs w:val="22"/>
              </w:rPr>
              <w:t xml:space="preserve">The Total Period Deemed Standard Product Bid Volume is the volume of Bid, accepted in respect of BM Unit </w:t>
            </w:r>
            <w:proofErr w:type="spellStart"/>
            <w:r w:rsidRPr="00630129">
              <w:rPr>
                <w:i/>
                <w:sz w:val="22"/>
                <w:szCs w:val="22"/>
              </w:rPr>
              <w:t>i</w:t>
            </w:r>
            <w:proofErr w:type="spellEnd"/>
            <w:r w:rsidRPr="00630129">
              <w:rPr>
                <w:i/>
                <w:sz w:val="22"/>
                <w:szCs w:val="22"/>
              </w:rPr>
              <w:t>, in Settlement Period j as a result of all acceptances of a Replacement Reserve Bid in that Settlement Period.</w:t>
            </w:r>
          </w:p>
        </w:tc>
      </w:tr>
      <w:tr w:rsidR="0099110B" w:rsidRPr="00630129" w14:paraId="42929860" w14:textId="77777777" w:rsidTr="00A63BA8">
        <w:trPr>
          <w:cantSplit/>
        </w:trPr>
        <w:tc>
          <w:tcPr>
            <w:tcW w:w="994" w:type="pct"/>
            <w:tcMar>
              <w:top w:w="85" w:type="dxa"/>
              <w:left w:w="85" w:type="dxa"/>
              <w:bottom w:w="85" w:type="dxa"/>
              <w:right w:w="85" w:type="dxa"/>
            </w:tcMar>
          </w:tcPr>
          <w:p w14:paraId="2C625D53" w14:textId="77777777" w:rsidR="0099110B" w:rsidRPr="00630129" w:rsidRDefault="0099110B" w:rsidP="0099110B">
            <w:pPr>
              <w:rPr>
                <w:sz w:val="22"/>
                <w:szCs w:val="22"/>
              </w:rPr>
            </w:pPr>
            <w:r w:rsidRPr="00630129">
              <w:rPr>
                <w:sz w:val="22"/>
                <w:szCs w:val="22"/>
              </w:rPr>
              <w:t>Total Period Deemed Standard Product Offer Volume</w:t>
            </w:r>
          </w:p>
        </w:tc>
        <w:tc>
          <w:tcPr>
            <w:tcW w:w="974" w:type="pct"/>
            <w:tcMar>
              <w:top w:w="85" w:type="dxa"/>
              <w:left w:w="85" w:type="dxa"/>
              <w:bottom w:w="85" w:type="dxa"/>
              <w:right w:w="85" w:type="dxa"/>
            </w:tcMar>
          </w:tcPr>
          <w:p w14:paraId="54A3123E" w14:textId="77777777" w:rsidR="0099110B" w:rsidRPr="00630129" w:rsidRDefault="0099110B" w:rsidP="0099110B">
            <w:pPr>
              <w:rPr>
                <w:sz w:val="22"/>
                <w:szCs w:val="22"/>
              </w:rPr>
            </w:pPr>
            <w:proofErr w:type="spellStart"/>
            <w:r w:rsidRPr="00630129">
              <w:rPr>
                <w:sz w:val="22"/>
                <w:szCs w:val="22"/>
              </w:rPr>
              <w:t>TDSPO</w:t>
            </w:r>
            <w:r w:rsidRPr="00630129">
              <w:rPr>
                <w:sz w:val="22"/>
                <w:szCs w:val="22"/>
                <w:vertAlign w:val="subscript"/>
              </w:rPr>
              <w:t>ij</w:t>
            </w:r>
            <w:proofErr w:type="spellEnd"/>
          </w:p>
        </w:tc>
        <w:tc>
          <w:tcPr>
            <w:tcW w:w="492" w:type="pct"/>
            <w:tcMar>
              <w:top w:w="85" w:type="dxa"/>
              <w:left w:w="85" w:type="dxa"/>
              <w:bottom w:w="85" w:type="dxa"/>
              <w:right w:w="85" w:type="dxa"/>
            </w:tcMar>
          </w:tcPr>
          <w:p w14:paraId="0EFFAD3E"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01A5D967" w14:textId="77777777" w:rsidR="0099110B" w:rsidRPr="00630129" w:rsidRDefault="0099110B" w:rsidP="0099110B">
            <w:pPr>
              <w:spacing w:after="120"/>
              <w:rPr>
                <w:sz w:val="22"/>
                <w:szCs w:val="22"/>
              </w:rPr>
            </w:pPr>
            <w:r w:rsidRPr="00630129">
              <w:rPr>
                <w:sz w:val="22"/>
                <w:szCs w:val="22"/>
              </w:rPr>
              <w:t>The quantity established in accordance with Section T3.21.1.</w:t>
            </w:r>
          </w:p>
          <w:p w14:paraId="5291E888" w14:textId="77777777" w:rsidR="0099110B" w:rsidRPr="00630129" w:rsidRDefault="0099110B" w:rsidP="0099110B">
            <w:pPr>
              <w:rPr>
                <w:sz w:val="22"/>
                <w:szCs w:val="22"/>
              </w:rPr>
            </w:pPr>
            <w:r w:rsidRPr="00630129">
              <w:rPr>
                <w:i/>
                <w:sz w:val="22"/>
                <w:szCs w:val="22"/>
              </w:rPr>
              <w:t xml:space="preserve">The Total Period Deemed Standard Product Offer Volume is the volume of Offer, accepted in respect of BM Unit </w:t>
            </w:r>
            <w:proofErr w:type="spellStart"/>
            <w:r w:rsidRPr="00630129">
              <w:rPr>
                <w:i/>
                <w:sz w:val="22"/>
                <w:szCs w:val="22"/>
              </w:rPr>
              <w:t>i</w:t>
            </w:r>
            <w:proofErr w:type="spellEnd"/>
            <w:r w:rsidRPr="00630129">
              <w:rPr>
                <w:i/>
                <w:sz w:val="22"/>
                <w:szCs w:val="22"/>
              </w:rPr>
              <w:t>, in Settlement Period j as a result of all acceptances of a Replacement Reserve Bid in that Settlement Period.</w:t>
            </w:r>
          </w:p>
        </w:tc>
      </w:tr>
      <w:tr w:rsidR="0099110B" w:rsidRPr="00630129" w14:paraId="01FA2568" w14:textId="77777777" w:rsidTr="00A63BA8">
        <w:trPr>
          <w:cantSplit/>
        </w:trPr>
        <w:tc>
          <w:tcPr>
            <w:tcW w:w="994" w:type="pct"/>
            <w:tcMar>
              <w:top w:w="85" w:type="dxa"/>
              <w:left w:w="85" w:type="dxa"/>
              <w:bottom w:w="85" w:type="dxa"/>
              <w:right w:w="85" w:type="dxa"/>
            </w:tcMar>
          </w:tcPr>
          <w:p w14:paraId="0CEC808E" w14:textId="77777777" w:rsidR="0099110B" w:rsidRPr="00630129" w:rsidRDefault="0099110B" w:rsidP="0099110B">
            <w:pPr>
              <w:rPr>
                <w:sz w:val="22"/>
                <w:szCs w:val="22"/>
              </w:rPr>
            </w:pPr>
            <w:r w:rsidRPr="00630129">
              <w:rPr>
                <w:sz w:val="22"/>
                <w:szCs w:val="22"/>
              </w:rPr>
              <w:t>Total Period Out-Turn Generation</w:t>
            </w:r>
          </w:p>
        </w:tc>
        <w:tc>
          <w:tcPr>
            <w:tcW w:w="974" w:type="pct"/>
            <w:tcMar>
              <w:top w:w="85" w:type="dxa"/>
              <w:left w:w="85" w:type="dxa"/>
              <w:bottom w:w="85" w:type="dxa"/>
              <w:right w:w="85" w:type="dxa"/>
            </w:tcMar>
          </w:tcPr>
          <w:p w14:paraId="680C8DB7"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44A5A648" w14:textId="77777777" w:rsidR="0099110B" w:rsidRPr="00630129" w:rsidRDefault="0099110B" w:rsidP="0099110B">
            <w:pPr>
              <w:rPr>
                <w:sz w:val="22"/>
                <w:szCs w:val="22"/>
              </w:rPr>
            </w:pPr>
            <w:r w:rsidRPr="00630129">
              <w:rPr>
                <w:sz w:val="22"/>
                <w:szCs w:val="22"/>
              </w:rPr>
              <w:t>MW</w:t>
            </w:r>
          </w:p>
        </w:tc>
        <w:tc>
          <w:tcPr>
            <w:tcW w:w="2540" w:type="pct"/>
            <w:tcMar>
              <w:top w:w="85" w:type="dxa"/>
              <w:left w:w="85" w:type="dxa"/>
              <w:bottom w:w="85" w:type="dxa"/>
              <w:right w:w="85" w:type="dxa"/>
            </w:tcMar>
          </w:tcPr>
          <w:p w14:paraId="21E8FB37" w14:textId="77777777" w:rsidR="0099110B" w:rsidRPr="00630129" w:rsidRDefault="0099110B" w:rsidP="0099110B">
            <w:pPr>
              <w:rPr>
                <w:sz w:val="22"/>
                <w:szCs w:val="22"/>
              </w:rPr>
            </w:pPr>
            <w:r w:rsidRPr="00630129">
              <w:rPr>
                <w:sz w:val="22"/>
                <w:szCs w:val="22"/>
              </w:rPr>
              <w:t>In respect of a Settlement Period, the total generation for that Settlement Period as metered by the NETSO in accordance with CC6.5.6 of the Grid Code.</w:t>
            </w:r>
          </w:p>
        </w:tc>
      </w:tr>
      <w:tr w:rsidR="0099110B" w:rsidRPr="00630129" w14:paraId="0F190974" w14:textId="77777777" w:rsidTr="00A63BA8">
        <w:trPr>
          <w:cantSplit/>
        </w:trPr>
        <w:tc>
          <w:tcPr>
            <w:tcW w:w="994" w:type="pct"/>
            <w:tcMar>
              <w:top w:w="85" w:type="dxa"/>
              <w:left w:w="85" w:type="dxa"/>
              <w:bottom w:w="85" w:type="dxa"/>
              <w:right w:w="85" w:type="dxa"/>
            </w:tcMar>
          </w:tcPr>
          <w:p w14:paraId="7479B1A3" w14:textId="77777777" w:rsidR="0099110B" w:rsidRPr="00630129" w:rsidRDefault="0099110B" w:rsidP="0099110B">
            <w:pPr>
              <w:rPr>
                <w:sz w:val="22"/>
                <w:szCs w:val="22"/>
              </w:rPr>
            </w:pPr>
            <w:r w:rsidRPr="00630129">
              <w:rPr>
                <w:sz w:val="22"/>
                <w:szCs w:val="22"/>
              </w:rPr>
              <w:t>Total Specified BSC Charges</w:t>
            </w:r>
          </w:p>
        </w:tc>
        <w:tc>
          <w:tcPr>
            <w:tcW w:w="974" w:type="pct"/>
            <w:tcMar>
              <w:top w:w="85" w:type="dxa"/>
              <w:left w:w="85" w:type="dxa"/>
              <w:bottom w:w="85" w:type="dxa"/>
              <w:right w:w="85" w:type="dxa"/>
            </w:tcMar>
          </w:tcPr>
          <w:p w14:paraId="7BA0B685" w14:textId="77777777" w:rsidR="0099110B" w:rsidRPr="00630129" w:rsidRDefault="0099110B" w:rsidP="0099110B">
            <w:pPr>
              <w:rPr>
                <w:sz w:val="22"/>
                <w:szCs w:val="22"/>
                <w:vertAlign w:val="subscript"/>
              </w:rPr>
            </w:pPr>
            <w:proofErr w:type="spellStart"/>
            <w:r w:rsidRPr="00630129">
              <w:rPr>
                <w:sz w:val="22"/>
                <w:szCs w:val="22"/>
              </w:rPr>
              <w:t>TSC</w:t>
            </w:r>
            <w:r w:rsidRPr="00630129">
              <w:rPr>
                <w:sz w:val="22"/>
                <w:szCs w:val="22"/>
                <w:vertAlign w:val="subscript"/>
              </w:rPr>
              <w:t>pm</w:t>
            </w:r>
            <w:proofErr w:type="spellEnd"/>
          </w:p>
        </w:tc>
        <w:tc>
          <w:tcPr>
            <w:tcW w:w="492" w:type="pct"/>
            <w:tcMar>
              <w:top w:w="85" w:type="dxa"/>
              <w:left w:w="85" w:type="dxa"/>
              <w:bottom w:w="85" w:type="dxa"/>
              <w:right w:w="85" w:type="dxa"/>
            </w:tcMar>
          </w:tcPr>
          <w:p w14:paraId="5F870A45"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5AA1DFF1" w14:textId="77777777" w:rsidR="0099110B" w:rsidRPr="00630129" w:rsidRDefault="0099110B" w:rsidP="0099110B">
            <w:pPr>
              <w:rPr>
                <w:sz w:val="22"/>
                <w:szCs w:val="22"/>
              </w:rPr>
            </w:pPr>
            <w:r w:rsidRPr="00630129">
              <w:rPr>
                <w:sz w:val="22"/>
                <w:szCs w:val="22"/>
              </w:rPr>
              <w:t>The sum of the Specified BSC Charges for Trading Party p relating to month m.</w:t>
            </w:r>
          </w:p>
        </w:tc>
      </w:tr>
      <w:tr w:rsidR="0099110B" w:rsidRPr="00630129" w14:paraId="483A04F3" w14:textId="77777777" w:rsidTr="00A63BA8">
        <w:trPr>
          <w:cantSplit/>
        </w:trPr>
        <w:tc>
          <w:tcPr>
            <w:tcW w:w="994" w:type="pct"/>
            <w:tcMar>
              <w:top w:w="85" w:type="dxa"/>
              <w:left w:w="85" w:type="dxa"/>
              <w:bottom w:w="85" w:type="dxa"/>
              <w:right w:w="85" w:type="dxa"/>
            </w:tcMar>
          </w:tcPr>
          <w:p w14:paraId="4E8C6601" w14:textId="77777777" w:rsidR="0099110B" w:rsidRPr="00630129" w:rsidRDefault="0099110B" w:rsidP="0099110B">
            <w:pPr>
              <w:rPr>
                <w:sz w:val="22"/>
                <w:szCs w:val="22"/>
              </w:rPr>
            </w:pPr>
            <w:r w:rsidRPr="00630129">
              <w:rPr>
                <w:sz w:val="22"/>
                <w:szCs w:val="22"/>
              </w:rPr>
              <w:lastRenderedPageBreak/>
              <w:t xml:space="preserve">Total System </w:t>
            </w:r>
            <w:proofErr w:type="spellStart"/>
            <w:r w:rsidRPr="00630129">
              <w:rPr>
                <w:sz w:val="22"/>
                <w:szCs w:val="22"/>
              </w:rPr>
              <w:t>Cashflow</w:t>
            </w:r>
            <w:proofErr w:type="spellEnd"/>
          </w:p>
        </w:tc>
        <w:tc>
          <w:tcPr>
            <w:tcW w:w="974" w:type="pct"/>
            <w:tcMar>
              <w:top w:w="85" w:type="dxa"/>
              <w:left w:w="85" w:type="dxa"/>
              <w:bottom w:w="85" w:type="dxa"/>
              <w:right w:w="85" w:type="dxa"/>
            </w:tcMar>
          </w:tcPr>
          <w:p w14:paraId="7B321D69" w14:textId="77777777" w:rsidR="0099110B" w:rsidRPr="00630129" w:rsidRDefault="0099110B" w:rsidP="0099110B">
            <w:pPr>
              <w:rPr>
                <w:sz w:val="22"/>
                <w:szCs w:val="22"/>
              </w:rPr>
            </w:pPr>
            <w:proofErr w:type="spellStart"/>
            <w:r w:rsidRPr="00630129">
              <w:rPr>
                <w:sz w:val="22"/>
                <w:szCs w:val="22"/>
              </w:rPr>
              <w:t>TCBM</w:t>
            </w:r>
            <w:r w:rsidRPr="00630129">
              <w:rPr>
                <w:sz w:val="22"/>
                <w:szCs w:val="22"/>
                <w:vertAlign w:val="subscript"/>
              </w:rPr>
              <w:t>j</w:t>
            </w:r>
            <w:proofErr w:type="spellEnd"/>
          </w:p>
        </w:tc>
        <w:tc>
          <w:tcPr>
            <w:tcW w:w="492" w:type="pct"/>
            <w:tcMar>
              <w:top w:w="85" w:type="dxa"/>
              <w:left w:w="85" w:type="dxa"/>
              <w:bottom w:w="85" w:type="dxa"/>
              <w:right w:w="85" w:type="dxa"/>
            </w:tcMar>
          </w:tcPr>
          <w:p w14:paraId="4C9F384F"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13400F96" w14:textId="77777777" w:rsidR="0099110B" w:rsidRPr="00630129" w:rsidRDefault="0099110B" w:rsidP="0099110B">
            <w:pPr>
              <w:spacing w:after="120"/>
              <w:rPr>
                <w:sz w:val="22"/>
                <w:szCs w:val="22"/>
              </w:rPr>
            </w:pPr>
            <w:r w:rsidRPr="00630129">
              <w:rPr>
                <w:sz w:val="22"/>
                <w:szCs w:val="22"/>
              </w:rPr>
              <w:t>The amount determined in accordance with Section T3.12.1.</w:t>
            </w:r>
          </w:p>
          <w:p w14:paraId="1BA29BA7" w14:textId="77777777" w:rsidR="0099110B" w:rsidRPr="00630129" w:rsidRDefault="0099110B" w:rsidP="0099110B">
            <w:pPr>
              <w:rPr>
                <w:i/>
                <w:sz w:val="22"/>
                <w:szCs w:val="22"/>
              </w:rPr>
            </w:pPr>
            <w:r w:rsidRPr="00630129">
              <w:rPr>
                <w:i/>
                <w:sz w:val="22"/>
                <w:szCs w:val="22"/>
              </w:rPr>
              <w:t xml:space="preserve">The Total System </w:t>
            </w:r>
            <w:proofErr w:type="spellStart"/>
            <w:r w:rsidRPr="00630129">
              <w:rPr>
                <w:i/>
                <w:sz w:val="22"/>
                <w:szCs w:val="22"/>
              </w:rPr>
              <w:t>Cashflow</w:t>
            </w:r>
            <w:proofErr w:type="spellEnd"/>
            <w:r w:rsidRPr="00630129">
              <w:rPr>
                <w:i/>
                <w:sz w:val="22"/>
                <w:szCs w:val="22"/>
              </w:rPr>
              <w:t xml:space="preserve"> is the total payments and charges in respect of settlement of Balancing Services action for all BM Units, disregarding any Non-Delivered Offer Charges and Non-Delivered Bid Charges.</w:t>
            </w:r>
          </w:p>
        </w:tc>
      </w:tr>
      <w:tr w:rsidR="0099110B" w:rsidRPr="00630129" w14:paraId="33E7446A" w14:textId="77777777" w:rsidTr="00A63BA8">
        <w:trPr>
          <w:cantSplit/>
        </w:trPr>
        <w:tc>
          <w:tcPr>
            <w:tcW w:w="994" w:type="pct"/>
            <w:tcMar>
              <w:top w:w="85" w:type="dxa"/>
              <w:left w:w="85" w:type="dxa"/>
              <w:bottom w:w="85" w:type="dxa"/>
              <w:right w:w="85" w:type="dxa"/>
            </w:tcMar>
          </w:tcPr>
          <w:p w14:paraId="74DCA95A" w14:textId="77777777" w:rsidR="0099110B" w:rsidRPr="00630129" w:rsidRDefault="0099110B" w:rsidP="0099110B">
            <w:pPr>
              <w:rPr>
                <w:sz w:val="22"/>
                <w:szCs w:val="22"/>
              </w:rPr>
            </w:pPr>
            <w:r w:rsidRPr="00630129">
              <w:rPr>
                <w:sz w:val="22"/>
                <w:szCs w:val="22"/>
              </w:rPr>
              <w:t xml:space="preserve">Total System Energy Imbalance </w:t>
            </w:r>
            <w:proofErr w:type="spellStart"/>
            <w:r w:rsidRPr="00630129">
              <w:rPr>
                <w:sz w:val="22"/>
                <w:szCs w:val="22"/>
              </w:rPr>
              <w:t>Cashflow</w:t>
            </w:r>
            <w:proofErr w:type="spellEnd"/>
          </w:p>
        </w:tc>
        <w:tc>
          <w:tcPr>
            <w:tcW w:w="974" w:type="pct"/>
            <w:tcMar>
              <w:top w:w="85" w:type="dxa"/>
              <w:left w:w="85" w:type="dxa"/>
              <w:bottom w:w="85" w:type="dxa"/>
              <w:right w:w="85" w:type="dxa"/>
            </w:tcMar>
          </w:tcPr>
          <w:p w14:paraId="5059E20C" w14:textId="77777777" w:rsidR="0099110B" w:rsidRPr="00630129" w:rsidRDefault="0099110B" w:rsidP="0099110B">
            <w:pPr>
              <w:rPr>
                <w:sz w:val="22"/>
                <w:szCs w:val="22"/>
              </w:rPr>
            </w:pPr>
            <w:proofErr w:type="spellStart"/>
            <w:r w:rsidRPr="00630129">
              <w:rPr>
                <w:sz w:val="22"/>
                <w:szCs w:val="22"/>
              </w:rPr>
              <w:t>TCEI</w:t>
            </w:r>
            <w:r w:rsidRPr="00630129">
              <w:rPr>
                <w:sz w:val="22"/>
                <w:szCs w:val="22"/>
                <w:vertAlign w:val="subscript"/>
              </w:rPr>
              <w:t>j</w:t>
            </w:r>
            <w:proofErr w:type="spellEnd"/>
          </w:p>
        </w:tc>
        <w:tc>
          <w:tcPr>
            <w:tcW w:w="492" w:type="pct"/>
            <w:tcMar>
              <w:top w:w="85" w:type="dxa"/>
              <w:left w:w="85" w:type="dxa"/>
              <w:bottom w:w="85" w:type="dxa"/>
              <w:right w:w="85" w:type="dxa"/>
            </w:tcMar>
          </w:tcPr>
          <w:p w14:paraId="2341C60B"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2D576C1D" w14:textId="77777777" w:rsidR="0099110B" w:rsidRPr="00630129" w:rsidRDefault="0099110B" w:rsidP="0099110B">
            <w:pPr>
              <w:spacing w:after="120"/>
              <w:rPr>
                <w:sz w:val="22"/>
                <w:szCs w:val="22"/>
              </w:rPr>
            </w:pPr>
            <w:r w:rsidRPr="00630129">
              <w:rPr>
                <w:sz w:val="22"/>
                <w:szCs w:val="22"/>
              </w:rPr>
              <w:t>The amount determined in accordance with Section T4.7.2.</w:t>
            </w:r>
          </w:p>
          <w:p w14:paraId="0DDB5F64" w14:textId="77777777" w:rsidR="0099110B" w:rsidRPr="00630129" w:rsidRDefault="0099110B" w:rsidP="0099110B">
            <w:pPr>
              <w:rPr>
                <w:i/>
                <w:sz w:val="22"/>
                <w:szCs w:val="22"/>
              </w:rPr>
            </w:pPr>
            <w:r w:rsidRPr="00630129">
              <w:rPr>
                <w:i/>
                <w:sz w:val="22"/>
                <w:szCs w:val="22"/>
              </w:rPr>
              <w:t xml:space="preserve">The Total System Energy Imbalance </w:t>
            </w:r>
            <w:proofErr w:type="spellStart"/>
            <w:r w:rsidRPr="00630129">
              <w:rPr>
                <w:i/>
                <w:sz w:val="22"/>
                <w:szCs w:val="22"/>
              </w:rPr>
              <w:t>Cashflow</w:t>
            </w:r>
            <w:proofErr w:type="spellEnd"/>
            <w:r w:rsidRPr="00630129">
              <w:rPr>
                <w:i/>
                <w:sz w:val="22"/>
                <w:szCs w:val="22"/>
              </w:rPr>
              <w:t xml:space="preserve"> is the total </w:t>
            </w:r>
            <w:proofErr w:type="spellStart"/>
            <w:r w:rsidRPr="00630129">
              <w:rPr>
                <w:i/>
                <w:sz w:val="22"/>
                <w:szCs w:val="22"/>
              </w:rPr>
              <w:t>cashflow</w:t>
            </w:r>
            <w:proofErr w:type="spellEnd"/>
            <w:r w:rsidRPr="00630129">
              <w:rPr>
                <w:i/>
                <w:sz w:val="22"/>
                <w:szCs w:val="22"/>
              </w:rPr>
              <w:t xml:space="preserve"> resulting from the Settlement of Energy Imbalances, summed over all Energy Accounts in Settlement Period j.</w:t>
            </w:r>
          </w:p>
        </w:tc>
      </w:tr>
      <w:tr w:rsidR="0099110B" w:rsidRPr="00630129" w14:paraId="0E072C8E" w14:textId="77777777" w:rsidTr="00A63BA8">
        <w:trPr>
          <w:cantSplit/>
        </w:trPr>
        <w:tc>
          <w:tcPr>
            <w:tcW w:w="994" w:type="pct"/>
            <w:tcMar>
              <w:top w:w="85" w:type="dxa"/>
              <w:left w:w="85" w:type="dxa"/>
              <w:bottom w:w="85" w:type="dxa"/>
              <w:right w:w="85" w:type="dxa"/>
            </w:tcMar>
          </w:tcPr>
          <w:p w14:paraId="4A385C1E" w14:textId="77777777" w:rsidR="0099110B" w:rsidRPr="00630129" w:rsidRDefault="0099110B" w:rsidP="0099110B">
            <w:pPr>
              <w:rPr>
                <w:sz w:val="22"/>
                <w:szCs w:val="22"/>
              </w:rPr>
            </w:pPr>
            <w:r w:rsidRPr="00630129">
              <w:rPr>
                <w:sz w:val="22"/>
                <w:szCs w:val="22"/>
              </w:rPr>
              <w:t>Total System Energy Imbalance Volume</w:t>
            </w:r>
          </w:p>
        </w:tc>
        <w:tc>
          <w:tcPr>
            <w:tcW w:w="974" w:type="pct"/>
            <w:tcMar>
              <w:top w:w="85" w:type="dxa"/>
              <w:left w:w="85" w:type="dxa"/>
              <w:bottom w:w="85" w:type="dxa"/>
              <w:right w:w="85" w:type="dxa"/>
            </w:tcMar>
          </w:tcPr>
          <w:p w14:paraId="6F32BAEB" w14:textId="77777777" w:rsidR="0099110B" w:rsidRPr="00630129" w:rsidRDefault="0099110B" w:rsidP="0099110B">
            <w:pPr>
              <w:rPr>
                <w:sz w:val="22"/>
                <w:szCs w:val="22"/>
              </w:rPr>
            </w:pPr>
            <w:proofErr w:type="spellStart"/>
            <w:r w:rsidRPr="00630129">
              <w:rPr>
                <w:sz w:val="22"/>
                <w:szCs w:val="22"/>
              </w:rPr>
              <w:t>TQEI</w:t>
            </w:r>
            <w:r w:rsidRPr="00630129">
              <w:rPr>
                <w:sz w:val="22"/>
                <w:szCs w:val="22"/>
                <w:vertAlign w:val="subscript"/>
              </w:rPr>
              <w:t>j</w:t>
            </w:r>
            <w:proofErr w:type="spellEnd"/>
          </w:p>
        </w:tc>
        <w:tc>
          <w:tcPr>
            <w:tcW w:w="492" w:type="pct"/>
            <w:tcMar>
              <w:top w:w="85" w:type="dxa"/>
              <w:left w:w="85" w:type="dxa"/>
              <w:bottom w:w="85" w:type="dxa"/>
              <w:right w:w="85" w:type="dxa"/>
            </w:tcMar>
          </w:tcPr>
          <w:p w14:paraId="0839C947"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2BEB5EAB" w14:textId="77777777" w:rsidR="0099110B" w:rsidRPr="00630129" w:rsidRDefault="0099110B" w:rsidP="0099110B">
            <w:pPr>
              <w:spacing w:after="120"/>
              <w:rPr>
                <w:sz w:val="22"/>
                <w:szCs w:val="22"/>
              </w:rPr>
            </w:pPr>
            <w:r w:rsidRPr="00630129">
              <w:rPr>
                <w:sz w:val="22"/>
                <w:szCs w:val="22"/>
              </w:rPr>
              <w:t>The quantity determined in accordance with Section T4.6.4.</w:t>
            </w:r>
          </w:p>
          <w:p w14:paraId="7F9B9099" w14:textId="77777777" w:rsidR="0099110B" w:rsidRPr="00630129" w:rsidRDefault="0099110B" w:rsidP="0099110B">
            <w:pPr>
              <w:rPr>
                <w:i/>
                <w:sz w:val="22"/>
                <w:szCs w:val="22"/>
              </w:rPr>
            </w:pPr>
            <w:r w:rsidRPr="00630129">
              <w:rPr>
                <w:i/>
                <w:sz w:val="22"/>
                <w:szCs w:val="22"/>
              </w:rPr>
              <w:t>Total System Energy Imbalance Volume is the sum over all Energy Accounts of the Account Energy Imbalance Volume..</w:t>
            </w:r>
          </w:p>
        </w:tc>
      </w:tr>
      <w:tr w:rsidR="0099110B" w:rsidRPr="00630129" w14:paraId="65EA0042" w14:textId="77777777" w:rsidTr="00A63BA8">
        <w:trPr>
          <w:cantSplit/>
        </w:trPr>
        <w:tc>
          <w:tcPr>
            <w:tcW w:w="994" w:type="pct"/>
            <w:tcMar>
              <w:top w:w="85" w:type="dxa"/>
              <w:left w:w="85" w:type="dxa"/>
              <w:bottom w:w="85" w:type="dxa"/>
              <w:right w:w="85" w:type="dxa"/>
            </w:tcMar>
          </w:tcPr>
          <w:p w14:paraId="4444F783" w14:textId="77777777" w:rsidR="0099110B" w:rsidRPr="00630129" w:rsidRDefault="0099110B" w:rsidP="0099110B">
            <w:pPr>
              <w:rPr>
                <w:sz w:val="22"/>
                <w:szCs w:val="22"/>
              </w:rPr>
            </w:pPr>
            <w:r w:rsidRPr="00630129">
              <w:rPr>
                <w:sz w:val="22"/>
                <w:szCs w:val="22"/>
              </w:rPr>
              <w:t xml:space="preserve">Total System Information Imbalance Charge </w:t>
            </w:r>
          </w:p>
        </w:tc>
        <w:tc>
          <w:tcPr>
            <w:tcW w:w="974" w:type="pct"/>
            <w:tcMar>
              <w:top w:w="85" w:type="dxa"/>
              <w:left w:w="85" w:type="dxa"/>
              <w:bottom w:w="85" w:type="dxa"/>
              <w:right w:w="85" w:type="dxa"/>
            </w:tcMar>
          </w:tcPr>
          <w:p w14:paraId="24D831B6" w14:textId="77777777" w:rsidR="0099110B" w:rsidRPr="00630129" w:rsidRDefault="0099110B" w:rsidP="0099110B">
            <w:pPr>
              <w:rPr>
                <w:sz w:val="22"/>
                <w:szCs w:val="22"/>
              </w:rPr>
            </w:pPr>
            <w:proofErr w:type="spellStart"/>
            <w:r w:rsidRPr="00630129">
              <w:rPr>
                <w:sz w:val="22"/>
                <w:szCs w:val="22"/>
              </w:rPr>
              <w:t>TCII</w:t>
            </w:r>
            <w:r w:rsidRPr="00630129">
              <w:rPr>
                <w:sz w:val="22"/>
                <w:szCs w:val="22"/>
                <w:vertAlign w:val="subscript"/>
              </w:rPr>
              <w:t>j</w:t>
            </w:r>
            <w:proofErr w:type="spellEnd"/>
          </w:p>
        </w:tc>
        <w:tc>
          <w:tcPr>
            <w:tcW w:w="492" w:type="pct"/>
            <w:tcMar>
              <w:top w:w="85" w:type="dxa"/>
              <w:left w:w="85" w:type="dxa"/>
              <w:bottom w:w="85" w:type="dxa"/>
              <w:right w:w="85" w:type="dxa"/>
            </w:tcMar>
          </w:tcPr>
          <w:p w14:paraId="14F7D3C9"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02847022" w14:textId="77777777" w:rsidR="0099110B" w:rsidRPr="00630129" w:rsidRDefault="0099110B" w:rsidP="0099110B">
            <w:pPr>
              <w:spacing w:after="120"/>
              <w:rPr>
                <w:sz w:val="22"/>
                <w:szCs w:val="22"/>
              </w:rPr>
            </w:pPr>
            <w:r w:rsidRPr="00630129">
              <w:rPr>
                <w:sz w:val="22"/>
                <w:szCs w:val="22"/>
              </w:rPr>
              <w:t>The amount determined in accordance with Section T4.3.7.</w:t>
            </w:r>
          </w:p>
          <w:p w14:paraId="2DCE7EFA" w14:textId="77777777" w:rsidR="0099110B" w:rsidRPr="00630129" w:rsidRDefault="0099110B" w:rsidP="0099110B">
            <w:pPr>
              <w:rPr>
                <w:i/>
                <w:sz w:val="22"/>
                <w:szCs w:val="22"/>
              </w:rPr>
            </w:pPr>
            <w:r w:rsidRPr="00630129">
              <w:rPr>
                <w:i/>
                <w:sz w:val="22"/>
                <w:szCs w:val="22"/>
              </w:rPr>
              <w:t>The Total System Information Imbalance Charge is the total charge for information imbalances, summed over all BM Units in Settlement Period j.</w:t>
            </w:r>
          </w:p>
        </w:tc>
      </w:tr>
      <w:tr w:rsidR="0099110B" w:rsidRPr="00630129" w14:paraId="554B5CD8" w14:textId="77777777" w:rsidTr="00A63BA8">
        <w:trPr>
          <w:cantSplit/>
        </w:trPr>
        <w:tc>
          <w:tcPr>
            <w:tcW w:w="994" w:type="pct"/>
            <w:tcMar>
              <w:top w:w="85" w:type="dxa"/>
              <w:left w:w="85" w:type="dxa"/>
              <w:bottom w:w="85" w:type="dxa"/>
              <w:right w:w="85" w:type="dxa"/>
            </w:tcMar>
          </w:tcPr>
          <w:p w14:paraId="5D18C0BD" w14:textId="77777777" w:rsidR="0099110B" w:rsidRPr="00630129" w:rsidRDefault="0099110B" w:rsidP="0099110B">
            <w:pPr>
              <w:rPr>
                <w:sz w:val="22"/>
                <w:szCs w:val="22"/>
              </w:rPr>
            </w:pPr>
            <w:r w:rsidRPr="00630129">
              <w:rPr>
                <w:sz w:val="22"/>
                <w:szCs w:val="22"/>
              </w:rPr>
              <w:t>Total System Non-Delivery Charge</w:t>
            </w:r>
          </w:p>
        </w:tc>
        <w:tc>
          <w:tcPr>
            <w:tcW w:w="974" w:type="pct"/>
            <w:tcMar>
              <w:top w:w="85" w:type="dxa"/>
              <w:left w:w="85" w:type="dxa"/>
              <w:bottom w:w="85" w:type="dxa"/>
              <w:right w:w="85" w:type="dxa"/>
            </w:tcMar>
          </w:tcPr>
          <w:p w14:paraId="19A6E78E" w14:textId="77777777" w:rsidR="0099110B" w:rsidRPr="00630129" w:rsidRDefault="0099110B" w:rsidP="0099110B">
            <w:pPr>
              <w:rPr>
                <w:sz w:val="22"/>
                <w:szCs w:val="22"/>
              </w:rPr>
            </w:pPr>
            <w:proofErr w:type="spellStart"/>
            <w:r w:rsidRPr="00630129">
              <w:rPr>
                <w:sz w:val="22"/>
                <w:szCs w:val="22"/>
              </w:rPr>
              <w:t>TCND</w:t>
            </w:r>
            <w:r w:rsidRPr="00630129">
              <w:rPr>
                <w:sz w:val="22"/>
                <w:szCs w:val="22"/>
                <w:vertAlign w:val="subscript"/>
              </w:rPr>
              <w:t>j</w:t>
            </w:r>
            <w:proofErr w:type="spellEnd"/>
          </w:p>
        </w:tc>
        <w:tc>
          <w:tcPr>
            <w:tcW w:w="492" w:type="pct"/>
            <w:tcMar>
              <w:top w:w="85" w:type="dxa"/>
              <w:left w:w="85" w:type="dxa"/>
              <w:bottom w:w="85" w:type="dxa"/>
              <w:right w:w="85" w:type="dxa"/>
            </w:tcMar>
          </w:tcPr>
          <w:p w14:paraId="330E04B5"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3BD77097" w14:textId="77777777" w:rsidR="0099110B" w:rsidRPr="00630129" w:rsidRDefault="0099110B" w:rsidP="0099110B">
            <w:pPr>
              <w:spacing w:after="120"/>
              <w:rPr>
                <w:sz w:val="22"/>
                <w:szCs w:val="22"/>
              </w:rPr>
            </w:pPr>
            <w:r w:rsidRPr="00630129">
              <w:rPr>
                <w:sz w:val="22"/>
                <w:szCs w:val="22"/>
              </w:rPr>
              <w:t>The amount determined in accordance with Section T4.8.14.</w:t>
            </w:r>
          </w:p>
          <w:p w14:paraId="53072CB7" w14:textId="77777777" w:rsidR="0099110B" w:rsidRPr="00630129" w:rsidRDefault="0099110B" w:rsidP="0099110B">
            <w:pPr>
              <w:rPr>
                <w:i/>
                <w:sz w:val="22"/>
                <w:szCs w:val="22"/>
              </w:rPr>
            </w:pPr>
            <w:r w:rsidRPr="00630129">
              <w:rPr>
                <w:i/>
                <w:sz w:val="22"/>
                <w:szCs w:val="22"/>
              </w:rPr>
              <w:t>The Total System Non-Delivery Charge is the BM Unit Period Non-Delivery Charge summed over all BM Units in Settlement Period j.</w:t>
            </w:r>
          </w:p>
        </w:tc>
      </w:tr>
      <w:tr w:rsidR="0099110B" w:rsidRPr="00630129" w14:paraId="01E7ACB7" w14:textId="77777777" w:rsidTr="00A63BA8">
        <w:trPr>
          <w:cantSplit/>
        </w:trPr>
        <w:tc>
          <w:tcPr>
            <w:tcW w:w="994" w:type="pct"/>
            <w:tcMar>
              <w:top w:w="85" w:type="dxa"/>
              <w:left w:w="85" w:type="dxa"/>
              <w:bottom w:w="85" w:type="dxa"/>
              <w:right w:w="85" w:type="dxa"/>
            </w:tcMar>
          </w:tcPr>
          <w:p w14:paraId="4735A7AE" w14:textId="77777777" w:rsidR="0099110B" w:rsidRPr="00630129" w:rsidRDefault="0099110B" w:rsidP="0099110B">
            <w:pPr>
              <w:rPr>
                <w:sz w:val="22"/>
                <w:szCs w:val="22"/>
              </w:rPr>
            </w:pPr>
            <w:r w:rsidRPr="00630129">
              <w:rPr>
                <w:sz w:val="22"/>
                <w:szCs w:val="22"/>
              </w:rPr>
              <w:t xml:space="preserve">Total System Residual </w:t>
            </w:r>
            <w:proofErr w:type="spellStart"/>
            <w:r w:rsidRPr="00630129">
              <w:rPr>
                <w:sz w:val="22"/>
                <w:szCs w:val="22"/>
              </w:rPr>
              <w:t>Cashflow</w:t>
            </w:r>
            <w:proofErr w:type="spellEnd"/>
          </w:p>
        </w:tc>
        <w:tc>
          <w:tcPr>
            <w:tcW w:w="974" w:type="pct"/>
            <w:tcMar>
              <w:top w:w="85" w:type="dxa"/>
              <w:left w:w="85" w:type="dxa"/>
              <w:bottom w:w="85" w:type="dxa"/>
              <w:right w:w="85" w:type="dxa"/>
            </w:tcMar>
          </w:tcPr>
          <w:p w14:paraId="706E968C" w14:textId="77777777" w:rsidR="0099110B" w:rsidRPr="00630129" w:rsidRDefault="0099110B" w:rsidP="0099110B">
            <w:pPr>
              <w:rPr>
                <w:sz w:val="22"/>
                <w:szCs w:val="22"/>
              </w:rPr>
            </w:pPr>
            <w:proofErr w:type="spellStart"/>
            <w:r w:rsidRPr="00630129">
              <w:rPr>
                <w:sz w:val="22"/>
                <w:szCs w:val="22"/>
              </w:rPr>
              <w:t>TRC</w:t>
            </w:r>
            <w:r w:rsidRPr="00630129">
              <w:rPr>
                <w:sz w:val="22"/>
                <w:szCs w:val="22"/>
                <w:vertAlign w:val="subscript"/>
              </w:rPr>
              <w:t>j</w:t>
            </w:r>
            <w:proofErr w:type="spellEnd"/>
          </w:p>
        </w:tc>
        <w:tc>
          <w:tcPr>
            <w:tcW w:w="492" w:type="pct"/>
            <w:tcMar>
              <w:top w:w="85" w:type="dxa"/>
              <w:left w:w="85" w:type="dxa"/>
              <w:bottom w:w="85" w:type="dxa"/>
              <w:right w:w="85" w:type="dxa"/>
            </w:tcMar>
          </w:tcPr>
          <w:p w14:paraId="5D927EFB"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581E426B" w14:textId="77777777" w:rsidR="0099110B" w:rsidRPr="00630129" w:rsidRDefault="0099110B" w:rsidP="0099110B">
            <w:pPr>
              <w:spacing w:after="120"/>
              <w:rPr>
                <w:sz w:val="22"/>
                <w:szCs w:val="22"/>
              </w:rPr>
            </w:pPr>
            <w:r w:rsidRPr="00630129">
              <w:rPr>
                <w:sz w:val="22"/>
                <w:szCs w:val="22"/>
              </w:rPr>
              <w:t>The amount determined in accordance with Section T4.10.1.</w:t>
            </w:r>
          </w:p>
          <w:p w14:paraId="1BE6D78B" w14:textId="77777777" w:rsidR="0099110B" w:rsidRPr="00630129" w:rsidRDefault="0099110B" w:rsidP="0099110B">
            <w:pPr>
              <w:rPr>
                <w:i/>
                <w:sz w:val="22"/>
                <w:szCs w:val="22"/>
              </w:rPr>
            </w:pPr>
            <w:r w:rsidRPr="00630129">
              <w:rPr>
                <w:i/>
                <w:sz w:val="22"/>
                <w:szCs w:val="22"/>
              </w:rPr>
              <w:t xml:space="preserve">The Total System Residual </w:t>
            </w:r>
            <w:proofErr w:type="spellStart"/>
            <w:r w:rsidRPr="00630129">
              <w:rPr>
                <w:i/>
                <w:sz w:val="22"/>
                <w:szCs w:val="22"/>
              </w:rPr>
              <w:t>Cashflow</w:t>
            </w:r>
            <w:proofErr w:type="spellEnd"/>
            <w:r w:rsidRPr="00630129">
              <w:rPr>
                <w:i/>
                <w:sz w:val="22"/>
                <w:szCs w:val="22"/>
              </w:rPr>
              <w:t xml:space="preserve"> is the surplus or deficit of funds remaining to be reallocated after the Settlement of Energy Imbalances, Information Imbalances, the Balancing Mechanism (including non-delivery) and the System Operator BM Charge. </w:t>
            </w:r>
          </w:p>
        </w:tc>
      </w:tr>
      <w:tr w:rsidR="0099110B" w:rsidRPr="00630129" w14:paraId="1C471BE5" w14:textId="77777777" w:rsidTr="00A63BA8">
        <w:trPr>
          <w:cantSplit/>
        </w:trPr>
        <w:tc>
          <w:tcPr>
            <w:tcW w:w="994" w:type="pct"/>
            <w:tcMar>
              <w:top w:w="85" w:type="dxa"/>
              <w:left w:w="85" w:type="dxa"/>
              <w:bottom w:w="85" w:type="dxa"/>
              <w:right w:w="85" w:type="dxa"/>
            </w:tcMar>
          </w:tcPr>
          <w:p w14:paraId="2FD9AB51" w14:textId="77777777" w:rsidR="0099110B" w:rsidRPr="00630129" w:rsidRDefault="0099110B" w:rsidP="0099110B">
            <w:pPr>
              <w:rPr>
                <w:sz w:val="22"/>
                <w:szCs w:val="22"/>
              </w:rPr>
            </w:pPr>
            <w:r w:rsidRPr="00630129">
              <w:rPr>
                <w:sz w:val="22"/>
                <w:szCs w:val="22"/>
              </w:rPr>
              <w:t xml:space="preserve">Total System RR </w:t>
            </w:r>
            <w:proofErr w:type="spellStart"/>
            <w:r w:rsidRPr="00630129">
              <w:rPr>
                <w:sz w:val="22"/>
                <w:szCs w:val="22"/>
              </w:rPr>
              <w:t>Cashflow</w:t>
            </w:r>
            <w:proofErr w:type="spellEnd"/>
          </w:p>
        </w:tc>
        <w:tc>
          <w:tcPr>
            <w:tcW w:w="974" w:type="pct"/>
            <w:tcMar>
              <w:top w:w="85" w:type="dxa"/>
              <w:left w:w="85" w:type="dxa"/>
              <w:bottom w:w="85" w:type="dxa"/>
              <w:right w:w="85" w:type="dxa"/>
            </w:tcMar>
          </w:tcPr>
          <w:p w14:paraId="4C8E1D2A" w14:textId="77777777" w:rsidR="0099110B" w:rsidRPr="00630129" w:rsidRDefault="0099110B" w:rsidP="0099110B">
            <w:pPr>
              <w:rPr>
                <w:sz w:val="22"/>
                <w:szCs w:val="22"/>
              </w:rPr>
            </w:pPr>
            <w:proofErr w:type="spellStart"/>
            <w:r w:rsidRPr="00630129">
              <w:rPr>
                <w:sz w:val="22"/>
                <w:szCs w:val="22"/>
              </w:rPr>
              <w:t>TCRR</w:t>
            </w:r>
            <w:r w:rsidRPr="00630129">
              <w:rPr>
                <w:sz w:val="22"/>
                <w:szCs w:val="22"/>
                <w:vertAlign w:val="subscript"/>
              </w:rPr>
              <w:t>j</w:t>
            </w:r>
            <w:proofErr w:type="spellEnd"/>
          </w:p>
        </w:tc>
        <w:tc>
          <w:tcPr>
            <w:tcW w:w="492" w:type="pct"/>
            <w:tcMar>
              <w:top w:w="85" w:type="dxa"/>
              <w:left w:w="85" w:type="dxa"/>
              <w:bottom w:w="85" w:type="dxa"/>
              <w:right w:w="85" w:type="dxa"/>
            </w:tcMar>
          </w:tcPr>
          <w:p w14:paraId="0301C3D5" w14:textId="77777777" w:rsidR="0099110B" w:rsidRPr="00630129" w:rsidRDefault="0099110B" w:rsidP="0099110B">
            <w:pPr>
              <w:rPr>
                <w:sz w:val="22"/>
                <w:szCs w:val="22"/>
              </w:rPr>
            </w:pPr>
            <w:r w:rsidRPr="00630129">
              <w:rPr>
                <w:sz w:val="22"/>
                <w:szCs w:val="22"/>
              </w:rPr>
              <w:t>£</w:t>
            </w:r>
          </w:p>
        </w:tc>
        <w:tc>
          <w:tcPr>
            <w:tcW w:w="2540" w:type="pct"/>
            <w:tcMar>
              <w:top w:w="85" w:type="dxa"/>
              <w:left w:w="85" w:type="dxa"/>
              <w:bottom w:w="85" w:type="dxa"/>
              <w:right w:w="85" w:type="dxa"/>
            </w:tcMar>
          </w:tcPr>
          <w:p w14:paraId="75C2613F" w14:textId="77777777" w:rsidR="0099110B" w:rsidRPr="00630129" w:rsidRDefault="0099110B" w:rsidP="0099110B">
            <w:pPr>
              <w:spacing w:after="120"/>
              <w:rPr>
                <w:sz w:val="22"/>
                <w:szCs w:val="22"/>
              </w:rPr>
            </w:pPr>
            <w:r w:rsidRPr="00630129">
              <w:rPr>
                <w:sz w:val="22"/>
                <w:szCs w:val="22"/>
              </w:rPr>
              <w:t>The amount determined in accordance with Section T3.25.1.</w:t>
            </w:r>
          </w:p>
          <w:p w14:paraId="3D19A7CC" w14:textId="77777777" w:rsidR="0099110B" w:rsidRPr="00630129" w:rsidRDefault="0099110B" w:rsidP="0099110B">
            <w:pPr>
              <w:rPr>
                <w:sz w:val="22"/>
                <w:szCs w:val="22"/>
              </w:rPr>
            </w:pPr>
            <w:r w:rsidRPr="00630129">
              <w:rPr>
                <w:i/>
                <w:sz w:val="22"/>
                <w:szCs w:val="22"/>
              </w:rPr>
              <w:t xml:space="preserve">The Total System RR </w:t>
            </w:r>
            <w:proofErr w:type="spellStart"/>
            <w:r w:rsidRPr="00630129">
              <w:rPr>
                <w:i/>
                <w:sz w:val="22"/>
                <w:szCs w:val="22"/>
              </w:rPr>
              <w:t>Cashflow</w:t>
            </w:r>
            <w:proofErr w:type="spellEnd"/>
            <w:r w:rsidRPr="00630129">
              <w:rPr>
                <w:i/>
                <w:sz w:val="22"/>
                <w:szCs w:val="22"/>
              </w:rPr>
              <w:t xml:space="preserve"> is the summation of Quarter Hour RR </w:t>
            </w:r>
            <w:proofErr w:type="spellStart"/>
            <w:r w:rsidRPr="00630129">
              <w:rPr>
                <w:i/>
                <w:sz w:val="22"/>
                <w:szCs w:val="22"/>
              </w:rPr>
              <w:t>Cashflow</w:t>
            </w:r>
            <w:proofErr w:type="spellEnd"/>
            <w:r w:rsidRPr="00630129">
              <w:rPr>
                <w:i/>
                <w:sz w:val="22"/>
                <w:szCs w:val="22"/>
              </w:rPr>
              <w:t xml:space="preserve"> (</w:t>
            </w:r>
            <w:proofErr w:type="spellStart"/>
            <w:r w:rsidRPr="00630129">
              <w:rPr>
                <w:i/>
                <w:sz w:val="22"/>
                <w:szCs w:val="22"/>
              </w:rPr>
              <w:t>CRR</w:t>
            </w:r>
            <w:r w:rsidRPr="00630129">
              <w:rPr>
                <w:i/>
                <w:sz w:val="22"/>
                <w:szCs w:val="22"/>
                <w:vertAlign w:val="subscript"/>
              </w:rPr>
              <w:t>iJ</w:t>
            </w:r>
            <w:proofErr w:type="spellEnd"/>
            <w:r w:rsidRPr="00630129">
              <w:rPr>
                <w:i/>
                <w:sz w:val="22"/>
                <w:szCs w:val="22"/>
              </w:rPr>
              <w:t xml:space="preserve">) across all BM Units </w:t>
            </w:r>
            <w:proofErr w:type="spellStart"/>
            <w:r w:rsidRPr="00630129">
              <w:rPr>
                <w:i/>
                <w:sz w:val="22"/>
                <w:szCs w:val="22"/>
              </w:rPr>
              <w:t>i</w:t>
            </w:r>
            <w:proofErr w:type="spellEnd"/>
            <w:r w:rsidRPr="00630129">
              <w:rPr>
                <w:i/>
                <w:sz w:val="22"/>
                <w:szCs w:val="22"/>
              </w:rPr>
              <w:t xml:space="preserve"> and across both Quarter Hours J falling within a given Settlement Period j.</w:t>
            </w:r>
          </w:p>
        </w:tc>
      </w:tr>
      <w:tr w:rsidR="0099110B" w:rsidRPr="00630129" w14:paraId="24D451B0" w14:textId="77777777" w:rsidTr="00A63BA8">
        <w:trPr>
          <w:cantSplit/>
        </w:trPr>
        <w:tc>
          <w:tcPr>
            <w:tcW w:w="994" w:type="pct"/>
            <w:tcMar>
              <w:top w:w="85" w:type="dxa"/>
              <w:left w:w="85" w:type="dxa"/>
              <w:bottom w:w="85" w:type="dxa"/>
              <w:right w:w="85" w:type="dxa"/>
            </w:tcMar>
          </w:tcPr>
          <w:p w14:paraId="6F05F169" w14:textId="77777777" w:rsidR="0099110B" w:rsidRPr="00630129" w:rsidRDefault="0099110B" w:rsidP="0099110B">
            <w:pPr>
              <w:rPr>
                <w:sz w:val="22"/>
                <w:szCs w:val="22"/>
              </w:rPr>
            </w:pPr>
            <w:r w:rsidRPr="00630129">
              <w:rPr>
                <w:sz w:val="22"/>
                <w:szCs w:val="22"/>
              </w:rPr>
              <w:lastRenderedPageBreak/>
              <w:t>Trading Unit Delivery Mode</w:t>
            </w:r>
          </w:p>
        </w:tc>
        <w:tc>
          <w:tcPr>
            <w:tcW w:w="974" w:type="pct"/>
            <w:tcMar>
              <w:top w:w="85" w:type="dxa"/>
              <w:left w:w="85" w:type="dxa"/>
              <w:bottom w:w="85" w:type="dxa"/>
              <w:right w:w="85" w:type="dxa"/>
            </w:tcMar>
          </w:tcPr>
          <w:p w14:paraId="520B4573"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157433CF"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25F43650" w14:textId="77777777" w:rsidR="0099110B" w:rsidRPr="00630129" w:rsidRDefault="0099110B" w:rsidP="0099110B">
            <w:pPr>
              <w:rPr>
                <w:sz w:val="22"/>
                <w:szCs w:val="22"/>
              </w:rPr>
            </w:pPr>
            <w:r w:rsidRPr="00630129">
              <w:rPr>
                <w:sz w:val="22"/>
                <w:szCs w:val="22"/>
              </w:rPr>
              <w:t xml:space="preserve">A flag identifying whether a Trading Unit was a delivering Trading Unit or an </w:t>
            </w:r>
            <w:proofErr w:type="spellStart"/>
            <w:r w:rsidRPr="00630129">
              <w:rPr>
                <w:sz w:val="22"/>
                <w:szCs w:val="22"/>
              </w:rPr>
              <w:t>offtaking</w:t>
            </w:r>
            <w:proofErr w:type="spellEnd"/>
            <w:r w:rsidRPr="00630129">
              <w:rPr>
                <w:sz w:val="22"/>
                <w:szCs w:val="22"/>
              </w:rPr>
              <w:t xml:space="preserve"> Trading Unit determined in accordance with Section T6.1.3.</w:t>
            </w:r>
          </w:p>
        </w:tc>
      </w:tr>
      <w:tr w:rsidR="0099110B" w:rsidRPr="00630129" w14:paraId="2E50E401" w14:textId="77777777" w:rsidTr="00A63BA8">
        <w:trPr>
          <w:cantSplit/>
        </w:trPr>
        <w:tc>
          <w:tcPr>
            <w:tcW w:w="994" w:type="pct"/>
            <w:tcMar>
              <w:top w:w="85" w:type="dxa"/>
              <w:left w:w="85" w:type="dxa"/>
              <w:bottom w:w="85" w:type="dxa"/>
              <w:right w:w="85" w:type="dxa"/>
            </w:tcMar>
          </w:tcPr>
          <w:p w14:paraId="004E9061" w14:textId="77777777" w:rsidR="0099110B" w:rsidRPr="00630129" w:rsidRDefault="0099110B" w:rsidP="0099110B">
            <w:pPr>
              <w:rPr>
                <w:sz w:val="22"/>
                <w:szCs w:val="22"/>
              </w:rPr>
            </w:pPr>
            <w:r w:rsidRPr="00630129">
              <w:rPr>
                <w:sz w:val="22"/>
                <w:szCs w:val="22"/>
              </w:rPr>
              <w:t>Trading Unit Export Volume</w:t>
            </w:r>
          </w:p>
        </w:tc>
        <w:tc>
          <w:tcPr>
            <w:tcW w:w="974" w:type="pct"/>
            <w:tcMar>
              <w:top w:w="85" w:type="dxa"/>
              <w:left w:w="85" w:type="dxa"/>
              <w:bottom w:w="85" w:type="dxa"/>
              <w:right w:w="85" w:type="dxa"/>
            </w:tcMar>
          </w:tcPr>
          <w:p w14:paraId="610578A2" w14:textId="77777777" w:rsidR="0099110B" w:rsidRPr="00630129" w:rsidRDefault="0099110B" w:rsidP="0099110B">
            <w:pPr>
              <w:rPr>
                <w:sz w:val="22"/>
                <w:szCs w:val="22"/>
              </w:rPr>
            </w:pPr>
            <w:proofErr w:type="spellStart"/>
            <w:r w:rsidRPr="00630129">
              <w:rPr>
                <w:sz w:val="22"/>
                <w:szCs w:val="22"/>
              </w:rPr>
              <w:t>QTUE</w:t>
            </w:r>
            <w:r w:rsidRPr="00630129">
              <w:rPr>
                <w:sz w:val="22"/>
                <w:szCs w:val="22"/>
                <w:vertAlign w:val="subscript"/>
              </w:rPr>
              <w:t>rj</w:t>
            </w:r>
            <w:proofErr w:type="spellEnd"/>
          </w:p>
        </w:tc>
        <w:tc>
          <w:tcPr>
            <w:tcW w:w="492" w:type="pct"/>
            <w:tcMar>
              <w:top w:w="85" w:type="dxa"/>
              <w:left w:w="85" w:type="dxa"/>
              <w:bottom w:w="85" w:type="dxa"/>
              <w:right w:w="85" w:type="dxa"/>
            </w:tcMar>
          </w:tcPr>
          <w:p w14:paraId="29F1BCD1"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39E5573F" w14:textId="77777777" w:rsidR="0099110B" w:rsidRPr="00630129" w:rsidRDefault="0099110B" w:rsidP="0099110B">
            <w:pPr>
              <w:rPr>
                <w:sz w:val="22"/>
                <w:szCs w:val="22"/>
              </w:rPr>
            </w:pPr>
            <w:r w:rsidRPr="00630129">
              <w:rPr>
                <w:sz w:val="22"/>
                <w:szCs w:val="22"/>
              </w:rPr>
              <w:t>The volume determined in accordance with Section T6.1.1.</w:t>
            </w:r>
          </w:p>
        </w:tc>
      </w:tr>
      <w:tr w:rsidR="0099110B" w:rsidRPr="00630129" w14:paraId="60BE0B22" w14:textId="77777777" w:rsidTr="00A63BA8">
        <w:trPr>
          <w:cantSplit/>
        </w:trPr>
        <w:tc>
          <w:tcPr>
            <w:tcW w:w="994" w:type="pct"/>
            <w:tcMar>
              <w:top w:w="85" w:type="dxa"/>
              <w:left w:w="85" w:type="dxa"/>
              <w:bottom w:w="85" w:type="dxa"/>
              <w:right w:w="85" w:type="dxa"/>
            </w:tcMar>
          </w:tcPr>
          <w:p w14:paraId="7047C537" w14:textId="77777777" w:rsidR="0099110B" w:rsidRPr="00630129" w:rsidRDefault="0099110B" w:rsidP="0099110B">
            <w:pPr>
              <w:rPr>
                <w:sz w:val="22"/>
                <w:szCs w:val="22"/>
              </w:rPr>
            </w:pPr>
            <w:r w:rsidRPr="00630129">
              <w:rPr>
                <w:sz w:val="22"/>
                <w:szCs w:val="22"/>
              </w:rPr>
              <w:t>Trading Unit Import Volume</w:t>
            </w:r>
          </w:p>
        </w:tc>
        <w:tc>
          <w:tcPr>
            <w:tcW w:w="974" w:type="pct"/>
            <w:tcMar>
              <w:top w:w="85" w:type="dxa"/>
              <w:left w:w="85" w:type="dxa"/>
              <w:bottom w:w="85" w:type="dxa"/>
              <w:right w:w="85" w:type="dxa"/>
            </w:tcMar>
          </w:tcPr>
          <w:p w14:paraId="0C65BA6E" w14:textId="77777777" w:rsidR="0099110B" w:rsidRPr="00630129" w:rsidRDefault="0099110B" w:rsidP="0099110B">
            <w:pPr>
              <w:rPr>
                <w:sz w:val="22"/>
                <w:szCs w:val="22"/>
              </w:rPr>
            </w:pPr>
            <w:proofErr w:type="spellStart"/>
            <w:r w:rsidRPr="00630129">
              <w:rPr>
                <w:sz w:val="22"/>
                <w:szCs w:val="22"/>
              </w:rPr>
              <w:t>QTUI</w:t>
            </w:r>
            <w:r w:rsidRPr="00630129">
              <w:rPr>
                <w:sz w:val="22"/>
                <w:szCs w:val="22"/>
                <w:vertAlign w:val="subscript"/>
              </w:rPr>
              <w:t>rj</w:t>
            </w:r>
            <w:proofErr w:type="spellEnd"/>
          </w:p>
        </w:tc>
        <w:tc>
          <w:tcPr>
            <w:tcW w:w="492" w:type="pct"/>
            <w:tcMar>
              <w:top w:w="85" w:type="dxa"/>
              <w:left w:w="85" w:type="dxa"/>
              <w:bottom w:w="85" w:type="dxa"/>
              <w:right w:w="85" w:type="dxa"/>
            </w:tcMar>
          </w:tcPr>
          <w:p w14:paraId="35ADD3B8"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68A017CD" w14:textId="77777777" w:rsidR="0099110B" w:rsidRPr="00630129" w:rsidRDefault="0099110B" w:rsidP="0099110B">
            <w:pPr>
              <w:rPr>
                <w:sz w:val="22"/>
                <w:szCs w:val="22"/>
              </w:rPr>
            </w:pPr>
            <w:r w:rsidRPr="00630129">
              <w:rPr>
                <w:sz w:val="22"/>
                <w:szCs w:val="22"/>
              </w:rPr>
              <w:t>The volume determined in accordance with Section T6.1.2.</w:t>
            </w:r>
          </w:p>
        </w:tc>
      </w:tr>
      <w:tr w:rsidR="0099110B" w:rsidRPr="00630129" w14:paraId="0119D6BA" w14:textId="77777777" w:rsidTr="00A63BA8">
        <w:trPr>
          <w:cantSplit/>
        </w:trPr>
        <w:tc>
          <w:tcPr>
            <w:tcW w:w="994" w:type="pct"/>
            <w:tcMar>
              <w:top w:w="85" w:type="dxa"/>
              <w:left w:w="85" w:type="dxa"/>
              <w:bottom w:w="85" w:type="dxa"/>
              <w:right w:w="85" w:type="dxa"/>
            </w:tcMar>
          </w:tcPr>
          <w:p w14:paraId="75BDF442" w14:textId="77777777" w:rsidR="0099110B" w:rsidRPr="00630129" w:rsidRDefault="0099110B" w:rsidP="0099110B">
            <w:pPr>
              <w:rPr>
                <w:sz w:val="22"/>
                <w:szCs w:val="22"/>
              </w:rPr>
            </w:pPr>
            <w:r w:rsidRPr="00630129">
              <w:rPr>
                <w:sz w:val="22"/>
                <w:szCs w:val="22"/>
              </w:rPr>
              <w:t>Transmission Energy</w:t>
            </w:r>
          </w:p>
        </w:tc>
        <w:tc>
          <w:tcPr>
            <w:tcW w:w="974" w:type="pct"/>
            <w:tcMar>
              <w:top w:w="85" w:type="dxa"/>
              <w:left w:w="85" w:type="dxa"/>
              <w:bottom w:w="85" w:type="dxa"/>
              <w:right w:w="85" w:type="dxa"/>
            </w:tcMar>
          </w:tcPr>
          <w:p w14:paraId="1350912C"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14DE0EF1" w14:textId="77777777" w:rsidR="0099110B" w:rsidRPr="00630129" w:rsidRDefault="0099110B" w:rsidP="0099110B">
            <w:pPr>
              <w:rPr>
                <w:sz w:val="22"/>
                <w:szCs w:val="22"/>
              </w:rPr>
            </w:pPr>
            <w:r w:rsidRPr="00630129">
              <w:rPr>
                <w:sz w:val="22"/>
                <w:szCs w:val="22"/>
              </w:rPr>
              <w:t>MWh</w:t>
            </w:r>
          </w:p>
        </w:tc>
        <w:tc>
          <w:tcPr>
            <w:tcW w:w="2540" w:type="pct"/>
            <w:tcMar>
              <w:top w:w="85" w:type="dxa"/>
              <w:left w:w="85" w:type="dxa"/>
              <w:bottom w:w="85" w:type="dxa"/>
              <w:right w:w="85" w:type="dxa"/>
            </w:tcMar>
          </w:tcPr>
          <w:p w14:paraId="25EFF1BE" w14:textId="77777777" w:rsidR="0099110B" w:rsidRPr="00630129" w:rsidRDefault="0099110B" w:rsidP="0099110B">
            <w:pPr>
              <w:rPr>
                <w:sz w:val="22"/>
                <w:szCs w:val="22"/>
              </w:rPr>
            </w:pPr>
            <w:r w:rsidRPr="00630129">
              <w:rPr>
                <w:sz w:val="22"/>
                <w:szCs w:val="22"/>
              </w:rPr>
              <w:t>The integral with respect to time of National Demand.</w:t>
            </w:r>
          </w:p>
        </w:tc>
      </w:tr>
      <w:tr w:rsidR="0099110B" w:rsidRPr="00630129" w14:paraId="07C6D103" w14:textId="77777777" w:rsidTr="00A63BA8">
        <w:trPr>
          <w:cantSplit/>
        </w:trPr>
        <w:tc>
          <w:tcPr>
            <w:tcW w:w="994" w:type="pct"/>
            <w:tcMar>
              <w:top w:w="85" w:type="dxa"/>
              <w:left w:w="85" w:type="dxa"/>
              <w:bottom w:w="85" w:type="dxa"/>
              <w:right w:w="85" w:type="dxa"/>
            </w:tcMar>
          </w:tcPr>
          <w:p w14:paraId="574F42BC" w14:textId="77777777" w:rsidR="0099110B" w:rsidRPr="00630129" w:rsidRDefault="0099110B" w:rsidP="0099110B">
            <w:pPr>
              <w:rPr>
                <w:sz w:val="22"/>
                <w:szCs w:val="22"/>
              </w:rPr>
            </w:pPr>
            <w:r w:rsidRPr="00630129">
              <w:rPr>
                <w:sz w:val="22"/>
                <w:szCs w:val="22"/>
              </w:rPr>
              <w:t>Transmission Loss Factor</w:t>
            </w:r>
          </w:p>
        </w:tc>
        <w:tc>
          <w:tcPr>
            <w:tcW w:w="974" w:type="pct"/>
            <w:tcMar>
              <w:top w:w="85" w:type="dxa"/>
              <w:left w:w="85" w:type="dxa"/>
              <w:bottom w:w="85" w:type="dxa"/>
              <w:right w:w="85" w:type="dxa"/>
            </w:tcMar>
          </w:tcPr>
          <w:p w14:paraId="16C003BD" w14:textId="77777777" w:rsidR="0099110B" w:rsidRPr="00630129" w:rsidRDefault="0099110B" w:rsidP="0099110B">
            <w:pPr>
              <w:rPr>
                <w:sz w:val="22"/>
                <w:szCs w:val="22"/>
              </w:rPr>
            </w:pPr>
            <w:proofErr w:type="spellStart"/>
            <w:r w:rsidRPr="00630129">
              <w:rPr>
                <w:sz w:val="22"/>
                <w:szCs w:val="22"/>
              </w:rPr>
              <w:t>TLF</w:t>
            </w:r>
            <w:r w:rsidRPr="00630129">
              <w:rPr>
                <w:sz w:val="22"/>
                <w:szCs w:val="22"/>
                <w:vertAlign w:val="subscript"/>
              </w:rPr>
              <w:t>ij</w:t>
            </w:r>
            <w:proofErr w:type="spellEnd"/>
          </w:p>
        </w:tc>
        <w:tc>
          <w:tcPr>
            <w:tcW w:w="492" w:type="pct"/>
            <w:tcMar>
              <w:top w:w="85" w:type="dxa"/>
              <w:left w:w="85" w:type="dxa"/>
              <w:bottom w:w="85" w:type="dxa"/>
              <w:right w:w="85" w:type="dxa"/>
            </w:tcMar>
          </w:tcPr>
          <w:p w14:paraId="5F5C15A4"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6AB72651" w14:textId="77777777" w:rsidR="0099110B" w:rsidRPr="00630129" w:rsidRDefault="0099110B" w:rsidP="0099110B">
            <w:pPr>
              <w:spacing w:after="120"/>
              <w:rPr>
                <w:sz w:val="22"/>
                <w:szCs w:val="22"/>
              </w:rPr>
            </w:pPr>
            <w:r w:rsidRPr="00630129">
              <w:rPr>
                <w:sz w:val="22"/>
                <w:szCs w:val="22"/>
              </w:rPr>
              <w:t>The factor specified in Section T2.2.1(a).</w:t>
            </w:r>
          </w:p>
          <w:p w14:paraId="0F45E74B" w14:textId="77777777" w:rsidR="0099110B" w:rsidRPr="00630129" w:rsidRDefault="0099110B" w:rsidP="0099110B">
            <w:pPr>
              <w:rPr>
                <w:i/>
                <w:sz w:val="22"/>
                <w:szCs w:val="22"/>
              </w:rPr>
            </w:pPr>
            <w:r w:rsidRPr="00630129">
              <w:rPr>
                <w:i/>
                <w:sz w:val="22"/>
                <w:szCs w:val="22"/>
              </w:rPr>
              <w:t xml:space="preserve">The Transmission Loss Factor is that factor used to allocate transmission losses on a locational basis to BM Unit </w:t>
            </w:r>
            <w:proofErr w:type="spellStart"/>
            <w:r w:rsidRPr="00630129">
              <w:rPr>
                <w:i/>
                <w:sz w:val="22"/>
                <w:szCs w:val="22"/>
              </w:rPr>
              <w:t>i</w:t>
            </w:r>
            <w:proofErr w:type="spellEnd"/>
            <w:r w:rsidRPr="00630129">
              <w:rPr>
                <w:i/>
                <w:sz w:val="22"/>
                <w:szCs w:val="22"/>
              </w:rPr>
              <w:t xml:space="preserve"> in Settlement Period j.</w:t>
            </w:r>
          </w:p>
        </w:tc>
      </w:tr>
      <w:tr w:rsidR="0099110B" w:rsidRPr="00630129" w14:paraId="59E317B4" w14:textId="77777777" w:rsidTr="00A63BA8">
        <w:trPr>
          <w:cantSplit/>
        </w:trPr>
        <w:tc>
          <w:tcPr>
            <w:tcW w:w="994" w:type="pct"/>
            <w:tcMar>
              <w:top w:w="85" w:type="dxa"/>
              <w:left w:w="85" w:type="dxa"/>
              <w:bottom w:w="85" w:type="dxa"/>
              <w:right w:w="85" w:type="dxa"/>
            </w:tcMar>
          </w:tcPr>
          <w:p w14:paraId="714D0C5F" w14:textId="77777777" w:rsidR="0099110B" w:rsidRPr="00630129" w:rsidRDefault="0099110B" w:rsidP="0099110B">
            <w:pPr>
              <w:rPr>
                <w:sz w:val="22"/>
                <w:szCs w:val="22"/>
              </w:rPr>
            </w:pPr>
            <w:r w:rsidRPr="00630129">
              <w:rPr>
                <w:sz w:val="22"/>
                <w:szCs w:val="22"/>
              </w:rPr>
              <w:t>Transmission Loss Factor Adjustment</w:t>
            </w:r>
          </w:p>
        </w:tc>
        <w:tc>
          <w:tcPr>
            <w:tcW w:w="974" w:type="pct"/>
            <w:tcMar>
              <w:top w:w="85" w:type="dxa"/>
              <w:left w:w="85" w:type="dxa"/>
              <w:bottom w:w="85" w:type="dxa"/>
              <w:right w:w="85" w:type="dxa"/>
            </w:tcMar>
          </w:tcPr>
          <w:p w14:paraId="33E07FC4" w14:textId="77777777" w:rsidR="0099110B" w:rsidRPr="00630129" w:rsidRDefault="0099110B" w:rsidP="0099110B">
            <w:pPr>
              <w:rPr>
                <w:sz w:val="22"/>
                <w:szCs w:val="22"/>
              </w:rPr>
            </w:pPr>
            <w:r w:rsidRPr="00630129">
              <w:rPr>
                <w:sz w:val="22"/>
                <w:szCs w:val="22"/>
              </w:rPr>
              <w:t>TLFA</w:t>
            </w:r>
            <w:r w:rsidRPr="00630129">
              <w:rPr>
                <w:sz w:val="22"/>
                <w:szCs w:val="22"/>
                <w:vertAlign w:val="subscript"/>
              </w:rPr>
              <w:t>S</w:t>
            </w:r>
          </w:p>
        </w:tc>
        <w:tc>
          <w:tcPr>
            <w:tcW w:w="492" w:type="pct"/>
            <w:tcMar>
              <w:top w:w="85" w:type="dxa"/>
              <w:left w:w="85" w:type="dxa"/>
              <w:bottom w:w="85" w:type="dxa"/>
              <w:right w:w="85" w:type="dxa"/>
            </w:tcMar>
          </w:tcPr>
          <w:p w14:paraId="4692415E"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73E291B5" w14:textId="77777777" w:rsidR="0099110B" w:rsidRPr="00630129" w:rsidRDefault="0099110B" w:rsidP="0099110B">
            <w:pPr>
              <w:spacing w:after="120"/>
              <w:rPr>
                <w:sz w:val="22"/>
                <w:szCs w:val="22"/>
              </w:rPr>
            </w:pPr>
            <w:r w:rsidRPr="00630129">
              <w:rPr>
                <w:sz w:val="22"/>
                <w:szCs w:val="22"/>
              </w:rPr>
              <w:t>The value determined in accordance with paragraph 9.1 of Annex T-2.</w:t>
            </w:r>
          </w:p>
          <w:p w14:paraId="55FCAF6F" w14:textId="77777777" w:rsidR="0099110B" w:rsidRPr="00630129" w:rsidRDefault="0099110B" w:rsidP="0099110B">
            <w:pPr>
              <w:rPr>
                <w:sz w:val="22"/>
                <w:szCs w:val="22"/>
              </w:rPr>
            </w:pPr>
            <w:r w:rsidRPr="00630129">
              <w:rPr>
                <w:i/>
                <w:sz w:val="22"/>
                <w:szCs w:val="22"/>
              </w:rPr>
              <w:t>The Transmission Loss Factor Adjustment is the value calculated to ensure that, as far as possible, the Adjusted Seasonal Zonal TLF (ATLF</w:t>
            </w:r>
            <w:r w:rsidRPr="00630129">
              <w:rPr>
                <w:i/>
                <w:sz w:val="22"/>
                <w:szCs w:val="22"/>
                <w:vertAlign w:val="subscript"/>
              </w:rPr>
              <w:t>ZS</w:t>
            </w:r>
            <w:r w:rsidRPr="00630129">
              <w:rPr>
                <w:i/>
                <w:sz w:val="22"/>
                <w:szCs w:val="22"/>
              </w:rPr>
              <w:t>) values have a zero net aggregate effect on Delivering Transmission Losses Adjustment (</w:t>
            </w:r>
            <w:proofErr w:type="spellStart"/>
            <w:r w:rsidRPr="00630129">
              <w:rPr>
                <w:i/>
                <w:sz w:val="22"/>
                <w:szCs w:val="22"/>
              </w:rPr>
              <w:t>TLMO</w:t>
            </w:r>
            <w:r w:rsidRPr="00630129">
              <w:rPr>
                <w:i/>
                <w:sz w:val="22"/>
                <w:szCs w:val="22"/>
                <w:vertAlign w:val="superscript"/>
              </w:rPr>
              <w:t>+</w:t>
            </w:r>
            <w:r w:rsidRPr="00630129">
              <w:rPr>
                <w:i/>
                <w:sz w:val="22"/>
                <w:szCs w:val="22"/>
                <w:vertAlign w:val="subscript"/>
              </w:rPr>
              <w:t>j</w:t>
            </w:r>
            <w:proofErr w:type="spellEnd"/>
            <w:r w:rsidRPr="00630129">
              <w:rPr>
                <w:i/>
                <w:sz w:val="22"/>
                <w:szCs w:val="22"/>
              </w:rPr>
              <w:t>) values.</w:t>
            </w:r>
          </w:p>
        </w:tc>
      </w:tr>
      <w:tr w:rsidR="0099110B" w:rsidRPr="00630129" w14:paraId="1AB344E7" w14:textId="77777777" w:rsidTr="00A63BA8">
        <w:trPr>
          <w:cantSplit/>
        </w:trPr>
        <w:tc>
          <w:tcPr>
            <w:tcW w:w="994" w:type="pct"/>
            <w:tcMar>
              <w:top w:w="85" w:type="dxa"/>
              <w:left w:w="85" w:type="dxa"/>
              <w:bottom w:w="85" w:type="dxa"/>
              <w:right w:w="85" w:type="dxa"/>
            </w:tcMar>
          </w:tcPr>
          <w:p w14:paraId="7811412F" w14:textId="77777777" w:rsidR="0099110B" w:rsidRPr="00630129" w:rsidRDefault="0099110B" w:rsidP="0099110B">
            <w:pPr>
              <w:rPr>
                <w:sz w:val="22"/>
                <w:szCs w:val="22"/>
              </w:rPr>
            </w:pPr>
            <w:r w:rsidRPr="00630129">
              <w:rPr>
                <w:sz w:val="22"/>
                <w:szCs w:val="22"/>
              </w:rPr>
              <w:t>Transmission Loss Multiplier</w:t>
            </w:r>
          </w:p>
        </w:tc>
        <w:tc>
          <w:tcPr>
            <w:tcW w:w="974" w:type="pct"/>
            <w:tcMar>
              <w:top w:w="85" w:type="dxa"/>
              <w:left w:w="85" w:type="dxa"/>
              <w:bottom w:w="85" w:type="dxa"/>
              <w:right w:w="85" w:type="dxa"/>
            </w:tcMar>
          </w:tcPr>
          <w:p w14:paraId="48FE9E63" w14:textId="77777777" w:rsidR="0099110B" w:rsidRPr="00630129" w:rsidRDefault="0099110B" w:rsidP="0099110B">
            <w:pPr>
              <w:rPr>
                <w:sz w:val="22"/>
                <w:szCs w:val="22"/>
              </w:rPr>
            </w:pPr>
            <w:proofErr w:type="spellStart"/>
            <w:r w:rsidRPr="00630129">
              <w:rPr>
                <w:sz w:val="22"/>
                <w:szCs w:val="22"/>
              </w:rPr>
              <w:t>TLM</w:t>
            </w:r>
            <w:r w:rsidRPr="00630129">
              <w:rPr>
                <w:sz w:val="22"/>
                <w:szCs w:val="22"/>
                <w:vertAlign w:val="subscript"/>
              </w:rPr>
              <w:t>ij</w:t>
            </w:r>
            <w:proofErr w:type="spellEnd"/>
          </w:p>
        </w:tc>
        <w:tc>
          <w:tcPr>
            <w:tcW w:w="492" w:type="pct"/>
            <w:tcMar>
              <w:top w:w="85" w:type="dxa"/>
              <w:left w:w="85" w:type="dxa"/>
              <w:bottom w:w="85" w:type="dxa"/>
              <w:right w:w="85" w:type="dxa"/>
            </w:tcMar>
          </w:tcPr>
          <w:p w14:paraId="6B0F0E9C"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3BB05DEC" w14:textId="77777777" w:rsidR="0099110B" w:rsidRPr="00630129" w:rsidRDefault="0099110B" w:rsidP="0099110B">
            <w:pPr>
              <w:spacing w:after="120"/>
              <w:rPr>
                <w:sz w:val="22"/>
                <w:szCs w:val="22"/>
              </w:rPr>
            </w:pPr>
            <w:r w:rsidRPr="00630129">
              <w:rPr>
                <w:sz w:val="22"/>
                <w:szCs w:val="22"/>
              </w:rPr>
              <w:t>The multiplier calculated in accordance with Section T2.3.1(a) or (b).</w:t>
            </w:r>
          </w:p>
          <w:p w14:paraId="78100C42" w14:textId="77777777" w:rsidR="0099110B" w:rsidRPr="00630129" w:rsidRDefault="0099110B" w:rsidP="0099110B">
            <w:pPr>
              <w:rPr>
                <w:i/>
                <w:sz w:val="22"/>
                <w:szCs w:val="22"/>
              </w:rPr>
            </w:pPr>
            <w:r w:rsidRPr="00630129">
              <w:rPr>
                <w:i/>
                <w:sz w:val="22"/>
                <w:szCs w:val="22"/>
              </w:rPr>
              <w:t xml:space="preserve">The Transmission Loss Multiplier is the factor applied to BM Unit </w:t>
            </w:r>
            <w:proofErr w:type="spellStart"/>
            <w:r w:rsidRPr="00630129">
              <w:rPr>
                <w:i/>
                <w:sz w:val="22"/>
                <w:szCs w:val="22"/>
              </w:rPr>
              <w:t>i</w:t>
            </w:r>
            <w:proofErr w:type="spellEnd"/>
            <w:r w:rsidRPr="00630129">
              <w:rPr>
                <w:i/>
                <w:sz w:val="22"/>
                <w:szCs w:val="22"/>
              </w:rPr>
              <w:t xml:space="preserve"> in Settlement Period j in order to adjust for Transmission Losses.</w:t>
            </w:r>
          </w:p>
        </w:tc>
      </w:tr>
      <w:tr w:rsidR="0099110B" w:rsidRPr="00630129" w14:paraId="64204D6F" w14:textId="77777777" w:rsidTr="00A63BA8">
        <w:trPr>
          <w:cantSplit/>
        </w:trPr>
        <w:tc>
          <w:tcPr>
            <w:tcW w:w="994" w:type="pct"/>
            <w:tcMar>
              <w:top w:w="85" w:type="dxa"/>
              <w:left w:w="85" w:type="dxa"/>
              <w:bottom w:w="85" w:type="dxa"/>
              <w:right w:w="85" w:type="dxa"/>
            </w:tcMar>
          </w:tcPr>
          <w:p w14:paraId="6A670E62" w14:textId="77777777" w:rsidR="0099110B" w:rsidRPr="00630129" w:rsidRDefault="0099110B" w:rsidP="0099110B">
            <w:pPr>
              <w:rPr>
                <w:sz w:val="22"/>
                <w:szCs w:val="22"/>
              </w:rPr>
            </w:pPr>
            <w:r w:rsidRPr="00630129">
              <w:rPr>
                <w:sz w:val="22"/>
                <w:szCs w:val="22"/>
              </w:rPr>
              <w:t>Transmission System Demand</w:t>
            </w:r>
          </w:p>
        </w:tc>
        <w:tc>
          <w:tcPr>
            <w:tcW w:w="974" w:type="pct"/>
            <w:tcMar>
              <w:top w:w="85" w:type="dxa"/>
              <w:left w:w="85" w:type="dxa"/>
              <w:bottom w:w="85" w:type="dxa"/>
              <w:right w:w="85" w:type="dxa"/>
            </w:tcMar>
          </w:tcPr>
          <w:p w14:paraId="0E9FB5D9"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200FFD0E"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206BD6E8" w14:textId="77777777" w:rsidR="0099110B" w:rsidRPr="00630129" w:rsidRDefault="0099110B" w:rsidP="0099110B">
            <w:pPr>
              <w:rPr>
                <w:rFonts w:ascii="MT Extra" w:hAnsi="MT Extra"/>
                <w:sz w:val="22"/>
                <w:szCs w:val="22"/>
                <w:lang w:val="en-US"/>
              </w:rPr>
            </w:pPr>
            <w:r w:rsidRPr="00630129">
              <w:rPr>
                <w:sz w:val="22"/>
                <w:szCs w:val="22"/>
              </w:rPr>
              <w:t>Has the meaning given to the term National Electricity Transmission System Demand as defined in the Grid Code.</w:t>
            </w:r>
          </w:p>
        </w:tc>
      </w:tr>
      <w:tr w:rsidR="0099110B" w:rsidRPr="00630129" w14:paraId="60BEC81D" w14:textId="77777777" w:rsidTr="00A63BA8">
        <w:trPr>
          <w:cantSplit/>
        </w:trPr>
        <w:tc>
          <w:tcPr>
            <w:tcW w:w="994" w:type="pct"/>
            <w:tcMar>
              <w:top w:w="85" w:type="dxa"/>
              <w:left w:w="85" w:type="dxa"/>
              <w:bottom w:w="85" w:type="dxa"/>
              <w:right w:w="85" w:type="dxa"/>
            </w:tcMar>
          </w:tcPr>
          <w:p w14:paraId="46477C48" w14:textId="77777777" w:rsidR="0099110B" w:rsidRPr="00630129" w:rsidRDefault="0099110B" w:rsidP="0099110B">
            <w:pPr>
              <w:rPr>
                <w:sz w:val="22"/>
                <w:szCs w:val="22"/>
              </w:rPr>
            </w:pPr>
            <w:r w:rsidRPr="00630129">
              <w:rPr>
                <w:sz w:val="22"/>
                <w:szCs w:val="22"/>
              </w:rPr>
              <w:t>Transmission System Frequency</w:t>
            </w:r>
          </w:p>
        </w:tc>
        <w:tc>
          <w:tcPr>
            <w:tcW w:w="974" w:type="pct"/>
            <w:tcMar>
              <w:top w:w="85" w:type="dxa"/>
              <w:left w:w="85" w:type="dxa"/>
              <w:bottom w:w="85" w:type="dxa"/>
              <w:right w:w="85" w:type="dxa"/>
            </w:tcMar>
          </w:tcPr>
          <w:p w14:paraId="3F77B1A5"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6DE6D876" w14:textId="77777777" w:rsidR="0099110B" w:rsidRPr="00630129" w:rsidRDefault="0099110B" w:rsidP="0099110B">
            <w:pPr>
              <w:rPr>
                <w:sz w:val="22"/>
                <w:szCs w:val="22"/>
              </w:rPr>
            </w:pPr>
            <w:r w:rsidRPr="00630129">
              <w:rPr>
                <w:sz w:val="22"/>
                <w:szCs w:val="22"/>
              </w:rPr>
              <w:t>Hertz</w:t>
            </w:r>
          </w:p>
        </w:tc>
        <w:tc>
          <w:tcPr>
            <w:tcW w:w="2540" w:type="pct"/>
            <w:tcMar>
              <w:top w:w="85" w:type="dxa"/>
              <w:left w:w="85" w:type="dxa"/>
              <w:bottom w:w="85" w:type="dxa"/>
              <w:right w:w="85" w:type="dxa"/>
            </w:tcMar>
          </w:tcPr>
          <w:p w14:paraId="4C0B18AF" w14:textId="77777777" w:rsidR="0099110B" w:rsidRPr="00630129" w:rsidRDefault="0099110B" w:rsidP="0099110B">
            <w:pPr>
              <w:rPr>
                <w:sz w:val="22"/>
                <w:szCs w:val="22"/>
              </w:rPr>
            </w:pPr>
            <w:r w:rsidRPr="00630129">
              <w:rPr>
                <w:sz w:val="22"/>
                <w:szCs w:val="22"/>
              </w:rPr>
              <w:t>The Frequency of the Transmission System.</w:t>
            </w:r>
          </w:p>
        </w:tc>
      </w:tr>
      <w:tr w:rsidR="0099110B" w:rsidRPr="00630129" w14:paraId="45D89E41" w14:textId="77777777" w:rsidTr="00A63BA8">
        <w:trPr>
          <w:cantSplit/>
        </w:trPr>
        <w:tc>
          <w:tcPr>
            <w:tcW w:w="994" w:type="pct"/>
            <w:tcMar>
              <w:top w:w="85" w:type="dxa"/>
              <w:left w:w="85" w:type="dxa"/>
              <w:bottom w:w="85" w:type="dxa"/>
              <w:right w:w="85" w:type="dxa"/>
            </w:tcMar>
          </w:tcPr>
          <w:p w14:paraId="120FF8E0" w14:textId="77777777" w:rsidR="0099110B" w:rsidRPr="00630129" w:rsidRDefault="0099110B" w:rsidP="0099110B">
            <w:pPr>
              <w:rPr>
                <w:sz w:val="22"/>
                <w:szCs w:val="22"/>
              </w:rPr>
            </w:pPr>
            <w:proofErr w:type="spellStart"/>
            <w:r w:rsidRPr="00630129">
              <w:rPr>
                <w:sz w:val="22"/>
                <w:szCs w:val="22"/>
              </w:rPr>
              <w:t>Unsubmitted</w:t>
            </w:r>
            <w:proofErr w:type="spellEnd"/>
            <w:r w:rsidRPr="00630129">
              <w:rPr>
                <w:sz w:val="22"/>
                <w:szCs w:val="22"/>
              </w:rPr>
              <w:t xml:space="preserve"> Bid-Offer Pair</w:t>
            </w:r>
          </w:p>
        </w:tc>
        <w:tc>
          <w:tcPr>
            <w:tcW w:w="974" w:type="pct"/>
            <w:tcMar>
              <w:top w:w="85" w:type="dxa"/>
              <w:left w:w="85" w:type="dxa"/>
              <w:bottom w:w="85" w:type="dxa"/>
              <w:right w:w="85" w:type="dxa"/>
            </w:tcMar>
          </w:tcPr>
          <w:p w14:paraId="09CB51EA"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58123BBF"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4E8B0200" w14:textId="77777777" w:rsidR="0099110B" w:rsidRPr="00630129" w:rsidRDefault="0099110B" w:rsidP="0099110B">
            <w:pPr>
              <w:rPr>
                <w:sz w:val="22"/>
                <w:szCs w:val="22"/>
              </w:rPr>
            </w:pPr>
            <w:r w:rsidRPr="00630129">
              <w:rPr>
                <w:sz w:val="22"/>
                <w:szCs w:val="22"/>
              </w:rPr>
              <w:t>Has the meaning given to that term in Section T3.4B.2.</w:t>
            </w:r>
          </w:p>
        </w:tc>
      </w:tr>
      <w:tr w:rsidR="0099110B" w:rsidRPr="00630129" w14:paraId="09A89B60"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23BFECE" w14:textId="77777777" w:rsidR="0099110B" w:rsidRPr="00630129" w:rsidRDefault="0099110B" w:rsidP="0099110B">
            <w:pPr>
              <w:rPr>
                <w:sz w:val="22"/>
                <w:szCs w:val="22"/>
              </w:rPr>
            </w:pPr>
            <w:r w:rsidRPr="00630129">
              <w:rPr>
                <w:sz w:val="22"/>
                <w:szCs w:val="22"/>
              </w:rPr>
              <w:t>Utilisation Price</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2AADA7B" w14:textId="77777777" w:rsidR="0099110B" w:rsidRPr="00630129" w:rsidRDefault="0099110B" w:rsidP="0099110B">
            <w:pPr>
              <w:rPr>
                <w:sz w:val="22"/>
                <w:szCs w:val="22"/>
              </w:rPr>
            </w:pPr>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F8CA2FC" w14:textId="77777777" w:rsidR="0099110B" w:rsidRPr="00630129" w:rsidRDefault="0099110B" w:rsidP="0099110B">
            <w:pPr>
              <w:rPr>
                <w:sz w:val="22"/>
                <w:szCs w:val="22"/>
              </w:rPr>
            </w:pPr>
            <w:r w:rsidRPr="00630129">
              <w:rPr>
                <w:sz w:val="22"/>
                <w:szCs w:val="22"/>
              </w:rPr>
              <w:t>£/MWh</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1557296" w14:textId="77777777" w:rsidR="0099110B" w:rsidRPr="00630129" w:rsidRDefault="0099110B" w:rsidP="0099110B">
            <w:pPr>
              <w:spacing w:after="120"/>
              <w:rPr>
                <w:sz w:val="22"/>
                <w:szCs w:val="22"/>
              </w:rPr>
            </w:pPr>
            <w:r w:rsidRPr="00630129">
              <w:rPr>
                <w:sz w:val="22"/>
                <w:szCs w:val="22"/>
              </w:rPr>
              <w:t>The amount sent by the NETSO as a utilisation payment in respect of a STOR Action which:</w:t>
            </w:r>
          </w:p>
          <w:p w14:paraId="7619EAE9" w14:textId="77777777" w:rsidR="0099110B" w:rsidRPr="00630129" w:rsidRDefault="0099110B" w:rsidP="0099110B">
            <w:pPr>
              <w:spacing w:after="120"/>
              <w:ind w:left="567" w:hanging="567"/>
              <w:rPr>
                <w:sz w:val="22"/>
                <w:szCs w:val="22"/>
              </w:rPr>
            </w:pPr>
            <w:r w:rsidRPr="00630129">
              <w:rPr>
                <w:sz w:val="22"/>
                <w:szCs w:val="22"/>
              </w:rPr>
              <w:t>(</w:t>
            </w:r>
            <w:proofErr w:type="spellStart"/>
            <w:r w:rsidRPr="00630129">
              <w:rPr>
                <w:sz w:val="22"/>
                <w:szCs w:val="22"/>
              </w:rPr>
              <w:t>i</w:t>
            </w:r>
            <w:proofErr w:type="spellEnd"/>
            <w:r w:rsidRPr="00630129">
              <w:rPr>
                <w:sz w:val="22"/>
                <w:szCs w:val="22"/>
              </w:rPr>
              <w:t>)</w:t>
            </w:r>
            <w:r w:rsidRPr="00630129">
              <w:rPr>
                <w:sz w:val="22"/>
                <w:szCs w:val="22"/>
              </w:rPr>
              <w:tab/>
              <w:t>in relation to a BM STOR Action shall be the Offer Price; and</w:t>
            </w:r>
          </w:p>
          <w:p w14:paraId="5B55E7C0" w14:textId="77777777" w:rsidR="0099110B" w:rsidRPr="00630129" w:rsidRDefault="0099110B" w:rsidP="0099110B">
            <w:pPr>
              <w:ind w:left="567" w:hanging="567"/>
              <w:rPr>
                <w:sz w:val="22"/>
                <w:szCs w:val="22"/>
              </w:rPr>
            </w:pPr>
            <w:r w:rsidRPr="00630129">
              <w:rPr>
                <w:sz w:val="22"/>
                <w:szCs w:val="22"/>
              </w:rPr>
              <w:t>(ii)</w:t>
            </w:r>
            <w:r w:rsidRPr="00630129">
              <w:rPr>
                <w:sz w:val="22"/>
                <w:szCs w:val="22"/>
              </w:rPr>
              <w:tab/>
              <w:t>in relation to a Non-BM STOR Action shall be the Balancing Services Adjustment Cost.</w:t>
            </w:r>
          </w:p>
        </w:tc>
      </w:tr>
      <w:tr w:rsidR="0099110B" w:rsidRPr="00630129" w14:paraId="7747B1D6"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45D778F" w14:textId="77777777" w:rsidR="0099110B" w:rsidRPr="00630129" w:rsidRDefault="0099110B" w:rsidP="0099110B">
            <w:pPr>
              <w:rPr>
                <w:sz w:val="22"/>
                <w:szCs w:val="22"/>
              </w:rPr>
            </w:pPr>
            <w:r w:rsidRPr="00630129">
              <w:rPr>
                <w:sz w:val="22"/>
                <w:szCs w:val="22"/>
              </w:rPr>
              <w:lastRenderedPageBreak/>
              <w:t xml:space="preserve">Value of Lost Load </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0C07FF1" w14:textId="77777777" w:rsidR="0099110B" w:rsidRPr="00630129" w:rsidRDefault="0099110B" w:rsidP="0099110B">
            <w:pPr>
              <w:rPr>
                <w:sz w:val="22"/>
                <w:szCs w:val="22"/>
              </w:rPr>
            </w:pPr>
            <w:proofErr w:type="spellStart"/>
            <w:r w:rsidRPr="00630129">
              <w:rPr>
                <w:sz w:val="22"/>
                <w:szCs w:val="22"/>
              </w:rPr>
              <w:t>VoLL</w:t>
            </w:r>
            <w:proofErr w:type="spellEnd"/>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3F915F8" w14:textId="77777777" w:rsidR="0099110B" w:rsidRPr="00630129" w:rsidRDefault="0099110B" w:rsidP="0099110B">
            <w:pPr>
              <w:rPr>
                <w:sz w:val="22"/>
                <w:szCs w:val="22"/>
              </w:rPr>
            </w:pPr>
            <w:r w:rsidRPr="00630129">
              <w:rPr>
                <w:sz w:val="22"/>
                <w:szCs w:val="22"/>
              </w:rPr>
              <w:t>£/MWh</w:t>
            </w: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5CCA7A1" w14:textId="77777777" w:rsidR="0099110B" w:rsidRPr="00630129" w:rsidRDefault="0099110B" w:rsidP="0099110B">
            <w:pPr>
              <w:rPr>
                <w:sz w:val="22"/>
                <w:szCs w:val="22"/>
              </w:rPr>
            </w:pPr>
            <w:r w:rsidRPr="00630129">
              <w:rPr>
                <w:sz w:val="22"/>
                <w:szCs w:val="22"/>
              </w:rPr>
              <w:t>Has the meaning given to it in Section T1.12.1.</w:t>
            </w:r>
          </w:p>
        </w:tc>
      </w:tr>
      <w:tr w:rsidR="0099110B" w:rsidRPr="00630129" w14:paraId="2DF77E7C" w14:textId="77777777" w:rsidTr="00A63BA8">
        <w:trPr>
          <w:cantSplit/>
        </w:trPr>
        <w:tc>
          <w:tcPr>
            <w:tcW w:w="99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47E6398" w14:textId="77777777" w:rsidR="0099110B" w:rsidRPr="00630129" w:rsidRDefault="0099110B" w:rsidP="0099110B">
            <w:pPr>
              <w:rPr>
                <w:sz w:val="22"/>
                <w:szCs w:val="22"/>
              </w:rPr>
            </w:pPr>
            <w:r w:rsidRPr="00630129">
              <w:rPr>
                <w:sz w:val="22"/>
                <w:szCs w:val="22"/>
              </w:rPr>
              <w:t>Working Day Credit Assessment Load Factor</w:t>
            </w:r>
          </w:p>
        </w:tc>
        <w:tc>
          <w:tcPr>
            <w:tcW w:w="97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4FBF73A4" w14:textId="77777777" w:rsidR="0099110B" w:rsidRPr="00630129" w:rsidRDefault="0099110B" w:rsidP="0099110B">
            <w:pPr>
              <w:rPr>
                <w:sz w:val="22"/>
                <w:szCs w:val="22"/>
              </w:rPr>
            </w:pPr>
            <w:proofErr w:type="spellStart"/>
            <w:r w:rsidRPr="00630129">
              <w:rPr>
                <w:sz w:val="22"/>
                <w:szCs w:val="22"/>
              </w:rPr>
              <w:t>WDCALF</w:t>
            </w:r>
            <w:r w:rsidRPr="00630129">
              <w:rPr>
                <w:sz w:val="22"/>
                <w:szCs w:val="22"/>
                <w:vertAlign w:val="subscript"/>
              </w:rPr>
              <w:t>i</w:t>
            </w:r>
            <w:proofErr w:type="spellEnd"/>
          </w:p>
        </w:tc>
        <w:tc>
          <w:tcPr>
            <w:tcW w:w="49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EC447F8" w14:textId="77777777" w:rsidR="0099110B" w:rsidRPr="00630129" w:rsidRDefault="0099110B" w:rsidP="0099110B">
            <w:pPr>
              <w:rPr>
                <w:sz w:val="22"/>
                <w:szCs w:val="22"/>
              </w:rPr>
            </w:pPr>
          </w:p>
        </w:tc>
        <w:tc>
          <w:tcPr>
            <w:tcW w:w="2540"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4B09FCCA" w14:textId="77777777" w:rsidR="0099110B" w:rsidRPr="00630129" w:rsidRDefault="0099110B" w:rsidP="0099110B">
            <w:pPr>
              <w:spacing w:after="120"/>
              <w:rPr>
                <w:sz w:val="22"/>
                <w:szCs w:val="22"/>
              </w:rPr>
            </w:pPr>
            <w:r w:rsidRPr="00630129">
              <w:rPr>
                <w:sz w:val="22"/>
                <w:szCs w:val="22"/>
              </w:rPr>
              <w:t>Is defined in Annex X-1.</w:t>
            </w:r>
          </w:p>
          <w:p w14:paraId="5933A96C" w14:textId="77777777" w:rsidR="0099110B" w:rsidRPr="00630129" w:rsidRDefault="0099110B" w:rsidP="0099110B">
            <w:pPr>
              <w:rPr>
                <w:sz w:val="22"/>
                <w:szCs w:val="22"/>
              </w:rPr>
            </w:pPr>
            <w:r w:rsidRPr="00630129">
              <w:rPr>
                <w:i/>
                <w:sz w:val="22"/>
                <w:szCs w:val="22"/>
              </w:rPr>
              <w:t>The factor is used to establish the BM Unit Credit Assessment Export Capability and BM Unit Credit Assessment Import Capability for BM Unit </w:t>
            </w:r>
            <w:proofErr w:type="spellStart"/>
            <w:r w:rsidRPr="00630129">
              <w:rPr>
                <w:i/>
                <w:sz w:val="22"/>
                <w:szCs w:val="22"/>
              </w:rPr>
              <w:t>i</w:t>
            </w:r>
            <w:proofErr w:type="spellEnd"/>
            <w:r w:rsidRPr="00630129">
              <w:rPr>
                <w:i/>
                <w:sz w:val="22"/>
                <w:szCs w:val="22"/>
              </w:rPr>
              <w:t xml:space="preserve"> on a CALF Working Day determined for the purposes of Credit Assessment Load Factor.</w:t>
            </w:r>
          </w:p>
        </w:tc>
      </w:tr>
      <w:tr w:rsidR="0099110B" w:rsidRPr="00630129" w14:paraId="33AAED0D" w14:textId="77777777" w:rsidTr="00A63BA8">
        <w:trPr>
          <w:cantSplit/>
        </w:trPr>
        <w:tc>
          <w:tcPr>
            <w:tcW w:w="994" w:type="pct"/>
            <w:tcMar>
              <w:top w:w="85" w:type="dxa"/>
              <w:left w:w="85" w:type="dxa"/>
              <w:bottom w:w="85" w:type="dxa"/>
              <w:right w:w="85" w:type="dxa"/>
            </w:tcMar>
          </w:tcPr>
          <w:p w14:paraId="0ABC2441" w14:textId="77777777" w:rsidR="0099110B" w:rsidRPr="00630129" w:rsidRDefault="0099110B" w:rsidP="0099110B">
            <w:pPr>
              <w:rPr>
                <w:sz w:val="22"/>
                <w:szCs w:val="22"/>
              </w:rPr>
            </w:pPr>
            <w:r w:rsidRPr="00630129">
              <w:rPr>
                <w:sz w:val="22"/>
                <w:szCs w:val="22"/>
              </w:rPr>
              <w:t>Zonal Output Usable</w:t>
            </w:r>
          </w:p>
        </w:tc>
        <w:tc>
          <w:tcPr>
            <w:tcW w:w="974" w:type="pct"/>
            <w:tcMar>
              <w:top w:w="85" w:type="dxa"/>
              <w:left w:w="85" w:type="dxa"/>
              <w:bottom w:w="85" w:type="dxa"/>
              <w:right w:w="85" w:type="dxa"/>
            </w:tcMar>
          </w:tcPr>
          <w:p w14:paraId="6EC796D8"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79F2D660" w14:textId="77777777" w:rsidR="0099110B" w:rsidRPr="00630129" w:rsidRDefault="0099110B" w:rsidP="0099110B">
            <w:pPr>
              <w:rPr>
                <w:sz w:val="22"/>
                <w:szCs w:val="22"/>
              </w:rPr>
            </w:pPr>
            <w:r w:rsidRPr="00630129">
              <w:rPr>
                <w:sz w:val="22"/>
                <w:szCs w:val="22"/>
              </w:rPr>
              <w:t>MW</w:t>
            </w:r>
          </w:p>
        </w:tc>
        <w:tc>
          <w:tcPr>
            <w:tcW w:w="2540" w:type="pct"/>
            <w:tcMar>
              <w:top w:w="85" w:type="dxa"/>
              <w:left w:w="85" w:type="dxa"/>
              <w:bottom w:w="85" w:type="dxa"/>
              <w:right w:w="85" w:type="dxa"/>
            </w:tcMar>
          </w:tcPr>
          <w:p w14:paraId="74170F17" w14:textId="77777777" w:rsidR="0099110B" w:rsidRPr="00630129" w:rsidRDefault="0099110B" w:rsidP="0099110B">
            <w:pPr>
              <w:rPr>
                <w:sz w:val="22"/>
                <w:szCs w:val="22"/>
              </w:rPr>
            </w:pPr>
            <w:r w:rsidRPr="00630129">
              <w:rPr>
                <w:sz w:val="22"/>
                <w:szCs w:val="22"/>
              </w:rPr>
              <w:t xml:space="preserve">Means the sum of Output </w:t>
            </w:r>
            <w:proofErr w:type="spellStart"/>
            <w:r w:rsidRPr="00630129">
              <w:rPr>
                <w:sz w:val="22"/>
                <w:szCs w:val="22"/>
              </w:rPr>
              <w:t>Usables</w:t>
            </w:r>
            <w:proofErr w:type="spellEnd"/>
            <w:r w:rsidRPr="00630129">
              <w:rPr>
                <w:sz w:val="22"/>
                <w:szCs w:val="22"/>
              </w:rPr>
              <w:t xml:space="preserve"> (as defined in the Grid Code) in a System Zone excluding (unless expressly stated otherwise in the Code) expected Interconnector transfer capacity.</w:t>
            </w:r>
          </w:p>
        </w:tc>
      </w:tr>
      <w:tr w:rsidR="0099110B" w:rsidRPr="00630129" w14:paraId="57EC7867" w14:textId="77777777" w:rsidTr="00A63BA8">
        <w:trPr>
          <w:cantSplit/>
        </w:trPr>
        <w:tc>
          <w:tcPr>
            <w:tcW w:w="994" w:type="pct"/>
            <w:tcMar>
              <w:top w:w="85" w:type="dxa"/>
              <w:left w:w="85" w:type="dxa"/>
              <w:bottom w:w="85" w:type="dxa"/>
              <w:right w:w="85" w:type="dxa"/>
            </w:tcMar>
          </w:tcPr>
          <w:p w14:paraId="3F54E3C4" w14:textId="77777777" w:rsidR="0099110B" w:rsidRPr="00630129" w:rsidRDefault="0099110B" w:rsidP="0099110B">
            <w:pPr>
              <w:rPr>
                <w:sz w:val="22"/>
                <w:szCs w:val="22"/>
              </w:rPr>
            </w:pPr>
            <w:r w:rsidRPr="00630129">
              <w:rPr>
                <w:sz w:val="22"/>
                <w:szCs w:val="22"/>
              </w:rPr>
              <w:t>Zonal Transmission System Demand</w:t>
            </w:r>
          </w:p>
        </w:tc>
        <w:tc>
          <w:tcPr>
            <w:tcW w:w="974" w:type="pct"/>
            <w:tcMar>
              <w:top w:w="85" w:type="dxa"/>
              <w:left w:w="85" w:type="dxa"/>
              <w:bottom w:w="85" w:type="dxa"/>
              <w:right w:w="85" w:type="dxa"/>
            </w:tcMar>
          </w:tcPr>
          <w:p w14:paraId="36B29A17" w14:textId="77777777" w:rsidR="0099110B" w:rsidRPr="00630129" w:rsidRDefault="0099110B" w:rsidP="0099110B">
            <w:pPr>
              <w:rPr>
                <w:sz w:val="22"/>
                <w:szCs w:val="22"/>
              </w:rPr>
            </w:pPr>
          </w:p>
        </w:tc>
        <w:tc>
          <w:tcPr>
            <w:tcW w:w="492" w:type="pct"/>
            <w:tcMar>
              <w:top w:w="85" w:type="dxa"/>
              <w:left w:w="85" w:type="dxa"/>
              <w:bottom w:w="85" w:type="dxa"/>
              <w:right w:w="85" w:type="dxa"/>
            </w:tcMar>
          </w:tcPr>
          <w:p w14:paraId="7CCE2D8F" w14:textId="77777777" w:rsidR="0099110B" w:rsidRPr="00630129" w:rsidRDefault="0099110B" w:rsidP="0099110B">
            <w:pPr>
              <w:rPr>
                <w:sz w:val="22"/>
                <w:szCs w:val="22"/>
              </w:rPr>
            </w:pPr>
          </w:p>
        </w:tc>
        <w:tc>
          <w:tcPr>
            <w:tcW w:w="2540" w:type="pct"/>
            <w:tcMar>
              <w:top w:w="85" w:type="dxa"/>
              <w:left w:w="85" w:type="dxa"/>
              <w:bottom w:w="85" w:type="dxa"/>
              <w:right w:w="85" w:type="dxa"/>
            </w:tcMar>
          </w:tcPr>
          <w:p w14:paraId="0CB6B28D" w14:textId="77777777" w:rsidR="0099110B" w:rsidRPr="00630129" w:rsidRDefault="0099110B" w:rsidP="0099110B">
            <w:pPr>
              <w:rPr>
                <w:sz w:val="22"/>
                <w:szCs w:val="22"/>
              </w:rPr>
            </w:pPr>
            <w:r w:rsidRPr="00630129">
              <w:rPr>
                <w:sz w:val="22"/>
                <w:szCs w:val="22"/>
              </w:rPr>
              <w:t>The forecast quantity of Transmission System Demand in a BMRS Zone.</w:t>
            </w:r>
          </w:p>
        </w:tc>
      </w:tr>
    </w:tbl>
    <w:p w14:paraId="25D3F591" w14:textId="77777777" w:rsidR="00280DA2" w:rsidRPr="00630129" w:rsidRDefault="00280DA2" w:rsidP="00280DA2">
      <w:pPr>
        <w:spacing w:after="220"/>
        <w:jc w:val="both"/>
        <w:rPr>
          <w:sz w:val="22"/>
          <w:szCs w:val="22"/>
        </w:rPr>
      </w:pPr>
    </w:p>
    <w:p w14:paraId="4F806F9A" w14:textId="77777777" w:rsidR="00280DA2" w:rsidRPr="00630129" w:rsidRDefault="00280DA2" w:rsidP="00280DA2">
      <w:pPr>
        <w:spacing w:after="220"/>
        <w:jc w:val="both"/>
        <w:rPr>
          <w:sz w:val="22"/>
          <w:szCs w:val="22"/>
        </w:rPr>
      </w:pPr>
    </w:p>
    <w:p w14:paraId="0D463C11" w14:textId="77777777" w:rsidR="00280DA2" w:rsidRPr="00630129" w:rsidRDefault="00280DA2" w:rsidP="00280DA2">
      <w:pPr>
        <w:spacing w:after="220"/>
        <w:jc w:val="both"/>
        <w:rPr>
          <w:sz w:val="22"/>
          <w:szCs w:val="22"/>
        </w:rPr>
      </w:pPr>
    </w:p>
    <w:p w14:paraId="5A7B18D6" w14:textId="77777777" w:rsidR="00280DA2" w:rsidRPr="00630129" w:rsidRDefault="00280DA2" w:rsidP="00280DA2">
      <w:pPr>
        <w:spacing w:after="220"/>
        <w:jc w:val="both"/>
        <w:rPr>
          <w:sz w:val="22"/>
          <w:szCs w:val="22"/>
        </w:rPr>
      </w:pPr>
    </w:p>
    <w:p w14:paraId="3F74C094" w14:textId="77777777" w:rsidR="002A68CF" w:rsidRPr="00630129" w:rsidRDefault="001C7564">
      <w:pPr>
        <w:pStyle w:val="Heading8"/>
        <w:keepNext w:val="0"/>
        <w:pageBreakBefore/>
        <w:spacing w:after="220"/>
        <w:jc w:val="center"/>
        <w:rPr>
          <w:b/>
          <w:sz w:val="22"/>
          <w:szCs w:val="22"/>
        </w:rPr>
      </w:pPr>
      <w:r w:rsidRPr="00630129">
        <w:rPr>
          <w:b/>
          <w:sz w:val="22"/>
          <w:szCs w:val="22"/>
        </w:rPr>
        <w:lastRenderedPageBreak/>
        <w:t>Table X-3</w:t>
      </w:r>
    </w:p>
    <w:p w14:paraId="7D0CCAC0" w14:textId="77777777" w:rsidR="002A68CF" w:rsidRPr="00630129" w:rsidRDefault="001C7564">
      <w:pPr>
        <w:pStyle w:val="Heading8"/>
        <w:keepNext w:val="0"/>
        <w:spacing w:after="220"/>
        <w:jc w:val="center"/>
        <w:rPr>
          <w:b/>
          <w:sz w:val="22"/>
          <w:szCs w:val="22"/>
        </w:rPr>
      </w:pPr>
      <w:r w:rsidRPr="00630129">
        <w:rPr>
          <w:b/>
          <w:sz w:val="22"/>
          <w:szCs w:val="22"/>
        </w:rPr>
        <w:t>Glossary of Acronyms</w:t>
      </w:r>
      <w:bookmarkEnd w:id="5"/>
      <w:r w:rsidRPr="00630129">
        <w:rPr>
          <w:b/>
          <w:sz w:val="22"/>
          <w:szCs w:val="22"/>
        </w:rPr>
        <w:t xml:space="preserve"> Applying Except In Relation To Section S</w:t>
      </w:r>
    </w:p>
    <w:p w14:paraId="6ECB118C" w14:textId="77777777" w:rsidR="002A68CF" w:rsidRPr="00630129" w:rsidRDefault="001C7564">
      <w:pPr>
        <w:pStyle w:val="EndnoteText"/>
        <w:spacing w:after="220"/>
        <w:jc w:val="both"/>
        <w:rPr>
          <w:sz w:val="22"/>
          <w:szCs w:val="22"/>
        </w:rPr>
      </w:pPr>
      <w:r w:rsidRPr="00630129">
        <w:rPr>
          <w:sz w:val="22"/>
          <w:szCs w:val="22"/>
        </w:rPr>
        <w:t>This table provides a list of the acronyms defined in Table X-2, presented in alphabetical order of the acronym name.</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020" w:firstRow="1" w:lastRow="0" w:firstColumn="0" w:lastColumn="0" w:noHBand="0" w:noVBand="0"/>
      </w:tblPr>
      <w:tblGrid>
        <w:gridCol w:w="2836"/>
        <w:gridCol w:w="1464"/>
        <w:gridCol w:w="4757"/>
      </w:tblGrid>
      <w:tr w:rsidR="00FA6F10" w:rsidRPr="00630129" w14:paraId="5A30D755" w14:textId="77777777">
        <w:trPr>
          <w:tblHeader/>
        </w:trPr>
        <w:tc>
          <w:tcPr>
            <w:tcW w:w="1566" w:type="pct"/>
            <w:tcMar>
              <w:top w:w="68" w:type="dxa"/>
              <w:left w:w="68" w:type="dxa"/>
              <w:bottom w:w="68" w:type="dxa"/>
              <w:right w:w="68" w:type="dxa"/>
            </w:tcMar>
          </w:tcPr>
          <w:p w14:paraId="7F6D13FA" w14:textId="77777777" w:rsidR="00FA6F10" w:rsidRPr="00630129" w:rsidRDefault="00FA6F10">
            <w:pPr>
              <w:pStyle w:val="Footer"/>
              <w:tabs>
                <w:tab w:val="clear" w:pos="4320"/>
                <w:tab w:val="clear" w:pos="8640"/>
                <w:tab w:val="clear" w:pos="8784"/>
              </w:tabs>
              <w:suppressAutoHyphens w:val="0"/>
              <w:jc w:val="left"/>
              <w:rPr>
                <w:b/>
                <w:spacing w:val="0"/>
                <w:sz w:val="22"/>
                <w:szCs w:val="22"/>
              </w:rPr>
            </w:pPr>
            <w:r w:rsidRPr="00630129">
              <w:rPr>
                <w:b/>
                <w:spacing w:val="0"/>
                <w:sz w:val="22"/>
                <w:szCs w:val="22"/>
              </w:rPr>
              <w:t>Acronym</w:t>
            </w:r>
          </w:p>
        </w:tc>
        <w:tc>
          <w:tcPr>
            <w:tcW w:w="808" w:type="pct"/>
            <w:tcMar>
              <w:top w:w="68" w:type="dxa"/>
              <w:left w:w="68" w:type="dxa"/>
              <w:bottom w:w="68" w:type="dxa"/>
              <w:right w:w="68" w:type="dxa"/>
            </w:tcMar>
          </w:tcPr>
          <w:p w14:paraId="16A46239" w14:textId="77777777" w:rsidR="00FA6F10" w:rsidRPr="00630129" w:rsidRDefault="00FA6F10">
            <w:pPr>
              <w:pStyle w:val="Footer"/>
              <w:tabs>
                <w:tab w:val="clear" w:pos="4320"/>
                <w:tab w:val="clear" w:pos="8640"/>
                <w:tab w:val="clear" w:pos="8784"/>
              </w:tabs>
              <w:suppressAutoHyphens w:val="0"/>
              <w:jc w:val="left"/>
              <w:rPr>
                <w:b/>
                <w:spacing w:val="0"/>
                <w:sz w:val="22"/>
                <w:szCs w:val="22"/>
              </w:rPr>
            </w:pPr>
            <w:r w:rsidRPr="00630129">
              <w:rPr>
                <w:b/>
                <w:spacing w:val="0"/>
                <w:sz w:val="22"/>
                <w:szCs w:val="22"/>
              </w:rPr>
              <w:t>Units</w:t>
            </w:r>
          </w:p>
        </w:tc>
        <w:tc>
          <w:tcPr>
            <w:tcW w:w="2626" w:type="pct"/>
            <w:tcMar>
              <w:top w:w="68" w:type="dxa"/>
              <w:left w:w="68" w:type="dxa"/>
              <w:bottom w:w="68" w:type="dxa"/>
              <w:right w:w="68" w:type="dxa"/>
            </w:tcMar>
          </w:tcPr>
          <w:p w14:paraId="3B58D6AF" w14:textId="77777777" w:rsidR="00FA6F10" w:rsidRPr="00630129" w:rsidRDefault="00FA6F10">
            <w:pPr>
              <w:rPr>
                <w:b/>
                <w:sz w:val="22"/>
                <w:szCs w:val="22"/>
              </w:rPr>
            </w:pPr>
            <w:r w:rsidRPr="00630129">
              <w:rPr>
                <w:b/>
                <w:sz w:val="22"/>
                <w:szCs w:val="22"/>
              </w:rPr>
              <w:t>Corresponding Defined Term or Expression</w:t>
            </w:r>
          </w:p>
        </w:tc>
      </w:tr>
      <w:tr w:rsidR="00FA6F10" w:rsidRPr="00630129" w14:paraId="44536263" w14:textId="77777777">
        <w:tc>
          <w:tcPr>
            <w:tcW w:w="1566" w:type="pct"/>
            <w:tcMar>
              <w:top w:w="68" w:type="dxa"/>
              <w:left w:w="68" w:type="dxa"/>
              <w:bottom w:w="68" w:type="dxa"/>
              <w:right w:w="68" w:type="dxa"/>
            </w:tcMar>
          </w:tcPr>
          <w:p w14:paraId="1EC1B6F7" w14:textId="77777777" w:rsidR="00FA6F10" w:rsidRPr="00630129" w:rsidRDefault="00FA6F10">
            <w:pPr>
              <w:rPr>
                <w:sz w:val="22"/>
                <w:szCs w:val="22"/>
              </w:rPr>
            </w:pPr>
            <w:proofErr w:type="spellStart"/>
            <w:r w:rsidRPr="00630129">
              <w:rPr>
                <w:sz w:val="22"/>
                <w:szCs w:val="22"/>
              </w:rPr>
              <w:t>AEI</w:t>
            </w:r>
            <w:r w:rsidRPr="00630129">
              <w:rPr>
                <w:sz w:val="22"/>
                <w:szCs w:val="22"/>
                <w:vertAlign w:val="subscript"/>
              </w:rPr>
              <w:t>p</w:t>
            </w:r>
            <w:proofErr w:type="spellEnd"/>
          </w:p>
        </w:tc>
        <w:tc>
          <w:tcPr>
            <w:tcW w:w="808" w:type="pct"/>
            <w:tcMar>
              <w:top w:w="68" w:type="dxa"/>
              <w:left w:w="68" w:type="dxa"/>
              <w:bottom w:w="68" w:type="dxa"/>
              <w:right w:w="68" w:type="dxa"/>
            </w:tcMar>
          </w:tcPr>
          <w:p w14:paraId="0894E877"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53A6E2B0" w14:textId="77777777" w:rsidR="00FA6F10" w:rsidRPr="00630129" w:rsidRDefault="00FA6F10">
            <w:pPr>
              <w:rPr>
                <w:sz w:val="22"/>
                <w:szCs w:val="22"/>
              </w:rPr>
            </w:pPr>
            <w:r w:rsidRPr="00630129">
              <w:rPr>
                <w:sz w:val="22"/>
                <w:szCs w:val="22"/>
              </w:rPr>
              <w:t>Actual Energy Indebtedness</w:t>
            </w:r>
          </w:p>
        </w:tc>
      </w:tr>
      <w:tr w:rsidR="00FA6F10" w:rsidRPr="00630129" w14:paraId="7FF4D21D" w14:textId="77777777">
        <w:tc>
          <w:tcPr>
            <w:tcW w:w="1566" w:type="pct"/>
            <w:tcMar>
              <w:top w:w="68" w:type="dxa"/>
              <w:left w:w="68" w:type="dxa"/>
              <w:bottom w:w="68" w:type="dxa"/>
              <w:right w:w="68" w:type="dxa"/>
            </w:tcMar>
          </w:tcPr>
          <w:p w14:paraId="4DF251BF" w14:textId="77777777" w:rsidR="00FA6F10" w:rsidRPr="00630129" w:rsidRDefault="00FA6F10">
            <w:pPr>
              <w:rPr>
                <w:sz w:val="22"/>
                <w:szCs w:val="22"/>
              </w:rPr>
            </w:pPr>
            <w:proofErr w:type="spellStart"/>
            <w:r w:rsidRPr="00630129">
              <w:rPr>
                <w:sz w:val="22"/>
                <w:szCs w:val="22"/>
              </w:rPr>
              <w:t>BEDP</w:t>
            </w:r>
            <w:r w:rsidRPr="00630129">
              <w:rPr>
                <w:sz w:val="22"/>
                <w:szCs w:val="22"/>
                <w:vertAlign w:val="subscript"/>
              </w:rPr>
              <w:t>j</w:t>
            </w:r>
            <w:proofErr w:type="spellEnd"/>
          </w:p>
        </w:tc>
        <w:tc>
          <w:tcPr>
            <w:tcW w:w="808" w:type="pct"/>
            <w:tcMar>
              <w:top w:w="68" w:type="dxa"/>
              <w:left w:w="68" w:type="dxa"/>
              <w:bottom w:w="68" w:type="dxa"/>
              <w:right w:w="68" w:type="dxa"/>
            </w:tcMar>
          </w:tcPr>
          <w:p w14:paraId="6436E7CC"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29676E07" w14:textId="77777777" w:rsidR="00FA6F10" w:rsidRPr="00630129" w:rsidRDefault="00FA6F10">
            <w:pPr>
              <w:rPr>
                <w:sz w:val="22"/>
                <w:szCs w:val="22"/>
              </w:rPr>
            </w:pPr>
            <w:r w:rsidRPr="00630129">
              <w:rPr>
                <w:sz w:val="22"/>
                <w:szCs w:val="22"/>
              </w:rPr>
              <w:t>Balancing Energy Deviation Price</w:t>
            </w:r>
          </w:p>
        </w:tc>
      </w:tr>
      <w:tr w:rsidR="00FA6F10" w:rsidRPr="00630129" w14:paraId="6B5DB0EA" w14:textId="77777777">
        <w:tc>
          <w:tcPr>
            <w:tcW w:w="1566" w:type="pct"/>
            <w:tcMar>
              <w:top w:w="68" w:type="dxa"/>
              <w:left w:w="68" w:type="dxa"/>
              <w:bottom w:w="68" w:type="dxa"/>
              <w:right w:w="68" w:type="dxa"/>
            </w:tcMar>
          </w:tcPr>
          <w:p w14:paraId="6E2D9EFD" w14:textId="77777777" w:rsidR="00FA6F10" w:rsidRPr="00630129" w:rsidRDefault="00FA6F10">
            <w:pPr>
              <w:rPr>
                <w:sz w:val="22"/>
                <w:szCs w:val="22"/>
              </w:rPr>
            </w:pPr>
            <w:proofErr w:type="spellStart"/>
            <w:r w:rsidRPr="00630129">
              <w:rPr>
                <w:sz w:val="22"/>
                <w:szCs w:val="22"/>
              </w:rPr>
              <w:t>BMCAEC</w:t>
            </w:r>
            <w:r w:rsidRPr="00630129">
              <w:rPr>
                <w:sz w:val="22"/>
                <w:szCs w:val="22"/>
                <w:vertAlign w:val="subscript"/>
              </w:rPr>
              <w:t>i</w:t>
            </w:r>
            <w:proofErr w:type="spellEnd"/>
          </w:p>
        </w:tc>
        <w:tc>
          <w:tcPr>
            <w:tcW w:w="808" w:type="pct"/>
            <w:tcMar>
              <w:top w:w="68" w:type="dxa"/>
              <w:left w:w="68" w:type="dxa"/>
              <w:bottom w:w="68" w:type="dxa"/>
              <w:right w:w="68" w:type="dxa"/>
            </w:tcMar>
          </w:tcPr>
          <w:p w14:paraId="673944DF"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1B140DAF" w14:textId="77777777" w:rsidR="00FA6F10" w:rsidRPr="00630129" w:rsidRDefault="00FA6F10">
            <w:pPr>
              <w:rPr>
                <w:sz w:val="22"/>
                <w:szCs w:val="22"/>
              </w:rPr>
            </w:pPr>
            <w:r w:rsidRPr="00630129">
              <w:rPr>
                <w:sz w:val="22"/>
                <w:szCs w:val="22"/>
              </w:rPr>
              <w:t xml:space="preserve">BM Unit Credit Assessment Export Capability </w:t>
            </w:r>
          </w:p>
        </w:tc>
      </w:tr>
      <w:tr w:rsidR="00FA6F10" w:rsidRPr="00630129" w14:paraId="251880B5" w14:textId="77777777">
        <w:tc>
          <w:tcPr>
            <w:tcW w:w="1566" w:type="pct"/>
            <w:tcMar>
              <w:top w:w="68" w:type="dxa"/>
              <w:left w:w="68" w:type="dxa"/>
              <w:bottom w:w="68" w:type="dxa"/>
              <w:right w:w="68" w:type="dxa"/>
            </w:tcMar>
          </w:tcPr>
          <w:p w14:paraId="0458DFA5" w14:textId="77777777" w:rsidR="00FA6F10" w:rsidRPr="00630129" w:rsidRDefault="00FA6F10">
            <w:pPr>
              <w:rPr>
                <w:sz w:val="22"/>
                <w:szCs w:val="22"/>
              </w:rPr>
            </w:pPr>
            <w:proofErr w:type="spellStart"/>
            <w:r w:rsidRPr="00630129">
              <w:rPr>
                <w:sz w:val="22"/>
                <w:szCs w:val="22"/>
              </w:rPr>
              <w:t>BMCAIC</w:t>
            </w:r>
            <w:r w:rsidRPr="00630129">
              <w:rPr>
                <w:sz w:val="22"/>
                <w:szCs w:val="22"/>
                <w:vertAlign w:val="subscript"/>
              </w:rPr>
              <w:t>i</w:t>
            </w:r>
            <w:proofErr w:type="spellEnd"/>
          </w:p>
        </w:tc>
        <w:tc>
          <w:tcPr>
            <w:tcW w:w="808" w:type="pct"/>
            <w:tcMar>
              <w:top w:w="68" w:type="dxa"/>
              <w:left w:w="68" w:type="dxa"/>
              <w:bottom w:w="68" w:type="dxa"/>
              <w:right w:w="68" w:type="dxa"/>
            </w:tcMar>
          </w:tcPr>
          <w:p w14:paraId="6088804D"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6FAEEF20" w14:textId="77777777" w:rsidR="00FA6F10" w:rsidRPr="00630129" w:rsidRDefault="00FA6F10">
            <w:pPr>
              <w:rPr>
                <w:sz w:val="22"/>
                <w:szCs w:val="22"/>
              </w:rPr>
            </w:pPr>
            <w:r w:rsidRPr="00630129">
              <w:rPr>
                <w:sz w:val="22"/>
                <w:szCs w:val="22"/>
              </w:rPr>
              <w:t>BM Unit Credit Assessment Import Capability</w:t>
            </w:r>
          </w:p>
        </w:tc>
      </w:tr>
      <w:tr w:rsidR="00FA6F10" w:rsidRPr="00630129" w14:paraId="108F63A5"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380E70C1" w14:textId="77777777" w:rsidR="00FA6F10" w:rsidRPr="00630129" w:rsidRDefault="00FA6F10">
            <w:pPr>
              <w:rPr>
                <w:sz w:val="22"/>
                <w:szCs w:val="22"/>
              </w:rPr>
            </w:pPr>
            <w:proofErr w:type="spellStart"/>
            <w:r w:rsidRPr="00630129">
              <w:rPr>
                <w:sz w:val="22"/>
                <w:szCs w:val="22"/>
              </w:rPr>
              <w:t>BMUADDV</w:t>
            </w:r>
            <w:r w:rsidRPr="00630129">
              <w:rPr>
                <w:sz w:val="22"/>
                <w:szCs w:val="22"/>
                <w:vertAlign w:val="subscript"/>
              </w:rPr>
              <w:t>ij</w:t>
            </w:r>
            <w:proofErr w:type="spellEnd"/>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1D085D27" w14:textId="77777777" w:rsidR="00FA6F10" w:rsidRPr="00630129" w:rsidRDefault="00FA6F10">
            <w:pPr>
              <w:rPr>
                <w:sz w:val="22"/>
                <w:szCs w:val="22"/>
              </w:rPr>
            </w:pPr>
            <w:r w:rsidRPr="00630129">
              <w:rPr>
                <w:sz w:val="22"/>
                <w:szCs w:val="22"/>
              </w:rPr>
              <w:t>MWh</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64EA6E1E" w14:textId="77777777" w:rsidR="00FA6F10" w:rsidRPr="00630129" w:rsidRDefault="00FA6F10">
            <w:pPr>
              <w:rPr>
                <w:sz w:val="22"/>
                <w:szCs w:val="22"/>
              </w:rPr>
            </w:pPr>
            <w:r w:rsidRPr="00630129">
              <w:rPr>
                <w:sz w:val="22"/>
                <w:szCs w:val="22"/>
              </w:rPr>
              <w:t>BM Unit Allocated Demand Disconnection Volume</w:t>
            </w:r>
          </w:p>
        </w:tc>
      </w:tr>
      <w:tr w:rsidR="00FA6F10" w:rsidRPr="00630129" w14:paraId="756C59F2" w14:textId="77777777">
        <w:tc>
          <w:tcPr>
            <w:tcW w:w="1566" w:type="pct"/>
            <w:tcMar>
              <w:top w:w="68" w:type="dxa"/>
              <w:left w:w="68" w:type="dxa"/>
              <w:bottom w:w="68" w:type="dxa"/>
              <w:right w:w="68" w:type="dxa"/>
            </w:tcMar>
          </w:tcPr>
          <w:p w14:paraId="67EE763F" w14:textId="77777777" w:rsidR="00FA6F10" w:rsidRPr="00630129" w:rsidRDefault="00FA6F10">
            <w:pPr>
              <w:jc w:val="both"/>
              <w:rPr>
                <w:sz w:val="22"/>
                <w:szCs w:val="22"/>
              </w:rPr>
            </w:pPr>
            <w:proofErr w:type="spellStart"/>
            <w:r w:rsidRPr="00630129">
              <w:rPr>
                <w:sz w:val="22"/>
                <w:szCs w:val="22"/>
              </w:rPr>
              <w:t>BMUADV</w:t>
            </w:r>
            <w:r w:rsidRPr="00630129">
              <w:rPr>
                <w:sz w:val="22"/>
                <w:szCs w:val="22"/>
                <w:vertAlign w:val="subscript"/>
              </w:rPr>
              <w:t>ij</w:t>
            </w:r>
            <w:proofErr w:type="spellEnd"/>
          </w:p>
        </w:tc>
        <w:tc>
          <w:tcPr>
            <w:tcW w:w="808" w:type="pct"/>
            <w:tcMar>
              <w:top w:w="68" w:type="dxa"/>
              <w:left w:w="68" w:type="dxa"/>
              <w:bottom w:w="68" w:type="dxa"/>
              <w:right w:w="68" w:type="dxa"/>
            </w:tcMar>
          </w:tcPr>
          <w:p w14:paraId="423B4FC3" w14:textId="77777777" w:rsidR="00FA6F10" w:rsidRPr="00630129" w:rsidRDefault="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MWh</w:t>
            </w:r>
          </w:p>
        </w:tc>
        <w:tc>
          <w:tcPr>
            <w:tcW w:w="2626" w:type="pct"/>
            <w:tcMar>
              <w:top w:w="68" w:type="dxa"/>
              <w:left w:w="68" w:type="dxa"/>
              <w:bottom w:w="68" w:type="dxa"/>
              <w:right w:w="68" w:type="dxa"/>
            </w:tcMar>
          </w:tcPr>
          <w:p w14:paraId="786FD5DC" w14:textId="77777777" w:rsidR="00FA6F10" w:rsidRPr="00630129" w:rsidRDefault="00FA6F10">
            <w:pPr>
              <w:rPr>
                <w:sz w:val="22"/>
                <w:szCs w:val="22"/>
              </w:rPr>
            </w:pPr>
            <w:r w:rsidRPr="00630129">
              <w:rPr>
                <w:sz w:val="22"/>
                <w:szCs w:val="22"/>
              </w:rPr>
              <w:t>BM Unit Allocated Demand Volume</w:t>
            </w:r>
          </w:p>
        </w:tc>
      </w:tr>
      <w:tr w:rsidR="00FA6F10" w:rsidRPr="00630129" w14:paraId="076D3D2F" w14:textId="77777777">
        <w:tc>
          <w:tcPr>
            <w:tcW w:w="1566" w:type="pct"/>
            <w:tcMar>
              <w:top w:w="68" w:type="dxa"/>
              <w:left w:w="68" w:type="dxa"/>
              <w:bottom w:w="68" w:type="dxa"/>
              <w:right w:w="68" w:type="dxa"/>
            </w:tcMar>
          </w:tcPr>
          <w:p w14:paraId="58C39106" w14:textId="77777777" w:rsidR="00FA6F10" w:rsidRPr="00630129" w:rsidRDefault="00FA6F10">
            <w:pPr>
              <w:rPr>
                <w:sz w:val="22"/>
                <w:szCs w:val="22"/>
              </w:rPr>
            </w:pPr>
            <w:proofErr w:type="spellStart"/>
            <w:r w:rsidRPr="00630129">
              <w:rPr>
                <w:sz w:val="22"/>
                <w:szCs w:val="22"/>
              </w:rPr>
              <w:t>BOLR</w:t>
            </w:r>
            <w:r w:rsidRPr="00630129">
              <w:rPr>
                <w:sz w:val="22"/>
                <w:szCs w:val="22"/>
                <w:vertAlign w:val="superscript"/>
              </w:rPr>
              <w:t>n</w:t>
            </w:r>
            <w:r w:rsidRPr="00630129">
              <w:rPr>
                <w:sz w:val="22"/>
                <w:szCs w:val="22"/>
                <w:vertAlign w:val="subscript"/>
              </w:rPr>
              <w:t>ij</w:t>
            </w:r>
            <w:proofErr w:type="spellEnd"/>
            <w:r w:rsidRPr="00630129">
              <w:rPr>
                <w:sz w:val="22"/>
                <w:szCs w:val="22"/>
              </w:rPr>
              <w:t>(t)</w:t>
            </w:r>
          </w:p>
        </w:tc>
        <w:tc>
          <w:tcPr>
            <w:tcW w:w="808" w:type="pct"/>
            <w:tcMar>
              <w:top w:w="68" w:type="dxa"/>
              <w:left w:w="68" w:type="dxa"/>
              <w:bottom w:w="68" w:type="dxa"/>
              <w:right w:w="68" w:type="dxa"/>
            </w:tcMar>
          </w:tcPr>
          <w:p w14:paraId="619F739C"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3D231F1C" w14:textId="77777777" w:rsidR="00FA6F10" w:rsidRPr="00630129" w:rsidRDefault="00FA6F10">
            <w:pPr>
              <w:rPr>
                <w:sz w:val="22"/>
                <w:szCs w:val="22"/>
              </w:rPr>
            </w:pPr>
            <w:r w:rsidRPr="00630129">
              <w:rPr>
                <w:sz w:val="22"/>
                <w:szCs w:val="22"/>
              </w:rPr>
              <w:t>Bid-Offer Lower Range</w:t>
            </w:r>
          </w:p>
        </w:tc>
      </w:tr>
      <w:tr w:rsidR="00FA6F10" w:rsidRPr="00630129" w14:paraId="2BB3CB54" w14:textId="77777777">
        <w:tc>
          <w:tcPr>
            <w:tcW w:w="1566" w:type="pct"/>
            <w:tcMar>
              <w:top w:w="68" w:type="dxa"/>
              <w:left w:w="68" w:type="dxa"/>
              <w:bottom w:w="68" w:type="dxa"/>
              <w:right w:w="68" w:type="dxa"/>
            </w:tcMar>
          </w:tcPr>
          <w:p w14:paraId="04D0D68C" w14:textId="77777777" w:rsidR="00FA6F10" w:rsidRPr="00630129" w:rsidRDefault="00FA6F10">
            <w:pPr>
              <w:rPr>
                <w:sz w:val="22"/>
                <w:szCs w:val="22"/>
              </w:rPr>
            </w:pPr>
            <w:proofErr w:type="spellStart"/>
            <w:r w:rsidRPr="00630129">
              <w:rPr>
                <w:sz w:val="22"/>
                <w:szCs w:val="22"/>
              </w:rPr>
              <w:t>BOUR</w:t>
            </w:r>
            <w:r w:rsidRPr="00630129">
              <w:rPr>
                <w:sz w:val="22"/>
                <w:szCs w:val="22"/>
                <w:vertAlign w:val="superscript"/>
              </w:rPr>
              <w:t>n</w:t>
            </w:r>
            <w:r w:rsidRPr="00630129">
              <w:rPr>
                <w:sz w:val="22"/>
                <w:szCs w:val="22"/>
                <w:vertAlign w:val="subscript"/>
              </w:rPr>
              <w:t>ij</w:t>
            </w:r>
            <w:proofErr w:type="spellEnd"/>
            <w:r w:rsidRPr="00630129">
              <w:rPr>
                <w:sz w:val="22"/>
                <w:szCs w:val="22"/>
              </w:rPr>
              <w:t>(t)</w:t>
            </w:r>
          </w:p>
        </w:tc>
        <w:tc>
          <w:tcPr>
            <w:tcW w:w="808" w:type="pct"/>
            <w:tcMar>
              <w:top w:w="68" w:type="dxa"/>
              <w:left w:w="68" w:type="dxa"/>
              <w:bottom w:w="68" w:type="dxa"/>
              <w:right w:w="68" w:type="dxa"/>
            </w:tcMar>
          </w:tcPr>
          <w:p w14:paraId="5AC35B40"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13908E67" w14:textId="77777777" w:rsidR="00FA6F10" w:rsidRPr="00630129" w:rsidRDefault="00FA6F10">
            <w:pPr>
              <w:rPr>
                <w:sz w:val="22"/>
                <w:szCs w:val="22"/>
              </w:rPr>
            </w:pPr>
            <w:r w:rsidRPr="00630129">
              <w:rPr>
                <w:sz w:val="22"/>
                <w:szCs w:val="22"/>
              </w:rPr>
              <w:t>Bid-Offer Upper Range</w:t>
            </w:r>
          </w:p>
        </w:tc>
      </w:tr>
      <w:tr w:rsidR="00FA6F10" w:rsidRPr="00630129" w14:paraId="0321596F" w14:textId="77777777">
        <w:tc>
          <w:tcPr>
            <w:tcW w:w="1566" w:type="pct"/>
            <w:tcMar>
              <w:top w:w="68" w:type="dxa"/>
              <w:left w:w="68" w:type="dxa"/>
              <w:bottom w:w="68" w:type="dxa"/>
              <w:right w:w="68" w:type="dxa"/>
            </w:tcMar>
          </w:tcPr>
          <w:p w14:paraId="2B8C1B0D" w14:textId="77777777" w:rsidR="00FA6F10" w:rsidRPr="00630129" w:rsidRDefault="00FA6F10">
            <w:pPr>
              <w:rPr>
                <w:sz w:val="22"/>
                <w:szCs w:val="22"/>
              </w:rPr>
            </w:pPr>
            <w:proofErr w:type="spellStart"/>
            <w:r w:rsidRPr="00630129">
              <w:rPr>
                <w:sz w:val="22"/>
                <w:szCs w:val="22"/>
              </w:rPr>
              <w:t>BPA</w:t>
            </w:r>
            <w:r w:rsidRPr="00630129">
              <w:rPr>
                <w:sz w:val="22"/>
                <w:szCs w:val="22"/>
                <w:vertAlign w:val="subscript"/>
              </w:rPr>
              <w:t>j</w:t>
            </w:r>
            <w:proofErr w:type="spellEnd"/>
          </w:p>
        </w:tc>
        <w:tc>
          <w:tcPr>
            <w:tcW w:w="808" w:type="pct"/>
            <w:tcMar>
              <w:top w:w="68" w:type="dxa"/>
              <w:left w:w="68" w:type="dxa"/>
              <w:bottom w:w="68" w:type="dxa"/>
              <w:right w:w="68" w:type="dxa"/>
            </w:tcMar>
          </w:tcPr>
          <w:p w14:paraId="38F68AC7"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6536D1F4" w14:textId="77777777" w:rsidR="00FA6F10" w:rsidRPr="00630129" w:rsidRDefault="00FA6F10">
            <w:pPr>
              <w:rPr>
                <w:sz w:val="22"/>
                <w:szCs w:val="22"/>
              </w:rPr>
            </w:pPr>
            <w:r w:rsidRPr="00630129">
              <w:rPr>
                <w:sz w:val="22"/>
                <w:szCs w:val="22"/>
              </w:rPr>
              <w:t xml:space="preserve">Buy Price </w:t>
            </w:r>
            <w:proofErr w:type="spellStart"/>
            <w:r w:rsidRPr="00630129">
              <w:rPr>
                <w:sz w:val="22"/>
                <w:szCs w:val="22"/>
              </w:rPr>
              <w:t>Price</w:t>
            </w:r>
            <w:proofErr w:type="spellEnd"/>
            <w:r w:rsidRPr="00630129">
              <w:rPr>
                <w:sz w:val="22"/>
                <w:szCs w:val="22"/>
              </w:rPr>
              <w:t xml:space="preserve"> Adjustment</w:t>
            </w:r>
          </w:p>
        </w:tc>
      </w:tr>
      <w:tr w:rsidR="00FA6F10" w:rsidRPr="00630129" w14:paraId="7D678F01" w14:textId="77777777">
        <w:tc>
          <w:tcPr>
            <w:tcW w:w="1566" w:type="pct"/>
            <w:tcMar>
              <w:top w:w="68" w:type="dxa"/>
              <w:left w:w="68" w:type="dxa"/>
              <w:bottom w:w="68" w:type="dxa"/>
              <w:right w:w="68" w:type="dxa"/>
            </w:tcMar>
          </w:tcPr>
          <w:p w14:paraId="317097FF" w14:textId="77777777" w:rsidR="00FA6F10" w:rsidRPr="00630129" w:rsidRDefault="00FA6F10">
            <w:pPr>
              <w:rPr>
                <w:sz w:val="22"/>
                <w:szCs w:val="22"/>
              </w:rPr>
            </w:pPr>
            <w:proofErr w:type="spellStart"/>
            <w:r w:rsidRPr="00630129">
              <w:rPr>
                <w:sz w:val="22"/>
                <w:szCs w:val="22"/>
              </w:rPr>
              <w:t>BSAP</w:t>
            </w:r>
            <w:r w:rsidRPr="00630129">
              <w:rPr>
                <w:sz w:val="22"/>
                <w:szCs w:val="22"/>
                <w:vertAlign w:val="superscript"/>
              </w:rPr>
              <w:t>m</w:t>
            </w:r>
            <w:r w:rsidRPr="00630129">
              <w:rPr>
                <w:sz w:val="22"/>
                <w:szCs w:val="22"/>
                <w:vertAlign w:val="subscript"/>
              </w:rPr>
              <w:t>j</w:t>
            </w:r>
            <w:proofErr w:type="spellEnd"/>
          </w:p>
        </w:tc>
        <w:tc>
          <w:tcPr>
            <w:tcW w:w="808" w:type="pct"/>
            <w:tcMar>
              <w:top w:w="68" w:type="dxa"/>
              <w:left w:w="68" w:type="dxa"/>
              <w:bottom w:w="68" w:type="dxa"/>
              <w:right w:w="68" w:type="dxa"/>
            </w:tcMar>
          </w:tcPr>
          <w:p w14:paraId="4783CC9C" w14:textId="77777777" w:rsidR="00FA6F10" w:rsidRPr="00630129" w:rsidRDefault="00FA6F10">
            <w:pPr>
              <w:pStyle w:val="Text"/>
              <w:spacing w:after="0"/>
              <w:jc w:val="both"/>
              <w:rPr>
                <w:szCs w:val="22"/>
              </w:rPr>
            </w:pPr>
            <w:r w:rsidRPr="00630129">
              <w:rPr>
                <w:szCs w:val="22"/>
              </w:rPr>
              <w:t>£/MWh</w:t>
            </w:r>
          </w:p>
        </w:tc>
        <w:tc>
          <w:tcPr>
            <w:tcW w:w="2626" w:type="pct"/>
            <w:tcMar>
              <w:top w:w="68" w:type="dxa"/>
              <w:left w:w="68" w:type="dxa"/>
              <w:bottom w:w="68" w:type="dxa"/>
              <w:right w:w="68" w:type="dxa"/>
            </w:tcMar>
          </w:tcPr>
          <w:p w14:paraId="264D4547" w14:textId="77777777" w:rsidR="00FA6F10" w:rsidRPr="00630129" w:rsidRDefault="00FA6F10">
            <w:pPr>
              <w:rPr>
                <w:sz w:val="22"/>
                <w:szCs w:val="22"/>
              </w:rPr>
            </w:pPr>
            <w:r w:rsidRPr="00630129">
              <w:rPr>
                <w:sz w:val="22"/>
                <w:szCs w:val="22"/>
              </w:rPr>
              <w:t>Balancing Services Adjustment Price</w:t>
            </w:r>
          </w:p>
        </w:tc>
      </w:tr>
      <w:tr w:rsidR="00FA6F10" w:rsidRPr="00630129" w14:paraId="10ED8DD8" w14:textId="77777777">
        <w:tc>
          <w:tcPr>
            <w:tcW w:w="1566" w:type="pct"/>
            <w:tcMar>
              <w:top w:w="68" w:type="dxa"/>
              <w:left w:w="68" w:type="dxa"/>
              <w:bottom w:w="68" w:type="dxa"/>
              <w:right w:w="68" w:type="dxa"/>
            </w:tcMar>
          </w:tcPr>
          <w:p w14:paraId="08E60DE1" w14:textId="77777777" w:rsidR="00FA6F10" w:rsidRPr="00630129" w:rsidRDefault="00FA6F10">
            <w:pPr>
              <w:rPr>
                <w:sz w:val="22"/>
                <w:szCs w:val="22"/>
              </w:rPr>
            </w:pPr>
            <w:proofErr w:type="spellStart"/>
            <w:r w:rsidRPr="00630129">
              <w:rPr>
                <w:sz w:val="22"/>
                <w:szCs w:val="22"/>
              </w:rPr>
              <w:t>CAD</w:t>
            </w:r>
            <w:r w:rsidRPr="00630129">
              <w:rPr>
                <w:sz w:val="22"/>
                <w:szCs w:val="22"/>
                <w:vertAlign w:val="superscript"/>
              </w:rPr>
              <w:t>k</w:t>
            </w:r>
            <w:r w:rsidRPr="00630129">
              <w:rPr>
                <w:sz w:val="22"/>
                <w:szCs w:val="22"/>
                <w:vertAlign w:val="subscript"/>
              </w:rPr>
              <w:t>i</w:t>
            </w:r>
            <w:proofErr w:type="spellEnd"/>
          </w:p>
        </w:tc>
        <w:tc>
          <w:tcPr>
            <w:tcW w:w="808" w:type="pct"/>
            <w:tcMar>
              <w:top w:w="68" w:type="dxa"/>
              <w:left w:w="68" w:type="dxa"/>
              <w:bottom w:w="68" w:type="dxa"/>
              <w:right w:w="68" w:type="dxa"/>
            </w:tcMar>
          </w:tcPr>
          <w:p w14:paraId="7CAF3598" w14:textId="77777777" w:rsidR="00FA6F10" w:rsidRPr="00630129" w:rsidRDefault="00FA6F10">
            <w:pPr>
              <w:pStyle w:val="Text"/>
              <w:spacing w:after="0"/>
              <w:jc w:val="both"/>
              <w:rPr>
                <w:szCs w:val="22"/>
              </w:rPr>
            </w:pPr>
            <w:r w:rsidRPr="00630129">
              <w:rPr>
                <w:szCs w:val="22"/>
              </w:rPr>
              <w:t>Minutes</w:t>
            </w:r>
          </w:p>
        </w:tc>
        <w:tc>
          <w:tcPr>
            <w:tcW w:w="2626" w:type="pct"/>
            <w:tcMar>
              <w:top w:w="68" w:type="dxa"/>
              <w:left w:w="68" w:type="dxa"/>
              <w:bottom w:w="68" w:type="dxa"/>
              <w:right w:w="68" w:type="dxa"/>
            </w:tcMar>
          </w:tcPr>
          <w:p w14:paraId="68A805A6" w14:textId="77777777" w:rsidR="00FA6F10" w:rsidRPr="00630129" w:rsidRDefault="00FA6F10">
            <w:pPr>
              <w:rPr>
                <w:sz w:val="22"/>
                <w:szCs w:val="22"/>
              </w:rPr>
            </w:pPr>
            <w:r w:rsidRPr="00630129">
              <w:rPr>
                <w:sz w:val="22"/>
                <w:szCs w:val="22"/>
              </w:rPr>
              <w:t>Continuous Acceptance Duration</w:t>
            </w:r>
          </w:p>
        </w:tc>
      </w:tr>
      <w:tr w:rsidR="00FA6F10" w:rsidRPr="00630129" w14:paraId="62FD1430" w14:textId="77777777">
        <w:tc>
          <w:tcPr>
            <w:tcW w:w="1566" w:type="pct"/>
            <w:tcMar>
              <w:top w:w="68" w:type="dxa"/>
              <w:left w:w="68" w:type="dxa"/>
              <w:bottom w:w="68" w:type="dxa"/>
              <w:right w:w="68" w:type="dxa"/>
            </w:tcMar>
          </w:tcPr>
          <w:p w14:paraId="04675776" w14:textId="77777777" w:rsidR="00FA6F10" w:rsidRPr="00630129" w:rsidRDefault="00FA6F10">
            <w:pPr>
              <w:rPr>
                <w:sz w:val="22"/>
                <w:szCs w:val="22"/>
              </w:rPr>
            </w:pPr>
            <w:r w:rsidRPr="00630129">
              <w:rPr>
                <w:sz w:val="22"/>
                <w:szCs w:val="22"/>
              </w:rPr>
              <w:t>CADL</w:t>
            </w:r>
          </w:p>
        </w:tc>
        <w:tc>
          <w:tcPr>
            <w:tcW w:w="808" w:type="pct"/>
            <w:tcMar>
              <w:top w:w="68" w:type="dxa"/>
              <w:left w:w="68" w:type="dxa"/>
              <w:bottom w:w="68" w:type="dxa"/>
              <w:right w:w="68" w:type="dxa"/>
            </w:tcMar>
          </w:tcPr>
          <w:p w14:paraId="0B9301FE" w14:textId="77777777" w:rsidR="00FA6F10" w:rsidRPr="00630129" w:rsidRDefault="00FA6F10">
            <w:pPr>
              <w:rPr>
                <w:sz w:val="22"/>
                <w:szCs w:val="22"/>
              </w:rPr>
            </w:pPr>
            <w:r w:rsidRPr="00630129">
              <w:rPr>
                <w:sz w:val="22"/>
                <w:szCs w:val="22"/>
              </w:rPr>
              <w:t>Minutes</w:t>
            </w:r>
          </w:p>
        </w:tc>
        <w:tc>
          <w:tcPr>
            <w:tcW w:w="2626" w:type="pct"/>
            <w:tcMar>
              <w:top w:w="68" w:type="dxa"/>
              <w:left w:w="68" w:type="dxa"/>
              <w:bottom w:w="68" w:type="dxa"/>
              <w:right w:w="68" w:type="dxa"/>
            </w:tcMar>
          </w:tcPr>
          <w:p w14:paraId="21C022A0" w14:textId="77777777" w:rsidR="00FA6F10" w:rsidRPr="00630129" w:rsidRDefault="00FA6F10">
            <w:pPr>
              <w:rPr>
                <w:sz w:val="22"/>
                <w:szCs w:val="22"/>
              </w:rPr>
            </w:pPr>
            <w:r w:rsidRPr="00630129">
              <w:rPr>
                <w:sz w:val="22"/>
                <w:szCs w:val="22"/>
              </w:rPr>
              <w:t>Continuous Acceptance Duration Limit</w:t>
            </w:r>
          </w:p>
        </w:tc>
      </w:tr>
      <w:tr w:rsidR="00FA6F10" w:rsidRPr="00630129" w14:paraId="48C3CF6A" w14:textId="77777777">
        <w:tc>
          <w:tcPr>
            <w:tcW w:w="1566" w:type="pct"/>
            <w:tcMar>
              <w:top w:w="68" w:type="dxa"/>
              <w:left w:w="68" w:type="dxa"/>
              <w:bottom w:w="68" w:type="dxa"/>
              <w:right w:w="68" w:type="dxa"/>
            </w:tcMar>
          </w:tcPr>
          <w:p w14:paraId="21FC5AE4" w14:textId="77777777" w:rsidR="00FA6F10" w:rsidRPr="00630129" w:rsidRDefault="00FA6F10">
            <w:pPr>
              <w:rPr>
                <w:sz w:val="22"/>
                <w:szCs w:val="22"/>
              </w:rPr>
            </w:pPr>
            <w:proofErr w:type="spellStart"/>
            <w:r w:rsidRPr="00630129">
              <w:rPr>
                <w:sz w:val="22"/>
                <w:szCs w:val="22"/>
              </w:rPr>
              <w:t>CAEI</w:t>
            </w:r>
            <w:r w:rsidRPr="00630129">
              <w:rPr>
                <w:sz w:val="22"/>
                <w:szCs w:val="22"/>
                <w:vertAlign w:val="subscript"/>
              </w:rPr>
              <w:t>aj</w:t>
            </w:r>
            <w:proofErr w:type="spellEnd"/>
          </w:p>
        </w:tc>
        <w:tc>
          <w:tcPr>
            <w:tcW w:w="808" w:type="pct"/>
            <w:tcMar>
              <w:top w:w="68" w:type="dxa"/>
              <w:left w:w="68" w:type="dxa"/>
              <w:bottom w:w="68" w:type="dxa"/>
              <w:right w:w="68" w:type="dxa"/>
            </w:tcMar>
          </w:tcPr>
          <w:p w14:paraId="6937B46B"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191153AD" w14:textId="77777777" w:rsidR="00FA6F10" w:rsidRPr="00630129" w:rsidRDefault="00FA6F10">
            <w:pPr>
              <w:rPr>
                <w:sz w:val="22"/>
                <w:szCs w:val="22"/>
              </w:rPr>
            </w:pPr>
            <w:r w:rsidRPr="00630129">
              <w:rPr>
                <w:sz w:val="22"/>
                <w:szCs w:val="22"/>
              </w:rPr>
              <w:t xml:space="preserve">Account Energy Imbalance </w:t>
            </w:r>
            <w:proofErr w:type="spellStart"/>
            <w:r w:rsidRPr="00630129">
              <w:rPr>
                <w:sz w:val="22"/>
                <w:szCs w:val="22"/>
              </w:rPr>
              <w:t>Cashflow</w:t>
            </w:r>
            <w:proofErr w:type="spellEnd"/>
            <w:r w:rsidRPr="00630129">
              <w:rPr>
                <w:sz w:val="22"/>
                <w:szCs w:val="22"/>
              </w:rPr>
              <w:t xml:space="preserve"> </w:t>
            </w:r>
          </w:p>
        </w:tc>
      </w:tr>
      <w:tr w:rsidR="00FA6F10" w:rsidRPr="00630129" w14:paraId="75174A4F" w14:textId="77777777">
        <w:tc>
          <w:tcPr>
            <w:tcW w:w="1566" w:type="pct"/>
            <w:tcMar>
              <w:top w:w="68" w:type="dxa"/>
              <w:left w:w="68" w:type="dxa"/>
              <w:bottom w:w="68" w:type="dxa"/>
              <w:right w:w="68" w:type="dxa"/>
            </w:tcMar>
          </w:tcPr>
          <w:p w14:paraId="1AF8FEDC" w14:textId="77777777" w:rsidR="00FA6F10" w:rsidRPr="00630129" w:rsidRDefault="00FA6F10">
            <w:pPr>
              <w:rPr>
                <w:sz w:val="22"/>
                <w:szCs w:val="22"/>
              </w:rPr>
            </w:pPr>
            <w:proofErr w:type="spellStart"/>
            <w:r w:rsidRPr="00630129">
              <w:rPr>
                <w:sz w:val="22"/>
                <w:szCs w:val="22"/>
              </w:rPr>
              <w:t>CAEI</w:t>
            </w:r>
            <w:r w:rsidRPr="00630129">
              <w:rPr>
                <w:sz w:val="22"/>
                <w:szCs w:val="22"/>
                <w:vertAlign w:val="subscript"/>
              </w:rPr>
              <w:t>p</w:t>
            </w:r>
            <w:proofErr w:type="spellEnd"/>
          </w:p>
        </w:tc>
        <w:tc>
          <w:tcPr>
            <w:tcW w:w="808" w:type="pct"/>
            <w:tcMar>
              <w:top w:w="68" w:type="dxa"/>
              <w:left w:w="68" w:type="dxa"/>
              <w:bottom w:w="68" w:type="dxa"/>
              <w:right w:w="68" w:type="dxa"/>
            </w:tcMar>
          </w:tcPr>
          <w:p w14:paraId="5D56003B"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4753CE1F" w14:textId="77777777" w:rsidR="00FA6F10" w:rsidRPr="00630129" w:rsidRDefault="00FA6F10">
            <w:pPr>
              <w:rPr>
                <w:sz w:val="22"/>
                <w:szCs w:val="22"/>
              </w:rPr>
            </w:pPr>
            <w:r w:rsidRPr="00630129">
              <w:rPr>
                <w:sz w:val="22"/>
                <w:szCs w:val="22"/>
              </w:rPr>
              <w:t xml:space="preserve">Daily Party Energy Imbalance </w:t>
            </w:r>
            <w:proofErr w:type="spellStart"/>
            <w:r w:rsidRPr="00630129">
              <w:rPr>
                <w:sz w:val="22"/>
                <w:szCs w:val="22"/>
              </w:rPr>
              <w:t>Cashflow</w:t>
            </w:r>
            <w:proofErr w:type="spellEnd"/>
          </w:p>
        </w:tc>
      </w:tr>
      <w:tr w:rsidR="00FA6F10" w:rsidRPr="00630129" w14:paraId="5DF1EDB8" w14:textId="77777777">
        <w:tc>
          <w:tcPr>
            <w:tcW w:w="1566" w:type="pct"/>
            <w:tcMar>
              <w:top w:w="68" w:type="dxa"/>
              <w:left w:w="68" w:type="dxa"/>
              <w:bottom w:w="68" w:type="dxa"/>
              <w:right w:w="68" w:type="dxa"/>
            </w:tcMar>
          </w:tcPr>
          <w:p w14:paraId="198AAABE" w14:textId="77777777" w:rsidR="00FA6F10" w:rsidRPr="00630129" w:rsidRDefault="00FA6F10">
            <w:pPr>
              <w:rPr>
                <w:sz w:val="22"/>
                <w:szCs w:val="22"/>
              </w:rPr>
            </w:pPr>
            <w:proofErr w:type="spellStart"/>
            <w:r w:rsidRPr="00630129">
              <w:rPr>
                <w:sz w:val="22"/>
                <w:szCs w:val="22"/>
              </w:rPr>
              <w:t>CALF</w:t>
            </w:r>
            <w:r w:rsidRPr="00630129">
              <w:rPr>
                <w:sz w:val="22"/>
                <w:szCs w:val="22"/>
                <w:vertAlign w:val="subscript"/>
              </w:rPr>
              <w:t>i</w:t>
            </w:r>
            <w:proofErr w:type="spellEnd"/>
          </w:p>
        </w:tc>
        <w:tc>
          <w:tcPr>
            <w:tcW w:w="808" w:type="pct"/>
            <w:tcMar>
              <w:top w:w="68" w:type="dxa"/>
              <w:left w:w="68" w:type="dxa"/>
              <w:bottom w:w="68" w:type="dxa"/>
              <w:right w:w="68" w:type="dxa"/>
            </w:tcMar>
          </w:tcPr>
          <w:p w14:paraId="77C5002E" w14:textId="77777777" w:rsidR="00FA6F10" w:rsidRPr="00630129" w:rsidRDefault="00FA6F10">
            <w:pPr>
              <w:rPr>
                <w:sz w:val="22"/>
                <w:szCs w:val="22"/>
              </w:rPr>
            </w:pPr>
          </w:p>
        </w:tc>
        <w:tc>
          <w:tcPr>
            <w:tcW w:w="2626" w:type="pct"/>
            <w:tcMar>
              <w:top w:w="68" w:type="dxa"/>
              <w:left w:w="68" w:type="dxa"/>
              <w:bottom w:w="68" w:type="dxa"/>
              <w:right w:w="68" w:type="dxa"/>
            </w:tcMar>
          </w:tcPr>
          <w:p w14:paraId="5BA4D7A6" w14:textId="77777777" w:rsidR="00FA6F10" w:rsidRPr="00630129" w:rsidRDefault="00FA6F10">
            <w:pPr>
              <w:rPr>
                <w:sz w:val="22"/>
                <w:szCs w:val="22"/>
              </w:rPr>
            </w:pPr>
            <w:r w:rsidRPr="00630129">
              <w:rPr>
                <w:sz w:val="22"/>
                <w:szCs w:val="22"/>
              </w:rPr>
              <w:t xml:space="preserve">Credit Assessment Load Factor </w:t>
            </w:r>
          </w:p>
        </w:tc>
      </w:tr>
      <w:tr w:rsidR="00FA6F10" w:rsidRPr="00630129" w14:paraId="4CB925EF" w14:textId="77777777">
        <w:tc>
          <w:tcPr>
            <w:tcW w:w="1566" w:type="pct"/>
            <w:tcMar>
              <w:top w:w="68" w:type="dxa"/>
              <w:left w:w="68" w:type="dxa"/>
              <w:bottom w:w="68" w:type="dxa"/>
              <w:right w:w="68" w:type="dxa"/>
            </w:tcMar>
          </w:tcPr>
          <w:p w14:paraId="253993B2" w14:textId="77777777" w:rsidR="00FA6F10" w:rsidRPr="00630129" w:rsidRDefault="00FA6F10">
            <w:pPr>
              <w:rPr>
                <w:sz w:val="22"/>
                <w:szCs w:val="22"/>
              </w:rPr>
            </w:pPr>
            <w:r w:rsidRPr="00630129">
              <w:rPr>
                <w:sz w:val="22"/>
                <w:szCs w:val="22"/>
              </w:rPr>
              <w:t>CAP</w:t>
            </w:r>
          </w:p>
        </w:tc>
        <w:tc>
          <w:tcPr>
            <w:tcW w:w="808" w:type="pct"/>
            <w:tcMar>
              <w:top w:w="68" w:type="dxa"/>
              <w:left w:w="68" w:type="dxa"/>
              <w:bottom w:w="68" w:type="dxa"/>
              <w:right w:w="68" w:type="dxa"/>
            </w:tcMar>
          </w:tcPr>
          <w:p w14:paraId="2CE3E410"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3DB10FD5" w14:textId="77777777" w:rsidR="00FA6F10" w:rsidRPr="00630129" w:rsidRDefault="00FA6F10">
            <w:pPr>
              <w:rPr>
                <w:sz w:val="22"/>
                <w:szCs w:val="22"/>
              </w:rPr>
            </w:pPr>
            <w:r w:rsidRPr="00630129">
              <w:rPr>
                <w:sz w:val="22"/>
                <w:szCs w:val="22"/>
              </w:rPr>
              <w:t>Credit Assessment Price</w:t>
            </w:r>
          </w:p>
        </w:tc>
      </w:tr>
      <w:tr w:rsidR="00FA6F10" w:rsidRPr="00630129" w14:paraId="5ADF5640" w14:textId="77777777">
        <w:tc>
          <w:tcPr>
            <w:tcW w:w="1566" w:type="pct"/>
            <w:tcMar>
              <w:top w:w="68" w:type="dxa"/>
              <w:left w:w="68" w:type="dxa"/>
              <w:bottom w:w="68" w:type="dxa"/>
              <w:right w:w="68" w:type="dxa"/>
            </w:tcMar>
          </w:tcPr>
          <w:p w14:paraId="75F12D91" w14:textId="77777777" w:rsidR="00FA6F10" w:rsidRPr="00630129" w:rsidRDefault="00FA6F10">
            <w:pPr>
              <w:rPr>
                <w:sz w:val="22"/>
                <w:szCs w:val="22"/>
                <w:vertAlign w:val="subscript"/>
              </w:rPr>
            </w:pPr>
            <w:proofErr w:type="spellStart"/>
            <w:r w:rsidRPr="00630129">
              <w:rPr>
                <w:sz w:val="22"/>
                <w:szCs w:val="22"/>
              </w:rPr>
              <w:t>CAQCE</w:t>
            </w:r>
            <w:r w:rsidRPr="00630129">
              <w:rPr>
                <w:sz w:val="22"/>
                <w:szCs w:val="22"/>
                <w:vertAlign w:val="subscript"/>
              </w:rPr>
              <w:t>iaj</w:t>
            </w:r>
            <w:proofErr w:type="spellEnd"/>
          </w:p>
        </w:tc>
        <w:tc>
          <w:tcPr>
            <w:tcW w:w="808" w:type="pct"/>
            <w:tcMar>
              <w:top w:w="68" w:type="dxa"/>
              <w:left w:w="68" w:type="dxa"/>
              <w:bottom w:w="68" w:type="dxa"/>
              <w:right w:w="68" w:type="dxa"/>
            </w:tcMar>
          </w:tcPr>
          <w:p w14:paraId="406E1B85"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5B22A34B" w14:textId="77777777" w:rsidR="00FA6F10" w:rsidRPr="00630129" w:rsidRDefault="00FA6F10">
            <w:pPr>
              <w:rPr>
                <w:sz w:val="22"/>
                <w:szCs w:val="22"/>
              </w:rPr>
            </w:pPr>
            <w:r w:rsidRPr="00630129">
              <w:rPr>
                <w:sz w:val="22"/>
                <w:szCs w:val="22"/>
              </w:rPr>
              <w:t>Credit Assessment Credited Energy Volume</w:t>
            </w:r>
          </w:p>
        </w:tc>
      </w:tr>
      <w:tr w:rsidR="00FA6F10" w:rsidRPr="00630129" w14:paraId="59499BE1" w14:textId="77777777">
        <w:tc>
          <w:tcPr>
            <w:tcW w:w="1566" w:type="pct"/>
            <w:tcMar>
              <w:top w:w="68" w:type="dxa"/>
              <w:left w:w="68" w:type="dxa"/>
              <w:bottom w:w="68" w:type="dxa"/>
              <w:right w:w="68" w:type="dxa"/>
            </w:tcMar>
          </w:tcPr>
          <w:p w14:paraId="44FCC591" w14:textId="77777777" w:rsidR="00FA6F10" w:rsidRPr="00630129" w:rsidRDefault="00FA6F10">
            <w:pPr>
              <w:rPr>
                <w:sz w:val="22"/>
                <w:szCs w:val="22"/>
              </w:rPr>
            </w:pPr>
            <w:proofErr w:type="spellStart"/>
            <w:r w:rsidRPr="00630129">
              <w:rPr>
                <w:sz w:val="22"/>
                <w:szCs w:val="22"/>
              </w:rPr>
              <w:t>CBM</w:t>
            </w:r>
            <w:r w:rsidRPr="00630129">
              <w:rPr>
                <w:sz w:val="22"/>
                <w:szCs w:val="22"/>
                <w:vertAlign w:val="subscript"/>
              </w:rPr>
              <w:t>ij</w:t>
            </w:r>
            <w:proofErr w:type="spellEnd"/>
          </w:p>
        </w:tc>
        <w:tc>
          <w:tcPr>
            <w:tcW w:w="808" w:type="pct"/>
            <w:tcMar>
              <w:top w:w="68" w:type="dxa"/>
              <w:left w:w="68" w:type="dxa"/>
              <w:bottom w:w="68" w:type="dxa"/>
              <w:right w:w="68" w:type="dxa"/>
            </w:tcMar>
          </w:tcPr>
          <w:p w14:paraId="3034303B"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5D2B1821" w14:textId="77777777" w:rsidR="00FA6F10" w:rsidRPr="00630129" w:rsidRDefault="00FA6F10">
            <w:pPr>
              <w:rPr>
                <w:sz w:val="22"/>
                <w:szCs w:val="22"/>
              </w:rPr>
            </w:pPr>
            <w:r w:rsidRPr="00630129">
              <w:rPr>
                <w:sz w:val="22"/>
                <w:szCs w:val="22"/>
              </w:rPr>
              <w:t xml:space="preserve">Period BM Unit </w:t>
            </w:r>
            <w:proofErr w:type="spellStart"/>
            <w:r w:rsidRPr="00630129">
              <w:rPr>
                <w:sz w:val="22"/>
                <w:szCs w:val="22"/>
              </w:rPr>
              <w:t>Cashflow</w:t>
            </w:r>
            <w:proofErr w:type="spellEnd"/>
          </w:p>
        </w:tc>
      </w:tr>
      <w:tr w:rsidR="00FA6F10" w:rsidRPr="00630129" w14:paraId="2D97080B" w14:textId="77777777">
        <w:tc>
          <w:tcPr>
            <w:tcW w:w="1566" w:type="pct"/>
            <w:tcMar>
              <w:top w:w="68" w:type="dxa"/>
              <w:left w:w="68" w:type="dxa"/>
              <w:bottom w:w="68" w:type="dxa"/>
              <w:right w:w="68" w:type="dxa"/>
            </w:tcMar>
          </w:tcPr>
          <w:p w14:paraId="77EDE42C" w14:textId="77777777" w:rsidR="00FA6F10" w:rsidRPr="00630129" w:rsidRDefault="00FA6F10">
            <w:pPr>
              <w:rPr>
                <w:sz w:val="22"/>
                <w:szCs w:val="22"/>
              </w:rPr>
            </w:pPr>
            <w:proofErr w:type="spellStart"/>
            <w:r w:rsidRPr="00630129">
              <w:rPr>
                <w:sz w:val="22"/>
                <w:szCs w:val="22"/>
              </w:rPr>
              <w:t>CBM</w:t>
            </w:r>
            <w:r w:rsidRPr="00630129">
              <w:rPr>
                <w:sz w:val="22"/>
                <w:szCs w:val="22"/>
                <w:vertAlign w:val="subscript"/>
              </w:rPr>
              <w:t>p</w:t>
            </w:r>
            <w:proofErr w:type="spellEnd"/>
          </w:p>
        </w:tc>
        <w:tc>
          <w:tcPr>
            <w:tcW w:w="808" w:type="pct"/>
            <w:tcMar>
              <w:top w:w="68" w:type="dxa"/>
              <w:left w:w="68" w:type="dxa"/>
              <w:bottom w:w="68" w:type="dxa"/>
              <w:right w:w="68" w:type="dxa"/>
            </w:tcMar>
          </w:tcPr>
          <w:p w14:paraId="7C57593A"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3E06FFFB" w14:textId="77777777" w:rsidR="00FA6F10" w:rsidRPr="00630129" w:rsidRDefault="00FA6F10">
            <w:pPr>
              <w:rPr>
                <w:sz w:val="22"/>
                <w:szCs w:val="22"/>
              </w:rPr>
            </w:pPr>
            <w:r w:rsidRPr="00630129">
              <w:rPr>
                <w:sz w:val="22"/>
                <w:szCs w:val="22"/>
              </w:rPr>
              <w:t xml:space="preserve">Daily Party BM Unit </w:t>
            </w:r>
            <w:proofErr w:type="spellStart"/>
            <w:r w:rsidRPr="00630129">
              <w:rPr>
                <w:sz w:val="22"/>
                <w:szCs w:val="22"/>
              </w:rPr>
              <w:t>Cashflow</w:t>
            </w:r>
            <w:proofErr w:type="spellEnd"/>
          </w:p>
        </w:tc>
      </w:tr>
      <w:tr w:rsidR="00FA6F10" w:rsidRPr="00630129" w14:paraId="411F0F0A" w14:textId="77777777">
        <w:tc>
          <w:tcPr>
            <w:tcW w:w="1566" w:type="pct"/>
            <w:tcMar>
              <w:top w:w="68" w:type="dxa"/>
              <w:left w:w="68" w:type="dxa"/>
              <w:bottom w:w="68" w:type="dxa"/>
              <w:right w:w="68" w:type="dxa"/>
            </w:tcMar>
          </w:tcPr>
          <w:p w14:paraId="161C48E5" w14:textId="77777777" w:rsidR="00FA6F10" w:rsidRPr="00630129" w:rsidRDefault="00FA6F10">
            <w:pPr>
              <w:rPr>
                <w:sz w:val="22"/>
                <w:szCs w:val="22"/>
              </w:rPr>
            </w:pPr>
            <w:proofErr w:type="spellStart"/>
            <w:r w:rsidRPr="00630129">
              <w:rPr>
                <w:sz w:val="22"/>
                <w:szCs w:val="22"/>
              </w:rPr>
              <w:t>CB</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562523D3"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69DC3D0D" w14:textId="77777777" w:rsidR="00FA6F10" w:rsidRPr="00630129" w:rsidRDefault="00FA6F10">
            <w:pPr>
              <w:rPr>
                <w:sz w:val="22"/>
                <w:szCs w:val="22"/>
              </w:rPr>
            </w:pPr>
            <w:r w:rsidRPr="00630129">
              <w:rPr>
                <w:sz w:val="22"/>
                <w:szCs w:val="22"/>
              </w:rPr>
              <w:t xml:space="preserve">Period BM Unit Bid </w:t>
            </w:r>
            <w:proofErr w:type="spellStart"/>
            <w:r w:rsidRPr="00630129">
              <w:rPr>
                <w:sz w:val="22"/>
                <w:szCs w:val="22"/>
              </w:rPr>
              <w:t>Cashflow</w:t>
            </w:r>
            <w:proofErr w:type="spellEnd"/>
          </w:p>
        </w:tc>
      </w:tr>
      <w:tr w:rsidR="00FA6F10" w:rsidRPr="00630129" w14:paraId="0705C2B9" w14:textId="77777777">
        <w:tc>
          <w:tcPr>
            <w:tcW w:w="1566" w:type="pct"/>
            <w:tcMar>
              <w:top w:w="68" w:type="dxa"/>
              <w:left w:w="68" w:type="dxa"/>
              <w:bottom w:w="68" w:type="dxa"/>
              <w:right w:w="68" w:type="dxa"/>
            </w:tcMar>
          </w:tcPr>
          <w:p w14:paraId="5F90BB03" w14:textId="77777777" w:rsidR="00FA6F10" w:rsidRPr="00630129" w:rsidRDefault="00FA6F10">
            <w:pPr>
              <w:rPr>
                <w:sz w:val="22"/>
                <w:szCs w:val="22"/>
              </w:rPr>
            </w:pPr>
            <w:proofErr w:type="spellStart"/>
            <w:r w:rsidRPr="00630129">
              <w:rPr>
                <w:sz w:val="22"/>
                <w:szCs w:val="22"/>
              </w:rPr>
              <w:t>CCEC</w:t>
            </w:r>
            <w:r w:rsidRPr="00630129">
              <w:rPr>
                <w:sz w:val="22"/>
                <w:szCs w:val="22"/>
                <w:vertAlign w:val="subscript"/>
              </w:rPr>
              <w:t>p</w:t>
            </w:r>
            <w:proofErr w:type="spellEnd"/>
          </w:p>
        </w:tc>
        <w:tc>
          <w:tcPr>
            <w:tcW w:w="808" w:type="pct"/>
            <w:tcMar>
              <w:top w:w="68" w:type="dxa"/>
              <w:left w:w="68" w:type="dxa"/>
              <w:bottom w:w="68" w:type="dxa"/>
              <w:right w:w="68" w:type="dxa"/>
            </w:tcMar>
          </w:tcPr>
          <w:p w14:paraId="4E634DC3"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52AB0C5A" w14:textId="77777777" w:rsidR="00FA6F10" w:rsidRPr="00630129" w:rsidRDefault="00FA6F10">
            <w:pPr>
              <w:rPr>
                <w:sz w:val="22"/>
                <w:szCs w:val="22"/>
              </w:rPr>
            </w:pPr>
            <w:r w:rsidRPr="00630129">
              <w:rPr>
                <w:sz w:val="22"/>
                <w:szCs w:val="22"/>
              </w:rPr>
              <w:t>Credit Cover Error Compensation</w:t>
            </w:r>
          </w:p>
        </w:tc>
      </w:tr>
      <w:tr w:rsidR="00FA6F10" w:rsidRPr="00630129" w14:paraId="2C25FE54" w14:textId="77777777">
        <w:tc>
          <w:tcPr>
            <w:tcW w:w="1566" w:type="pct"/>
            <w:tcMar>
              <w:top w:w="68" w:type="dxa"/>
              <w:left w:w="68" w:type="dxa"/>
              <w:bottom w:w="68" w:type="dxa"/>
              <w:right w:w="68" w:type="dxa"/>
            </w:tcMar>
          </w:tcPr>
          <w:p w14:paraId="030BE783" w14:textId="77777777" w:rsidR="00FA6F10" w:rsidRPr="00630129" w:rsidRDefault="00FA6F10">
            <w:pPr>
              <w:rPr>
                <w:sz w:val="22"/>
                <w:szCs w:val="22"/>
                <w:vertAlign w:val="subscript"/>
              </w:rPr>
            </w:pPr>
            <w:proofErr w:type="spellStart"/>
            <w:r w:rsidRPr="00630129">
              <w:rPr>
                <w:sz w:val="22"/>
                <w:szCs w:val="22"/>
              </w:rPr>
              <w:t>CC</w:t>
            </w:r>
            <w:r w:rsidRPr="00630129">
              <w:rPr>
                <w:sz w:val="22"/>
                <w:szCs w:val="22"/>
                <w:vertAlign w:val="subscript"/>
              </w:rPr>
              <w:t>p</w:t>
            </w:r>
            <w:proofErr w:type="spellEnd"/>
          </w:p>
        </w:tc>
        <w:tc>
          <w:tcPr>
            <w:tcW w:w="808" w:type="pct"/>
            <w:tcMar>
              <w:top w:w="68" w:type="dxa"/>
              <w:left w:w="68" w:type="dxa"/>
              <w:bottom w:w="68" w:type="dxa"/>
              <w:right w:w="68" w:type="dxa"/>
            </w:tcMar>
          </w:tcPr>
          <w:p w14:paraId="7ABD37D2"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48136C13" w14:textId="77777777" w:rsidR="00FA6F10" w:rsidRPr="00630129" w:rsidRDefault="00FA6F10">
            <w:pPr>
              <w:rPr>
                <w:sz w:val="22"/>
                <w:szCs w:val="22"/>
              </w:rPr>
            </w:pPr>
            <w:r w:rsidRPr="00630129">
              <w:rPr>
                <w:sz w:val="22"/>
                <w:szCs w:val="22"/>
              </w:rPr>
              <w:t>Credit Cover</w:t>
            </w:r>
          </w:p>
        </w:tc>
      </w:tr>
      <w:tr w:rsidR="00FA6F10" w:rsidRPr="00630129" w14:paraId="57C9A691" w14:textId="77777777">
        <w:tc>
          <w:tcPr>
            <w:tcW w:w="1566" w:type="pct"/>
            <w:tcMar>
              <w:top w:w="68" w:type="dxa"/>
              <w:left w:w="68" w:type="dxa"/>
              <w:bottom w:w="68" w:type="dxa"/>
              <w:right w:w="68" w:type="dxa"/>
            </w:tcMar>
          </w:tcPr>
          <w:p w14:paraId="489AA5CC" w14:textId="77777777" w:rsidR="00FA6F10" w:rsidRPr="00630129" w:rsidRDefault="00FA6F10">
            <w:pPr>
              <w:rPr>
                <w:sz w:val="22"/>
                <w:szCs w:val="22"/>
                <w:vertAlign w:val="subscript"/>
              </w:rPr>
            </w:pPr>
            <w:proofErr w:type="spellStart"/>
            <w:r w:rsidRPr="00630129">
              <w:rPr>
                <w:sz w:val="22"/>
                <w:szCs w:val="22"/>
              </w:rPr>
              <w:t>CCP</w:t>
            </w:r>
            <w:r w:rsidRPr="00630129">
              <w:rPr>
                <w:sz w:val="22"/>
                <w:szCs w:val="22"/>
                <w:vertAlign w:val="subscript"/>
              </w:rPr>
              <w:t>pj</w:t>
            </w:r>
            <w:proofErr w:type="spellEnd"/>
          </w:p>
        </w:tc>
        <w:tc>
          <w:tcPr>
            <w:tcW w:w="808" w:type="pct"/>
            <w:tcMar>
              <w:top w:w="68" w:type="dxa"/>
              <w:left w:w="68" w:type="dxa"/>
              <w:bottom w:w="68" w:type="dxa"/>
              <w:right w:w="68" w:type="dxa"/>
            </w:tcMar>
          </w:tcPr>
          <w:p w14:paraId="6FD74F4F"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320A7F7D" w14:textId="77777777" w:rsidR="00FA6F10" w:rsidRPr="00630129" w:rsidRDefault="00FA6F10">
            <w:pPr>
              <w:rPr>
                <w:sz w:val="22"/>
                <w:szCs w:val="22"/>
              </w:rPr>
            </w:pPr>
            <w:r w:rsidRPr="00630129">
              <w:rPr>
                <w:sz w:val="22"/>
                <w:szCs w:val="22"/>
              </w:rPr>
              <w:t>Credit Cover Percentage</w:t>
            </w:r>
          </w:p>
        </w:tc>
      </w:tr>
      <w:tr w:rsidR="00FA6F10" w:rsidRPr="00630129" w14:paraId="00E1CFBD" w14:textId="77777777">
        <w:tc>
          <w:tcPr>
            <w:tcW w:w="1566" w:type="pct"/>
            <w:tcMar>
              <w:top w:w="68" w:type="dxa"/>
              <w:left w:w="68" w:type="dxa"/>
              <w:bottom w:w="68" w:type="dxa"/>
              <w:right w:w="68" w:type="dxa"/>
            </w:tcMar>
          </w:tcPr>
          <w:p w14:paraId="6E07DF71" w14:textId="77777777" w:rsidR="00FA6F10" w:rsidRPr="00630129" w:rsidRDefault="00FA6F10">
            <w:pPr>
              <w:rPr>
                <w:sz w:val="22"/>
                <w:szCs w:val="22"/>
              </w:rPr>
            </w:pPr>
            <w:proofErr w:type="spellStart"/>
            <w:r w:rsidRPr="00630129">
              <w:rPr>
                <w:sz w:val="22"/>
                <w:szCs w:val="22"/>
              </w:rPr>
              <w:t>CCR</w:t>
            </w:r>
            <w:r w:rsidRPr="00630129">
              <w:rPr>
                <w:sz w:val="22"/>
                <w:szCs w:val="22"/>
                <w:vertAlign w:val="subscript"/>
              </w:rPr>
              <w:t>iJ</w:t>
            </w:r>
            <w:proofErr w:type="spellEnd"/>
          </w:p>
        </w:tc>
        <w:tc>
          <w:tcPr>
            <w:tcW w:w="808" w:type="pct"/>
            <w:tcMar>
              <w:top w:w="68" w:type="dxa"/>
              <w:left w:w="68" w:type="dxa"/>
              <w:bottom w:w="68" w:type="dxa"/>
              <w:right w:w="68" w:type="dxa"/>
            </w:tcMar>
          </w:tcPr>
          <w:p w14:paraId="3F13D8ED" w14:textId="77777777" w:rsidR="00FA6F10" w:rsidRPr="00630129" w:rsidRDefault="00FA6F10">
            <w:pPr>
              <w:rPr>
                <w:sz w:val="22"/>
                <w:szCs w:val="22"/>
              </w:rPr>
            </w:pPr>
          </w:p>
        </w:tc>
        <w:tc>
          <w:tcPr>
            <w:tcW w:w="2626" w:type="pct"/>
            <w:tcMar>
              <w:top w:w="68" w:type="dxa"/>
              <w:left w:w="68" w:type="dxa"/>
              <w:bottom w:w="68" w:type="dxa"/>
              <w:right w:w="68" w:type="dxa"/>
            </w:tcMar>
          </w:tcPr>
          <w:p w14:paraId="7775E512" w14:textId="77777777" w:rsidR="00FA6F10" w:rsidRPr="00630129" w:rsidRDefault="00FA6F10">
            <w:pPr>
              <w:rPr>
                <w:sz w:val="22"/>
                <w:szCs w:val="22"/>
              </w:rPr>
            </w:pPr>
            <w:r w:rsidRPr="00630129">
              <w:rPr>
                <w:sz w:val="22"/>
                <w:szCs w:val="22"/>
              </w:rPr>
              <w:t xml:space="preserve">Quarter Hour RR </w:t>
            </w:r>
            <w:proofErr w:type="spellStart"/>
            <w:r w:rsidRPr="00630129">
              <w:rPr>
                <w:sz w:val="22"/>
                <w:szCs w:val="22"/>
              </w:rPr>
              <w:t>Cashflow</w:t>
            </w:r>
            <w:proofErr w:type="spellEnd"/>
          </w:p>
        </w:tc>
      </w:tr>
      <w:tr w:rsidR="00FA6F10" w:rsidRPr="00630129" w14:paraId="7A1ABB60" w14:textId="77777777">
        <w:tc>
          <w:tcPr>
            <w:tcW w:w="1566" w:type="pct"/>
            <w:tcMar>
              <w:top w:w="68" w:type="dxa"/>
              <w:left w:w="68" w:type="dxa"/>
              <w:bottom w:w="68" w:type="dxa"/>
              <w:right w:w="68" w:type="dxa"/>
            </w:tcMar>
          </w:tcPr>
          <w:p w14:paraId="71EB4439" w14:textId="77777777" w:rsidR="00FA6F10" w:rsidRPr="00630129" w:rsidRDefault="00FA6F10">
            <w:pPr>
              <w:rPr>
                <w:sz w:val="22"/>
                <w:szCs w:val="22"/>
              </w:rPr>
            </w:pPr>
            <w:proofErr w:type="spellStart"/>
            <w:r w:rsidRPr="00630129">
              <w:rPr>
                <w:sz w:val="22"/>
                <w:szCs w:val="22"/>
              </w:rPr>
              <w:t>CDB</w:t>
            </w:r>
            <w:r w:rsidRPr="00630129">
              <w:rPr>
                <w:sz w:val="22"/>
                <w:szCs w:val="22"/>
                <w:vertAlign w:val="subscript"/>
              </w:rPr>
              <w:t>ij</w:t>
            </w:r>
            <w:proofErr w:type="spellEnd"/>
          </w:p>
        </w:tc>
        <w:tc>
          <w:tcPr>
            <w:tcW w:w="808" w:type="pct"/>
            <w:tcMar>
              <w:top w:w="68" w:type="dxa"/>
              <w:left w:w="68" w:type="dxa"/>
              <w:bottom w:w="68" w:type="dxa"/>
              <w:right w:w="68" w:type="dxa"/>
            </w:tcMar>
          </w:tcPr>
          <w:p w14:paraId="69A5323F"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018583B7" w14:textId="77777777" w:rsidR="00FA6F10" w:rsidRPr="00630129" w:rsidRDefault="00FA6F10">
            <w:pPr>
              <w:rPr>
                <w:sz w:val="22"/>
                <w:szCs w:val="22"/>
              </w:rPr>
            </w:pPr>
            <w:r w:rsidRPr="00630129">
              <w:rPr>
                <w:sz w:val="22"/>
                <w:szCs w:val="22"/>
              </w:rPr>
              <w:t xml:space="preserve">Replacement Reserve Period Instructed Bid Deviation </w:t>
            </w:r>
            <w:proofErr w:type="spellStart"/>
            <w:r w:rsidRPr="00630129">
              <w:rPr>
                <w:sz w:val="22"/>
                <w:szCs w:val="22"/>
              </w:rPr>
              <w:t>Cashflow</w:t>
            </w:r>
            <w:proofErr w:type="spellEnd"/>
          </w:p>
        </w:tc>
      </w:tr>
      <w:tr w:rsidR="00FA6F10" w:rsidRPr="00630129" w14:paraId="2C96DF6A" w14:textId="77777777">
        <w:tc>
          <w:tcPr>
            <w:tcW w:w="1566" w:type="pct"/>
            <w:tcMar>
              <w:top w:w="68" w:type="dxa"/>
              <w:left w:w="68" w:type="dxa"/>
              <w:bottom w:w="68" w:type="dxa"/>
              <w:right w:w="68" w:type="dxa"/>
            </w:tcMar>
          </w:tcPr>
          <w:p w14:paraId="6E933F0B" w14:textId="77777777" w:rsidR="00FA6F10" w:rsidRPr="00630129" w:rsidRDefault="00FA6F10">
            <w:pPr>
              <w:rPr>
                <w:sz w:val="22"/>
                <w:szCs w:val="22"/>
              </w:rPr>
            </w:pPr>
            <w:proofErr w:type="spellStart"/>
            <w:r w:rsidRPr="00630129">
              <w:rPr>
                <w:sz w:val="22"/>
                <w:szCs w:val="22"/>
              </w:rPr>
              <w:t>CDO</w:t>
            </w:r>
            <w:r w:rsidRPr="00630129">
              <w:rPr>
                <w:sz w:val="22"/>
                <w:szCs w:val="22"/>
                <w:vertAlign w:val="subscript"/>
              </w:rPr>
              <w:t>ij</w:t>
            </w:r>
            <w:proofErr w:type="spellEnd"/>
          </w:p>
        </w:tc>
        <w:tc>
          <w:tcPr>
            <w:tcW w:w="808" w:type="pct"/>
            <w:tcMar>
              <w:top w:w="68" w:type="dxa"/>
              <w:left w:w="68" w:type="dxa"/>
              <w:bottom w:w="68" w:type="dxa"/>
              <w:right w:w="68" w:type="dxa"/>
            </w:tcMar>
          </w:tcPr>
          <w:p w14:paraId="21E68767"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23E53E61" w14:textId="77777777" w:rsidR="00FA6F10" w:rsidRPr="00630129" w:rsidRDefault="00FA6F10">
            <w:pPr>
              <w:rPr>
                <w:sz w:val="22"/>
                <w:szCs w:val="22"/>
              </w:rPr>
            </w:pPr>
            <w:r w:rsidRPr="00630129">
              <w:rPr>
                <w:sz w:val="22"/>
                <w:szCs w:val="22"/>
              </w:rPr>
              <w:t xml:space="preserve">Replacement Reserve Period Instructed Offer Deviation </w:t>
            </w:r>
            <w:proofErr w:type="spellStart"/>
            <w:r w:rsidRPr="00630129">
              <w:rPr>
                <w:sz w:val="22"/>
                <w:szCs w:val="22"/>
              </w:rPr>
              <w:t>Cashflow</w:t>
            </w:r>
            <w:proofErr w:type="spellEnd"/>
          </w:p>
        </w:tc>
      </w:tr>
      <w:tr w:rsidR="00FA6F10" w:rsidRPr="00630129" w14:paraId="74C31D7F" w14:textId="77777777">
        <w:tc>
          <w:tcPr>
            <w:tcW w:w="1566" w:type="pct"/>
            <w:tcMar>
              <w:top w:w="68" w:type="dxa"/>
              <w:left w:w="68" w:type="dxa"/>
              <w:bottom w:w="68" w:type="dxa"/>
              <w:right w:w="68" w:type="dxa"/>
            </w:tcMar>
          </w:tcPr>
          <w:p w14:paraId="3305A69F" w14:textId="77777777" w:rsidR="00FA6F10" w:rsidRPr="00630129" w:rsidRDefault="00FA6F10">
            <w:pPr>
              <w:rPr>
                <w:sz w:val="22"/>
                <w:szCs w:val="22"/>
              </w:rPr>
            </w:pPr>
            <w:proofErr w:type="spellStart"/>
            <w:r w:rsidRPr="00630129">
              <w:rPr>
                <w:sz w:val="22"/>
                <w:szCs w:val="22"/>
              </w:rPr>
              <w:t>CDR</w:t>
            </w:r>
            <w:r w:rsidRPr="00630129">
              <w:rPr>
                <w:sz w:val="22"/>
                <w:szCs w:val="22"/>
                <w:vertAlign w:val="subscript"/>
              </w:rPr>
              <w:t>ij</w:t>
            </w:r>
            <w:proofErr w:type="spellEnd"/>
          </w:p>
        </w:tc>
        <w:tc>
          <w:tcPr>
            <w:tcW w:w="808" w:type="pct"/>
            <w:tcMar>
              <w:top w:w="68" w:type="dxa"/>
              <w:left w:w="68" w:type="dxa"/>
              <w:bottom w:w="68" w:type="dxa"/>
              <w:right w:w="68" w:type="dxa"/>
            </w:tcMar>
          </w:tcPr>
          <w:p w14:paraId="7AD5F5AE"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7D3EFED5" w14:textId="77777777" w:rsidR="00FA6F10" w:rsidRPr="00630129" w:rsidRDefault="00FA6F10">
            <w:pPr>
              <w:rPr>
                <w:sz w:val="22"/>
                <w:szCs w:val="22"/>
              </w:rPr>
            </w:pPr>
            <w:r w:rsidRPr="00630129">
              <w:rPr>
                <w:sz w:val="22"/>
                <w:szCs w:val="22"/>
              </w:rPr>
              <w:t xml:space="preserve">Replacement Reserve Period Instruction Deviation </w:t>
            </w:r>
            <w:proofErr w:type="spellStart"/>
            <w:r w:rsidRPr="00630129">
              <w:rPr>
                <w:sz w:val="22"/>
                <w:szCs w:val="22"/>
              </w:rPr>
              <w:t>Cashflow</w:t>
            </w:r>
            <w:proofErr w:type="spellEnd"/>
          </w:p>
        </w:tc>
      </w:tr>
      <w:tr w:rsidR="00FA6F10" w:rsidRPr="00630129" w14:paraId="72F6DF6A" w14:textId="77777777">
        <w:tc>
          <w:tcPr>
            <w:tcW w:w="1566" w:type="pct"/>
            <w:tcMar>
              <w:top w:w="68" w:type="dxa"/>
              <w:left w:w="68" w:type="dxa"/>
              <w:bottom w:w="68" w:type="dxa"/>
              <w:right w:w="68" w:type="dxa"/>
            </w:tcMar>
          </w:tcPr>
          <w:p w14:paraId="7C4F9588" w14:textId="77777777" w:rsidR="00FA6F10" w:rsidRPr="00630129" w:rsidRDefault="00FA6F10">
            <w:pPr>
              <w:rPr>
                <w:sz w:val="22"/>
                <w:szCs w:val="22"/>
              </w:rPr>
            </w:pPr>
            <w:proofErr w:type="spellStart"/>
            <w:r w:rsidRPr="00630129">
              <w:rPr>
                <w:sz w:val="22"/>
                <w:szCs w:val="22"/>
              </w:rPr>
              <w:lastRenderedPageBreak/>
              <w:t>CDR</w:t>
            </w:r>
            <w:r w:rsidRPr="00630129">
              <w:rPr>
                <w:sz w:val="22"/>
                <w:szCs w:val="22"/>
                <w:vertAlign w:val="subscript"/>
              </w:rPr>
              <w:t>p</w:t>
            </w:r>
            <w:proofErr w:type="spellEnd"/>
          </w:p>
        </w:tc>
        <w:tc>
          <w:tcPr>
            <w:tcW w:w="808" w:type="pct"/>
            <w:tcMar>
              <w:top w:w="68" w:type="dxa"/>
              <w:left w:w="68" w:type="dxa"/>
              <w:bottom w:w="68" w:type="dxa"/>
              <w:right w:w="68" w:type="dxa"/>
            </w:tcMar>
          </w:tcPr>
          <w:p w14:paraId="1428811D"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70EDEF01" w14:textId="77777777" w:rsidR="00FA6F10" w:rsidRPr="00630129" w:rsidRDefault="00FA6F10">
            <w:pPr>
              <w:rPr>
                <w:sz w:val="22"/>
                <w:szCs w:val="22"/>
              </w:rPr>
            </w:pPr>
            <w:r w:rsidRPr="00630129">
              <w:rPr>
                <w:sz w:val="22"/>
                <w:szCs w:val="22"/>
              </w:rPr>
              <w:t xml:space="preserve">Daily Party RR Instruction Deviation </w:t>
            </w:r>
            <w:proofErr w:type="spellStart"/>
            <w:r w:rsidRPr="00630129">
              <w:rPr>
                <w:sz w:val="22"/>
                <w:szCs w:val="22"/>
              </w:rPr>
              <w:t>Cashflow</w:t>
            </w:r>
            <w:proofErr w:type="spellEnd"/>
          </w:p>
        </w:tc>
      </w:tr>
      <w:tr w:rsidR="00FA6F10" w:rsidRPr="00630129" w14:paraId="5898D398" w14:textId="77777777">
        <w:tc>
          <w:tcPr>
            <w:tcW w:w="1566" w:type="pct"/>
            <w:tcMar>
              <w:top w:w="68" w:type="dxa"/>
              <w:left w:w="68" w:type="dxa"/>
              <w:bottom w:w="68" w:type="dxa"/>
              <w:right w:w="68" w:type="dxa"/>
            </w:tcMar>
          </w:tcPr>
          <w:p w14:paraId="03E5CEA3" w14:textId="77777777" w:rsidR="00FA6F10" w:rsidRPr="00630129" w:rsidRDefault="00FA6F10">
            <w:pPr>
              <w:rPr>
                <w:sz w:val="22"/>
                <w:szCs w:val="22"/>
                <w:vertAlign w:val="subscript"/>
              </w:rPr>
            </w:pPr>
            <w:proofErr w:type="spellStart"/>
            <w:r w:rsidRPr="00630129">
              <w:rPr>
                <w:sz w:val="22"/>
                <w:szCs w:val="22"/>
              </w:rPr>
              <w:t>CEI</w:t>
            </w:r>
            <w:r w:rsidRPr="00630129">
              <w:rPr>
                <w:sz w:val="22"/>
                <w:szCs w:val="22"/>
                <w:vertAlign w:val="subscript"/>
              </w:rPr>
              <w:t>pj</w:t>
            </w:r>
            <w:proofErr w:type="spellEnd"/>
          </w:p>
        </w:tc>
        <w:tc>
          <w:tcPr>
            <w:tcW w:w="808" w:type="pct"/>
            <w:tcMar>
              <w:top w:w="68" w:type="dxa"/>
              <w:left w:w="68" w:type="dxa"/>
              <w:bottom w:w="68" w:type="dxa"/>
              <w:right w:w="68" w:type="dxa"/>
            </w:tcMar>
          </w:tcPr>
          <w:p w14:paraId="2234F0B3"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6402C051" w14:textId="77777777" w:rsidR="00FA6F10" w:rsidRPr="00630129" w:rsidRDefault="00FA6F10">
            <w:pPr>
              <w:rPr>
                <w:sz w:val="22"/>
                <w:szCs w:val="22"/>
              </w:rPr>
            </w:pPr>
            <w:r w:rsidRPr="00630129">
              <w:rPr>
                <w:sz w:val="22"/>
                <w:szCs w:val="22"/>
              </w:rPr>
              <w:t>Credit Assessment Energy Indebtedness</w:t>
            </w:r>
          </w:p>
        </w:tc>
      </w:tr>
      <w:tr w:rsidR="00FA6F10" w:rsidRPr="00630129" w14:paraId="4AEAC30B" w14:textId="77777777">
        <w:tc>
          <w:tcPr>
            <w:tcW w:w="1566" w:type="pct"/>
            <w:tcMar>
              <w:top w:w="68" w:type="dxa"/>
              <w:left w:w="68" w:type="dxa"/>
              <w:bottom w:w="68" w:type="dxa"/>
              <w:right w:w="68" w:type="dxa"/>
            </w:tcMar>
          </w:tcPr>
          <w:p w14:paraId="79FA44D5" w14:textId="77777777" w:rsidR="00FA6F10" w:rsidRPr="00630129" w:rsidRDefault="00FA6F10">
            <w:pPr>
              <w:rPr>
                <w:sz w:val="22"/>
                <w:szCs w:val="22"/>
                <w:vertAlign w:val="subscript"/>
              </w:rPr>
            </w:pPr>
            <w:proofErr w:type="spellStart"/>
            <w:r w:rsidRPr="00630129">
              <w:rPr>
                <w:sz w:val="22"/>
                <w:szCs w:val="22"/>
              </w:rPr>
              <w:t>CGCAEI</w:t>
            </w:r>
            <w:r w:rsidRPr="00630129">
              <w:rPr>
                <w:sz w:val="22"/>
                <w:szCs w:val="22"/>
                <w:vertAlign w:val="subscript"/>
              </w:rPr>
              <w:t>aj</w:t>
            </w:r>
            <w:proofErr w:type="spellEnd"/>
          </w:p>
        </w:tc>
        <w:tc>
          <w:tcPr>
            <w:tcW w:w="808" w:type="pct"/>
            <w:tcMar>
              <w:top w:w="68" w:type="dxa"/>
              <w:left w:w="68" w:type="dxa"/>
              <w:bottom w:w="68" w:type="dxa"/>
              <w:right w:w="68" w:type="dxa"/>
            </w:tcMar>
          </w:tcPr>
          <w:p w14:paraId="112F9EAF"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6AE76A6D" w14:textId="77777777" w:rsidR="00FA6F10" w:rsidRPr="00630129" w:rsidRDefault="00FA6F10">
            <w:pPr>
              <w:rPr>
                <w:sz w:val="22"/>
                <w:szCs w:val="22"/>
              </w:rPr>
            </w:pPr>
            <w:r w:rsidRPr="00630129">
              <w:rPr>
                <w:sz w:val="22"/>
                <w:szCs w:val="22"/>
              </w:rPr>
              <w:t xml:space="preserve">Claim Group non-corrected Account Energy Imbalance </w:t>
            </w:r>
            <w:proofErr w:type="spellStart"/>
            <w:r w:rsidRPr="00630129">
              <w:rPr>
                <w:sz w:val="22"/>
                <w:szCs w:val="22"/>
              </w:rPr>
              <w:t>Cashflow</w:t>
            </w:r>
            <w:proofErr w:type="spellEnd"/>
          </w:p>
        </w:tc>
      </w:tr>
      <w:tr w:rsidR="00FA6F10" w:rsidRPr="00630129" w14:paraId="39918F41" w14:textId="77777777">
        <w:tc>
          <w:tcPr>
            <w:tcW w:w="1566" w:type="pct"/>
            <w:tcMar>
              <w:top w:w="68" w:type="dxa"/>
              <w:left w:w="68" w:type="dxa"/>
              <w:bottom w:w="68" w:type="dxa"/>
              <w:right w:w="68" w:type="dxa"/>
            </w:tcMar>
          </w:tcPr>
          <w:p w14:paraId="2B49691F" w14:textId="77777777" w:rsidR="00FA6F10" w:rsidRPr="00630129" w:rsidRDefault="00FA6F10">
            <w:pPr>
              <w:rPr>
                <w:sz w:val="22"/>
                <w:szCs w:val="22"/>
              </w:rPr>
            </w:pPr>
            <w:proofErr w:type="spellStart"/>
            <w:r w:rsidRPr="00630129">
              <w:rPr>
                <w:sz w:val="22"/>
                <w:szCs w:val="22"/>
              </w:rPr>
              <w:t>CII</w:t>
            </w:r>
            <w:r w:rsidRPr="00630129">
              <w:rPr>
                <w:sz w:val="22"/>
                <w:szCs w:val="22"/>
                <w:vertAlign w:val="subscript"/>
              </w:rPr>
              <w:t>ij</w:t>
            </w:r>
            <w:proofErr w:type="spellEnd"/>
          </w:p>
        </w:tc>
        <w:tc>
          <w:tcPr>
            <w:tcW w:w="808" w:type="pct"/>
            <w:tcMar>
              <w:top w:w="68" w:type="dxa"/>
              <w:left w:w="68" w:type="dxa"/>
              <w:bottom w:w="68" w:type="dxa"/>
              <w:right w:w="68" w:type="dxa"/>
            </w:tcMar>
          </w:tcPr>
          <w:p w14:paraId="3A5281DC"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0A4CA639" w14:textId="77777777" w:rsidR="00FA6F10" w:rsidRPr="00630129" w:rsidRDefault="00FA6F10">
            <w:pPr>
              <w:rPr>
                <w:sz w:val="22"/>
                <w:szCs w:val="22"/>
              </w:rPr>
            </w:pPr>
            <w:r w:rsidRPr="00630129">
              <w:rPr>
                <w:sz w:val="22"/>
                <w:szCs w:val="22"/>
              </w:rPr>
              <w:t>Information Imbalance Charge</w:t>
            </w:r>
          </w:p>
        </w:tc>
      </w:tr>
      <w:tr w:rsidR="00FA6F10" w:rsidRPr="00630129" w14:paraId="44B12833" w14:textId="77777777">
        <w:tc>
          <w:tcPr>
            <w:tcW w:w="1566" w:type="pct"/>
            <w:tcMar>
              <w:top w:w="68" w:type="dxa"/>
              <w:left w:w="68" w:type="dxa"/>
              <w:bottom w:w="68" w:type="dxa"/>
              <w:right w:w="68" w:type="dxa"/>
            </w:tcMar>
          </w:tcPr>
          <w:p w14:paraId="20319372" w14:textId="77777777" w:rsidR="00FA6F10" w:rsidRPr="00630129" w:rsidRDefault="00FA6F10">
            <w:pPr>
              <w:rPr>
                <w:sz w:val="22"/>
                <w:szCs w:val="22"/>
                <w:vertAlign w:val="subscript"/>
              </w:rPr>
            </w:pPr>
            <w:proofErr w:type="spellStart"/>
            <w:r w:rsidRPr="00630129">
              <w:rPr>
                <w:sz w:val="22"/>
                <w:szCs w:val="22"/>
              </w:rPr>
              <w:t>CII</w:t>
            </w:r>
            <w:r w:rsidRPr="00630129">
              <w:rPr>
                <w:sz w:val="22"/>
                <w:szCs w:val="22"/>
                <w:vertAlign w:val="subscript"/>
              </w:rPr>
              <w:t>p</w:t>
            </w:r>
            <w:proofErr w:type="spellEnd"/>
          </w:p>
        </w:tc>
        <w:tc>
          <w:tcPr>
            <w:tcW w:w="808" w:type="pct"/>
            <w:tcMar>
              <w:top w:w="68" w:type="dxa"/>
              <w:left w:w="68" w:type="dxa"/>
              <w:bottom w:w="68" w:type="dxa"/>
              <w:right w:w="68" w:type="dxa"/>
            </w:tcMar>
          </w:tcPr>
          <w:p w14:paraId="28F2464C"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717F88D4" w14:textId="77777777" w:rsidR="00FA6F10" w:rsidRPr="00630129" w:rsidRDefault="00FA6F10">
            <w:pPr>
              <w:rPr>
                <w:sz w:val="22"/>
                <w:szCs w:val="22"/>
              </w:rPr>
            </w:pPr>
            <w:r w:rsidRPr="00630129">
              <w:rPr>
                <w:sz w:val="22"/>
                <w:szCs w:val="22"/>
              </w:rPr>
              <w:t>Daily Party Information Imbalance Charge</w:t>
            </w:r>
          </w:p>
        </w:tc>
      </w:tr>
      <w:tr w:rsidR="00FA6F10" w:rsidRPr="00630129" w14:paraId="451363B2" w14:textId="77777777">
        <w:tc>
          <w:tcPr>
            <w:tcW w:w="1566" w:type="pct"/>
            <w:tcMar>
              <w:top w:w="68" w:type="dxa"/>
              <w:left w:w="68" w:type="dxa"/>
              <w:bottom w:w="68" w:type="dxa"/>
              <w:right w:w="68" w:type="dxa"/>
            </w:tcMar>
          </w:tcPr>
          <w:p w14:paraId="5B5FF7AE" w14:textId="77777777" w:rsidR="00FA6F10" w:rsidRPr="00630129" w:rsidRDefault="00FA6F10">
            <w:pPr>
              <w:rPr>
                <w:sz w:val="22"/>
                <w:szCs w:val="22"/>
              </w:rPr>
            </w:pPr>
            <w:proofErr w:type="spellStart"/>
            <w:r w:rsidRPr="00630129">
              <w:rPr>
                <w:sz w:val="22"/>
                <w:szCs w:val="22"/>
              </w:rPr>
              <w:t>CNDB</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0BADAF2C"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2125E01C" w14:textId="77777777" w:rsidR="00FA6F10" w:rsidRPr="00630129" w:rsidRDefault="00FA6F10">
            <w:pPr>
              <w:rPr>
                <w:sz w:val="22"/>
                <w:szCs w:val="22"/>
              </w:rPr>
            </w:pPr>
            <w:r w:rsidRPr="00630129">
              <w:rPr>
                <w:sz w:val="22"/>
                <w:szCs w:val="22"/>
              </w:rPr>
              <w:t>Non-Delivered Bid Charge</w:t>
            </w:r>
          </w:p>
        </w:tc>
      </w:tr>
      <w:tr w:rsidR="00FA6F10" w:rsidRPr="00630129" w14:paraId="3FC75030" w14:textId="77777777">
        <w:tc>
          <w:tcPr>
            <w:tcW w:w="1566" w:type="pct"/>
            <w:tcMar>
              <w:top w:w="68" w:type="dxa"/>
              <w:left w:w="68" w:type="dxa"/>
              <w:bottom w:w="68" w:type="dxa"/>
              <w:right w:w="68" w:type="dxa"/>
            </w:tcMar>
          </w:tcPr>
          <w:p w14:paraId="13E46F1F" w14:textId="77777777" w:rsidR="00FA6F10" w:rsidRPr="00630129" w:rsidRDefault="00FA6F10">
            <w:pPr>
              <w:rPr>
                <w:sz w:val="22"/>
                <w:szCs w:val="22"/>
              </w:rPr>
            </w:pPr>
            <w:proofErr w:type="spellStart"/>
            <w:r w:rsidRPr="00630129">
              <w:rPr>
                <w:sz w:val="22"/>
                <w:szCs w:val="22"/>
              </w:rPr>
              <w:t>CND</w:t>
            </w:r>
            <w:r w:rsidRPr="00630129">
              <w:rPr>
                <w:sz w:val="22"/>
                <w:szCs w:val="22"/>
                <w:vertAlign w:val="subscript"/>
              </w:rPr>
              <w:t>ij</w:t>
            </w:r>
            <w:proofErr w:type="spellEnd"/>
          </w:p>
        </w:tc>
        <w:tc>
          <w:tcPr>
            <w:tcW w:w="808" w:type="pct"/>
            <w:tcMar>
              <w:top w:w="68" w:type="dxa"/>
              <w:left w:w="68" w:type="dxa"/>
              <w:bottom w:w="68" w:type="dxa"/>
              <w:right w:w="68" w:type="dxa"/>
            </w:tcMar>
          </w:tcPr>
          <w:p w14:paraId="3D87A85E"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1852E928" w14:textId="77777777" w:rsidR="00FA6F10" w:rsidRPr="00630129" w:rsidRDefault="00FA6F10">
            <w:pPr>
              <w:rPr>
                <w:sz w:val="22"/>
                <w:szCs w:val="22"/>
              </w:rPr>
            </w:pPr>
            <w:r w:rsidRPr="00630129">
              <w:rPr>
                <w:sz w:val="22"/>
                <w:szCs w:val="22"/>
              </w:rPr>
              <w:t xml:space="preserve">BM Unit Period Non-Delivery Charge </w:t>
            </w:r>
          </w:p>
        </w:tc>
      </w:tr>
      <w:tr w:rsidR="00FA6F10" w:rsidRPr="00630129" w14:paraId="1C2796C1" w14:textId="77777777">
        <w:tc>
          <w:tcPr>
            <w:tcW w:w="1566" w:type="pct"/>
            <w:tcMar>
              <w:top w:w="68" w:type="dxa"/>
              <w:left w:w="68" w:type="dxa"/>
              <w:bottom w:w="68" w:type="dxa"/>
              <w:right w:w="68" w:type="dxa"/>
            </w:tcMar>
          </w:tcPr>
          <w:p w14:paraId="5C5C252A" w14:textId="77777777" w:rsidR="00FA6F10" w:rsidRPr="00630129" w:rsidRDefault="00FA6F10">
            <w:pPr>
              <w:rPr>
                <w:sz w:val="22"/>
                <w:szCs w:val="22"/>
              </w:rPr>
            </w:pPr>
            <w:proofErr w:type="spellStart"/>
            <w:r w:rsidRPr="00630129">
              <w:rPr>
                <w:sz w:val="22"/>
                <w:szCs w:val="22"/>
              </w:rPr>
              <w:t>CNDO</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560AB365"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7390FC2F" w14:textId="77777777" w:rsidR="00FA6F10" w:rsidRPr="00630129" w:rsidRDefault="00FA6F10">
            <w:pPr>
              <w:rPr>
                <w:sz w:val="22"/>
                <w:szCs w:val="22"/>
              </w:rPr>
            </w:pPr>
            <w:r w:rsidRPr="00630129">
              <w:rPr>
                <w:sz w:val="22"/>
                <w:szCs w:val="22"/>
              </w:rPr>
              <w:t>Non-Delivered Offer Charge</w:t>
            </w:r>
          </w:p>
        </w:tc>
      </w:tr>
      <w:tr w:rsidR="00FA6F10" w:rsidRPr="00630129" w14:paraId="107E7D15" w14:textId="77777777">
        <w:tc>
          <w:tcPr>
            <w:tcW w:w="1566" w:type="pct"/>
            <w:tcMar>
              <w:top w:w="68" w:type="dxa"/>
              <w:left w:w="68" w:type="dxa"/>
              <w:bottom w:w="68" w:type="dxa"/>
              <w:right w:w="68" w:type="dxa"/>
            </w:tcMar>
          </w:tcPr>
          <w:p w14:paraId="35CF315F" w14:textId="77777777" w:rsidR="00FA6F10" w:rsidRPr="00630129" w:rsidRDefault="00FA6F10">
            <w:pPr>
              <w:rPr>
                <w:sz w:val="22"/>
                <w:szCs w:val="22"/>
              </w:rPr>
            </w:pPr>
            <w:proofErr w:type="spellStart"/>
            <w:r w:rsidRPr="00630129">
              <w:rPr>
                <w:sz w:val="22"/>
                <w:szCs w:val="22"/>
              </w:rPr>
              <w:t>CND</w:t>
            </w:r>
            <w:r w:rsidRPr="00630129">
              <w:rPr>
                <w:sz w:val="22"/>
                <w:szCs w:val="22"/>
                <w:vertAlign w:val="subscript"/>
              </w:rPr>
              <w:t>p</w:t>
            </w:r>
            <w:proofErr w:type="spellEnd"/>
          </w:p>
        </w:tc>
        <w:tc>
          <w:tcPr>
            <w:tcW w:w="808" w:type="pct"/>
            <w:tcMar>
              <w:top w:w="68" w:type="dxa"/>
              <w:left w:w="68" w:type="dxa"/>
              <w:bottom w:w="68" w:type="dxa"/>
              <w:right w:w="68" w:type="dxa"/>
            </w:tcMar>
          </w:tcPr>
          <w:p w14:paraId="68A5D962"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3D917691" w14:textId="77777777" w:rsidR="00FA6F10" w:rsidRPr="00630129" w:rsidRDefault="00FA6F10">
            <w:pPr>
              <w:rPr>
                <w:sz w:val="22"/>
                <w:szCs w:val="22"/>
              </w:rPr>
            </w:pPr>
            <w:r w:rsidRPr="00630129">
              <w:rPr>
                <w:sz w:val="22"/>
                <w:szCs w:val="22"/>
              </w:rPr>
              <w:t>Daily Party Non-Delivery Charge</w:t>
            </w:r>
          </w:p>
        </w:tc>
      </w:tr>
      <w:tr w:rsidR="00FA6F10" w:rsidRPr="00630129" w14:paraId="10B9877F" w14:textId="77777777">
        <w:tc>
          <w:tcPr>
            <w:tcW w:w="1566" w:type="pct"/>
            <w:tcMar>
              <w:top w:w="68" w:type="dxa"/>
              <w:left w:w="68" w:type="dxa"/>
              <w:bottom w:w="68" w:type="dxa"/>
              <w:right w:w="68" w:type="dxa"/>
            </w:tcMar>
          </w:tcPr>
          <w:p w14:paraId="5F915163" w14:textId="77777777" w:rsidR="00FA6F10" w:rsidRPr="00630129" w:rsidRDefault="00FA6F10">
            <w:pPr>
              <w:rPr>
                <w:sz w:val="22"/>
                <w:szCs w:val="22"/>
              </w:rPr>
            </w:pPr>
            <w:proofErr w:type="spellStart"/>
            <w:r w:rsidRPr="00630129">
              <w:rPr>
                <w:sz w:val="22"/>
                <w:szCs w:val="22"/>
              </w:rPr>
              <w:t>CO</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64EC3D19"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55F0C4C4" w14:textId="77777777" w:rsidR="00FA6F10" w:rsidRPr="00630129" w:rsidRDefault="00FA6F10">
            <w:pPr>
              <w:rPr>
                <w:sz w:val="22"/>
                <w:szCs w:val="22"/>
              </w:rPr>
            </w:pPr>
            <w:r w:rsidRPr="00630129">
              <w:rPr>
                <w:sz w:val="22"/>
                <w:szCs w:val="22"/>
              </w:rPr>
              <w:t xml:space="preserve">Period BM Unit Offer </w:t>
            </w:r>
            <w:proofErr w:type="spellStart"/>
            <w:r w:rsidRPr="00630129">
              <w:rPr>
                <w:sz w:val="22"/>
                <w:szCs w:val="22"/>
              </w:rPr>
              <w:t>Cashflow</w:t>
            </w:r>
            <w:proofErr w:type="spellEnd"/>
          </w:p>
        </w:tc>
      </w:tr>
      <w:tr w:rsidR="00FA6F10" w:rsidRPr="00630129" w14:paraId="353EBB02" w14:textId="77777777">
        <w:tc>
          <w:tcPr>
            <w:tcW w:w="1566" w:type="pct"/>
            <w:tcMar>
              <w:top w:w="68" w:type="dxa"/>
              <w:left w:w="68" w:type="dxa"/>
              <w:bottom w:w="68" w:type="dxa"/>
              <w:right w:w="68" w:type="dxa"/>
            </w:tcMar>
          </w:tcPr>
          <w:p w14:paraId="388FC304" w14:textId="77777777" w:rsidR="00FA6F10" w:rsidRPr="00630129" w:rsidRDefault="00FA6F10">
            <w:pPr>
              <w:rPr>
                <w:sz w:val="22"/>
                <w:szCs w:val="22"/>
              </w:rPr>
            </w:pPr>
            <w:proofErr w:type="spellStart"/>
            <w:r w:rsidRPr="00630129">
              <w:rPr>
                <w:sz w:val="22"/>
                <w:szCs w:val="22"/>
              </w:rPr>
              <w:t>CORC</w:t>
            </w:r>
            <w:r w:rsidRPr="00630129">
              <w:rPr>
                <w:sz w:val="22"/>
                <w:szCs w:val="22"/>
                <w:vertAlign w:val="subscript"/>
              </w:rPr>
              <w:t>iNj</w:t>
            </w:r>
            <w:proofErr w:type="spellEnd"/>
          </w:p>
        </w:tc>
        <w:tc>
          <w:tcPr>
            <w:tcW w:w="808" w:type="pct"/>
            <w:tcMar>
              <w:top w:w="68" w:type="dxa"/>
              <w:left w:w="68" w:type="dxa"/>
              <w:bottom w:w="68" w:type="dxa"/>
              <w:right w:w="68" w:type="dxa"/>
            </w:tcMar>
          </w:tcPr>
          <w:p w14:paraId="7E394CE9"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77488C63" w14:textId="77777777" w:rsidR="00FA6F10" w:rsidRPr="00630129" w:rsidRDefault="00FA6F10">
            <w:pPr>
              <w:rPr>
                <w:sz w:val="22"/>
                <w:szCs w:val="22"/>
              </w:rPr>
            </w:pPr>
            <w:r w:rsidRPr="00630129">
              <w:rPr>
                <w:sz w:val="22"/>
                <w:szCs w:val="22"/>
              </w:rPr>
              <w:t>Corrected Component</w:t>
            </w:r>
          </w:p>
        </w:tc>
      </w:tr>
      <w:tr w:rsidR="005A63B5" w:rsidRPr="00630129" w14:paraId="4682A68C" w14:textId="77777777">
        <w:tc>
          <w:tcPr>
            <w:tcW w:w="1566" w:type="pct"/>
            <w:tcMar>
              <w:top w:w="68" w:type="dxa"/>
              <w:left w:w="68" w:type="dxa"/>
              <w:bottom w:w="68" w:type="dxa"/>
              <w:right w:w="68" w:type="dxa"/>
            </w:tcMar>
          </w:tcPr>
          <w:p w14:paraId="42991E1C" w14:textId="77777777" w:rsidR="005A63B5" w:rsidRPr="005A63B5" w:rsidRDefault="005A63B5">
            <w:pPr>
              <w:rPr>
                <w:sz w:val="22"/>
                <w:szCs w:val="22"/>
              </w:rPr>
            </w:pPr>
            <w:r w:rsidRPr="00FC0D03">
              <w:rPr>
                <w:sz w:val="22"/>
                <w:szCs w:val="22"/>
              </w:rPr>
              <w:t>CORABSVDC</w:t>
            </w:r>
            <w:r w:rsidRPr="00FC0D03">
              <w:rPr>
                <w:sz w:val="22"/>
                <w:szCs w:val="22"/>
                <w:vertAlign w:val="subscript"/>
              </w:rPr>
              <w:t>i2Nj</w:t>
            </w:r>
          </w:p>
        </w:tc>
        <w:tc>
          <w:tcPr>
            <w:tcW w:w="808" w:type="pct"/>
            <w:tcMar>
              <w:top w:w="68" w:type="dxa"/>
              <w:left w:w="68" w:type="dxa"/>
              <w:bottom w:w="68" w:type="dxa"/>
              <w:right w:w="68" w:type="dxa"/>
            </w:tcMar>
          </w:tcPr>
          <w:p w14:paraId="0724DE9C" w14:textId="77777777" w:rsidR="005A63B5" w:rsidRPr="005A63B5" w:rsidRDefault="005A63B5">
            <w:pPr>
              <w:rPr>
                <w:sz w:val="22"/>
                <w:szCs w:val="22"/>
              </w:rPr>
            </w:pPr>
          </w:p>
        </w:tc>
        <w:tc>
          <w:tcPr>
            <w:tcW w:w="2626" w:type="pct"/>
            <w:tcMar>
              <w:top w:w="68" w:type="dxa"/>
              <w:left w:w="68" w:type="dxa"/>
              <w:bottom w:w="68" w:type="dxa"/>
              <w:right w:w="68" w:type="dxa"/>
            </w:tcMar>
          </w:tcPr>
          <w:p w14:paraId="2C7CB042" w14:textId="77777777" w:rsidR="005A63B5" w:rsidRPr="005A63B5" w:rsidRDefault="005A63B5">
            <w:pPr>
              <w:rPr>
                <w:sz w:val="22"/>
                <w:szCs w:val="22"/>
              </w:rPr>
            </w:pPr>
            <w:r w:rsidRPr="00FC0D03">
              <w:rPr>
                <w:sz w:val="22"/>
                <w:szCs w:val="22"/>
              </w:rPr>
              <w:t>Corrected MSID ABSVD Component</w:t>
            </w:r>
          </w:p>
        </w:tc>
      </w:tr>
      <w:tr w:rsidR="00FA6F10" w:rsidRPr="00630129" w14:paraId="7CA1B288" w14:textId="77777777">
        <w:tc>
          <w:tcPr>
            <w:tcW w:w="1566" w:type="pct"/>
            <w:tcMar>
              <w:top w:w="68" w:type="dxa"/>
              <w:left w:w="68" w:type="dxa"/>
              <w:bottom w:w="68" w:type="dxa"/>
              <w:right w:w="68" w:type="dxa"/>
            </w:tcMar>
          </w:tcPr>
          <w:p w14:paraId="1D3C2925" w14:textId="77777777" w:rsidR="00FA6F10" w:rsidRPr="00630129" w:rsidRDefault="00FA6F10">
            <w:pPr>
              <w:rPr>
                <w:sz w:val="22"/>
                <w:szCs w:val="22"/>
              </w:rPr>
            </w:pPr>
            <w:proofErr w:type="spellStart"/>
            <w:r w:rsidRPr="00630129">
              <w:rPr>
                <w:sz w:val="22"/>
                <w:szCs w:val="22"/>
              </w:rPr>
              <w:t>CRR</w:t>
            </w:r>
            <w:r w:rsidRPr="00630129">
              <w:rPr>
                <w:sz w:val="22"/>
                <w:szCs w:val="22"/>
                <w:vertAlign w:val="subscript"/>
              </w:rPr>
              <w:t>ij</w:t>
            </w:r>
            <w:proofErr w:type="spellEnd"/>
          </w:p>
        </w:tc>
        <w:tc>
          <w:tcPr>
            <w:tcW w:w="808" w:type="pct"/>
            <w:tcMar>
              <w:top w:w="68" w:type="dxa"/>
              <w:left w:w="68" w:type="dxa"/>
              <w:bottom w:w="68" w:type="dxa"/>
              <w:right w:w="68" w:type="dxa"/>
            </w:tcMar>
          </w:tcPr>
          <w:p w14:paraId="28033394"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1DDE8504" w14:textId="77777777" w:rsidR="00FA6F10" w:rsidRPr="00630129" w:rsidRDefault="00FA6F10">
            <w:pPr>
              <w:rPr>
                <w:sz w:val="22"/>
                <w:szCs w:val="22"/>
              </w:rPr>
            </w:pPr>
            <w:r w:rsidRPr="00630129">
              <w:rPr>
                <w:sz w:val="22"/>
                <w:szCs w:val="22"/>
              </w:rPr>
              <w:t xml:space="preserve">Period RR BM Unit </w:t>
            </w:r>
            <w:proofErr w:type="spellStart"/>
            <w:r w:rsidRPr="00630129">
              <w:rPr>
                <w:sz w:val="22"/>
                <w:szCs w:val="22"/>
              </w:rPr>
              <w:t>Cashflow</w:t>
            </w:r>
            <w:proofErr w:type="spellEnd"/>
          </w:p>
        </w:tc>
      </w:tr>
      <w:tr w:rsidR="00FA6F10" w:rsidRPr="00630129" w14:paraId="789EC45D" w14:textId="77777777">
        <w:tc>
          <w:tcPr>
            <w:tcW w:w="1566" w:type="pct"/>
            <w:tcMar>
              <w:top w:w="68" w:type="dxa"/>
              <w:left w:w="68" w:type="dxa"/>
              <w:bottom w:w="68" w:type="dxa"/>
              <w:right w:w="68" w:type="dxa"/>
            </w:tcMar>
          </w:tcPr>
          <w:p w14:paraId="624B0191" w14:textId="77777777" w:rsidR="00FA6F10" w:rsidRPr="00630129" w:rsidRDefault="00FA6F10">
            <w:pPr>
              <w:rPr>
                <w:sz w:val="22"/>
                <w:szCs w:val="22"/>
              </w:rPr>
            </w:pPr>
            <w:proofErr w:type="spellStart"/>
            <w:r w:rsidRPr="00630129">
              <w:rPr>
                <w:sz w:val="22"/>
                <w:szCs w:val="22"/>
              </w:rPr>
              <w:t>CRR</w:t>
            </w:r>
            <w:r w:rsidRPr="00630129">
              <w:rPr>
                <w:sz w:val="22"/>
                <w:szCs w:val="22"/>
                <w:vertAlign w:val="subscript"/>
              </w:rPr>
              <w:t>p</w:t>
            </w:r>
            <w:proofErr w:type="spellEnd"/>
          </w:p>
        </w:tc>
        <w:tc>
          <w:tcPr>
            <w:tcW w:w="808" w:type="pct"/>
            <w:tcMar>
              <w:top w:w="68" w:type="dxa"/>
              <w:left w:w="68" w:type="dxa"/>
              <w:bottom w:w="68" w:type="dxa"/>
              <w:right w:w="68" w:type="dxa"/>
            </w:tcMar>
          </w:tcPr>
          <w:p w14:paraId="728802BF"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66DE48E1" w14:textId="77777777" w:rsidR="00FA6F10" w:rsidRPr="00630129" w:rsidRDefault="00FA6F10">
            <w:pPr>
              <w:rPr>
                <w:sz w:val="22"/>
                <w:szCs w:val="22"/>
              </w:rPr>
            </w:pPr>
            <w:r w:rsidRPr="00630129">
              <w:rPr>
                <w:sz w:val="22"/>
                <w:szCs w:val="22"/>
              </w:rPr>
              <w:t xml:space="preserve">Daily Party RR </w:t>
            </w:r>
            <w:proofErr w:type="spellStart"/>
            <w:r w:rsidRPr="00630129">
              <w:rPr>
                <w:sz w:val="22"/>
                <w:szCs w:val="22"/>
              </w:rPr>
              <w:t>Cashflow</w:t>
            </w:r>
            <w:proofErr w:type="spellEnd"/>
          </w:p>
        </w:tc>
      </w:tr>
      <w:tr w:rsidR="00FA6F10" w:rsidRPr="00630129" w14:paraId="6A1D3550" w14:textId="77777777">
        <w:tc>
          <w:tcPr>
            <w:tcW w:w="1566" w:type="pct"/>
            <w:tcMar>
              <w:top w:w="68" w:type="dxa"/>
              <w:left w:w="68" w:type="dxa"/>
              <w:bottom w:w="68" w:type="dxa"/>
              <w:right w:w="68" w:type="dxa"/>
            </w:tcMar>
          </w:tcPr>
          <w:p w14:paraId="7DE021D0" w14:textId="77777777" w:rsidR="00FA6F10" w:rsidRPr="00630129" w:rsidRDefault="00FA6F10">
            <w:pPr>
              <w:rPr>
                <w:sz w:val="22"/>
                <w:szCs w:val="22"/>
              </w:rPr>
            </w:pPr>
            <w:r w:rsidRPr="00630129">
              <w:rPr>
                <w:sz w:val="22"/>
                <w:szCs w:val="22"/>
              </w:rPr>
              <w:t>CSO</w:t>
            </w:r>
          </w:p>
        </w:tc>
        <w:tc>
          <w:tcPr>
            <w:tcW w:w="808" w:type="pct"/>
            <w:tcMar>
              <w:top w:w="68" w:type="dxa"/>
              <w:left w:w="68" w:type="dxa"/>
              <w:bottom w:w="68" w:type="dxa"/>
              <w:right w:w="68" w:type="dxa"/>
            </w:tcMar>
          </w:tcPr>
          <w:p w14:paraId="1A7E167C"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72315881" w14:textId="77777777" w:rsidR="00FA6F10" w:rsidRPr="00630129" w:rsidRDefault="00FA6F10">
            <w:pPr>
              <w:rPr>
                <w:sz w:val="22"/>
                <w:szCs w:val="22"/>
              </w:rPr>
            </w:pPr>
            <w:r w:rsidRPr="00630129">
              <w:rPr>
                <w:sz w:val="22"/>
                <w:szCs w:val="22"/>
              </w:rPr>
              <w:t xml:space="preserve">Daily System Operator BM </w:t>
            </w:r>
            <w:proofErr w:type="spellStart"/>
            <w:r w:rsidRPr="00630129">
              <w:rPr>
                <w:sz w:val="22"/>
                <w:szCs w:val="22"/>
              </w:rPr>
              <w:t>Cashflow</w:t>
            </w:r>
            <w:proofErr w:type="spellEnd"/>
          </w:p>
        </w:tc>
      </w:tr>
      <w:tr w:rsidR="00FA6F10" w:rsidRPr="00630129" w14:paraId="2055C0C1" w14:textId="77777777">
        <w:tc>
          <w:tcPr>
            <w:tcW w:w="1566" w:type="pct"/>
            <w:tcMar>
              <w:top w:w="68" w:type="dxa"/>
              <w:left w:w="68" w:type="dxa"/>
              <w:bottom w:w="68" w:type="dxa"/>
              <w:right w:w="68" w:type="dxa"/>
            </w:tcMar>
          </w:tcPr>
          <w:p w14:paraId="7D931FFE" w14:textId="77777777" w:rsidR="00FA6F10" w:rsidRPr="00630129" w:rsidRDefault="00FA6F10">
            <w:pPr>
              <w:rPr>
                <w:sz w:val="22"/>
                <w:szCs w:val="22"/>
              </w:rPr>
            </w:pPr>
            <w:proofErr w:type="spellStart"/>
            <w:r w:rsidRPr="00630129">
              <w:rPr>
                <w:sz w:val="22"/>
                <w:szCs w:val="22"/>
              </w:rPr>
              <w:t>CSO</w:t>
            </w:r>
            <w:r w:rsidRPr="00630129">
              <w:rPr>
                <w:sz w:val="22"/>
                <w:szCs w:val="22"/>
                <w:vertAlign w:val="subscript"/>
              </w:rPr>
              <w:t>j</w:t>
            </w:r>
            <w:proofErr w:type="spellEnd"/>
          </w:p>
        </w:tc>
        <w:tc>
          <w:tcPr>
            <w:tcW w:w="808" w:type="pct"/>
            <w:tcMar>
              <w:top w:w="68" w:type="dxa"/>
              <w:left w:w="68" w:type="dxa"/>
              <w:bottom w:w="68" w:type="dxa"/>
              <w:right w:w="68" w:type="dxa"/>
            </w:tcMar>
          </w:tcPr>
          <w:p w14:paraId="103F3CA0"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65058896" w14:textId="77777777" w:rsidR="00FA6F10" w:rsidRPr="00630129" w:rsidRDefault="00FA6F10">
            <w:pPr>
              <w:rPr>
                <w:sz w:val="22"/>
                <w:szCs w:val="22"/>
              </w:rPr>
            </w:pPr>
            <w:r w:rsidRPr="00630129">
              <w:rPr>
                <w:sz w:val="22"/>
                <w:szCs w:val="22"/>
              </w:rPr>
              <w:t xml:space="preserve">System Operator BM </w:t>
            </w:r>
            <w:proofErr w:type="spellStart"/>
            <w:r w:rsidRPr="00630129">
              <w:rPr>
                <w:sz w:val="22"/>
                <w:szCs w:val="22"/>
              </w:rPr>
              <w:t>Cashflow</w:t>
            </w:r>
            <w:proofErr w:type="spellEnd"/>
          </w:p>
        </w:tc>
      </w:tr>
      <w:tr w:rsidR="00FA6F10" w:rsidRPr="00630129" w14:paraId="394AE5DD" w14:textId="77777777">
        <w:tc>
          <w:tcPr>
            <w:tcW w:w="1566" w:type="pct"/>
            <w:tcMar>
              <w:top w:w="68" w:type="dxa"/>
              <w:left w:w="68" w:type="dxa"/>
              <w:bottom w:w="68" w:type="dxa"/>
              <w:right w:w="68" w:type="dxa"/>
            </w:tcMar>
          </w:tcPr>
          <w:p w14:paraId="14D072EC" w14:textId="77777777" w:rsidR="00FA6F10" w:rsidRPr="00630129" w:rsidRDefault="00FA6F10">
            <w:pPr>
              <w:rPr>
                <w:sz w:val="22"/>
                <w:szCs w:val="22"/>
              </w:rPr>
            </w:pPr>
            <w:r w:rsidRPr="00630129">
              <w:rPr>
                <w:sz w:val="22"/>
                <w:szCs w:val="22"/>
              </w:rPr>
              <w:t>DMAT</w:t>
            </w:r>
          </w:p>
        </w:tc>
        <w:tc>
          <w:tcPr>
            <w:tcW w:w="808" w:type="pct"/>
            <w:tcMar>
              <w:top w:w="68" w:type="dxa"/>
              <w:left w:w="68" w:type="dxa"/>
              <w:bottom w:w="68" w:type="dxa"/>
              <w:right w:w="68" w:type="dxa"/>
            </w:tcMar>
          </w:tcPr>
          <w:p w14:paraId="1BD5942A"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6BA1CD39" w14:textId="77777777" w:rsidR="00FA6F10" w:rsidRPr="00630129" w:rsidRDefault="00FA6F10">
            <w:pPr>
              <w:rPr>
                <w:sz w:val="22"/>
                <w:szCs w:val="22"/>
              </w:rPr>
            </w:pPr>
            <w:r w:rsidRPr="00630129">
              <w:rPr>
                <w:sz w:val="22"/>
                <w:szCs w:val="22"/>
              </w:rPr>
              <w:t>De Minimis Acceptance Threshold</w:t>
            </w:r>
          </w:p>
        </w:tc>
      </w:tr>
      <w:tr w:rsidR="00FA6F10" w:rsidRPr="00630129" w14:paraId="036C8470" w14:textId="77777777">
        <w:tc>
          <w:tcPr>
            <w:tcW w:w="1566" w:type="pct"/>
            <w:tcMar>
              <w:top w:w="68" w:type="dxa"/>
              <w:left w:w="68" w:type="dxa"/>
              <w:bottom w:w="68" w:type="dxa"/>
              <w:right w:w="68" w:type="dxa"/>
            </w:tcMar>
          </w:tcPr>
          <w:p w14:paraId="09612754" w14:textId="77777777" w:rsidR="00FA6F10" w:rsidRPr="00630129" w:rsidRDefault="00FA6F10">
            <w:pPr>
              <w:rPr>
                <w:sz w:val="22"/>
                <w:szCs w:val="22"/>
              </w:rPr>
            </w:pPr>
            <w:proofErr w:type="spellStart"/>
            <w:r w:rsidRPr="00630129">
              <w:rPr>
                <w:sz w:val="22"/>
                <w:szCs w:val="22"/>
              </w:rPr>
              <w:t>DSPB</w:t>
            </w:r>
            <w:r w:rsidRPr="00630129">
              <w:rPr>
                <w:sz w:val="22"/>
                <w:szCs w:val="22"/>
                <w:vertAlign w:val="superscript"/>
              </w:rPr>
              <w:t>J</w:t>
            </w:r>
            <w:r w:rsidRPr="00630129">
              <w:rPr>
                <w:sz w:val="22"/>
                <w:szCs w:val="22"/>
                <w:vertAlign w:val="subscript"/>
              </w:rPr>
              <w:t>ij</w:t>
            </w:r>
            <w:proofErr w:type="spellEnd"/>
          </w:p>
        </w:tc>
        <w:tc>
          <w:tcPr>
            <w:tcW w:w="808" w:type="pct"/>
            <w:tcMar>
              <w:top w:w="68" w:type="dxa"/>
              <w:left w:w="68" w:type="dxa"/>
              <w:bottom w:w="68" w:type="dxa"/>
              <w:right w:w="68" w:type="dxa"/>
            </w:tcMar>
          </w:tcPr>
          <w:p w14:paraId="6F2E8566"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66C0899F" w14:textId="77777777" w:rsidR="00FA6F10" w:rsidRPr="00630129" w:rsidRDefault="00FA6F10">
            <w:pPr>
              <w:rPr>
                <w:sz w:val="22"/>
                <w:szCs w:val="22"/>
              </w:rPr>
            </w:pPr>
            <w:r w:rsidRPr="00630129">
              <w:rPr>
                <w:sz w:val="22"/>
                <w:szCs w:val="22"/>
              </w:rPr>
              <w:t>Period Deemed Standard Product Bid Volume</w:t>
            </w:r>
          </w:p>
        </w:tc>
      </w:tr>
      <w:tr w:rsidR="00FA6F10" w:rsidRPr="00630129" w14:paraId="47C4EE1E" w14:textId="77777777">
        <w:tc>
          <w:tcPr>
            <w:tcW w:w="1566" w:type="pct"/>
            <w:tcMar>
              <w:top w:w="68" w:type="dxa"/>
              <w:left w:w="68" w:type="dxa"/>
              <w:bottom w:w="68" w:type="dxa"/>
              <w:right w:w="68" w:type="dxa"/>
            </w:tcMar>
          </w:tcPr>
          <w:p w14:paraId="752170D6" w14:textId="77777777" w:rsidR="00FA6F10" w:rsidRPr="00630129" w:rsidRDefault="00FA6F10">
            <w:pPr>
              <w:rPr>
                <w:sz w:val="22"/>
                <w:szCs w:val="22"/>
              </w:rPr>
            </w:pPr>
            <w:proofErr w:type="spellStart"/>
            <w:r w:rsidRPr="00630129">
              <w:rPr>
                <w:sz w:val="22"/>
                <w:szCs w:val="22"/>
              </w:rPr>
              <w:t>DSPO</w:t>
            </w:r>
            <w:r w:rsidRPr="00630129">
              <w:rPr>
                <w:sz w:val="22"/>
                <w:szCs w:val="22"/>
                <w:vertAlign w:val="superscript"/>
              </w:rPr>
              <w:t>J</w:t>
            </w:r>
            <w:r w:rsidRPr="00630129">
              <w:rPr>
                <w:sz w:val="22"/>
                <w:szCs w:val="22"/>
                <w:vertAlign w:val="subscript"/>
              </w:rPr>
              <w:t>ij</w:t>
            </w:r>
            <w:proofErr w:type="spellEnd"/>
          </w:p>
        </w:tc>
        <w:tc>
          <w:tcPr>
            <w:tcW w:w="808" w:type="pct"/>
            <w:tcMar>
              <w:top w:w="68" w:type="dxa"/>
              <w:left w:w="68" w:type="dxa"/>
              <w:bottom w:w="68" w:type="dxa"/>
              <w:right w:w="68" w:type="dxa"/>
            </w:tcMar>
          </w:tcPr>
          <w:p w14:paraId="1EF2ABC5"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5EB458F1" w14:textId="77777777" w:rsidR="00FA6F10" w:rsidRPr="00630129" w:rsidRDefault="00FA6F10">
            <w:pPr>
              <w:rPr>
                <w:sz w:val="22"/>
                <w:szCs w:val="22"/>
              </w:rPr>
            </w:pPr>
            <w:r w:rsidRPr="00630129">
              <w:rPr>
                <w:sz w:val="22"/>
                <w:szCs w:val="22"/>
              </w:rPr>
              <w:t>Period Deemed Standard Product Offer Volume</w:t>
            </w:r>
          </w:p>
        </w:tc>
      </w:tr>
      <w:tr w:rsidR="00FA6F10" w:rsidRPr="00630129" w14:paraId="023EAE12" w14:textId="77777777">
        <w:tc>
          <w:tcPr>
            <w:tcW w:w="1566" w:type="pct"/>
            <w:tcMar>
              <w:top w:w="68" w:type="dxa"/>
              <w:left w:w="68" w:type="dxa"/>
              <w:bottom w:w="68" w:type="dxa"/>
              <w:right w:w="68" w:type="dxa"/>
            </w:tcMar>
          </w:tcPr>
          <w:p w14:paraId="68EFC332" w14:textId="77777777" w:rsidR="00FA6F10" w:rsidRPr="00630129" w:rsidRDefault="00FA6F10">
            <w:pPr>
              <w:rPr>
                <w:sz w:val="22"/>
                <w:szCs w:val="22"/>
              </w:rPr>
            </w:pPr>
            <w:proofErr w:type="spellStart"/>
            <w:r w:rsidRPr="00630129">
              <w:rPr>
                <w:sz w:val="22"/>
                <w:szCs w:val="22"/>
              </w:rPr>
              <w:t>ECA</w:t>
            </w:r>
            <w:r w:rsidRPr="00630129">
              <w:rPr>
                <w:sz w:val="22"/>
                <w:szCs w:val="22"/>
                <w:vertAlign w:val="subscript"/>
              </w:rPr>
              <w:t>pj</w:t>
            </w:r>
            <w:proofErr w:type="spellEnd"/>
          </w:p>
        </w:tc>
        <w:tc>
          <w:tcPr>
            <w:tcW w:w="808" w:type="pct"/>
            <w:tcMar>
              <w:top w:w="68" w:type="dxa"/>
              <w:left w:w="68" w:type="dxa"/>
              <w:bottom w:w="68" w:type="dxa"/>
              <w:right w:w="68" w:type="dxa"/>
            </w:tcMar>
          </w:tcPr>
          <w:p w14:paraId="51204E3F"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5F66B51B" w14:textId="77777777" w:rsidR="00FA6F10" w:rsidRPr="00630129" w:rsidRDefault="00FA6F10">
            <w:pPr>
              <w:rPr>
                <w:sz w:val="22"/>
                <w:szCs w:val="22"/>
              </w:rPr>
            </w:pPr>
            <w:r w:rsidRPr="00630129">
              <w:rPr>
                <w:sz w:val="22"/>
                <w:szCs w:val="22"/>
              </w:rPr>
              <w:t>Credit Cover Error Interest Amount</w:t>
            </w:r>
          </w:p>
        </w:tc>
      </w:tr>
      <w:tr w:rsidR="00FA6F10" w:rsidRPr="00630129" w14:paraId="75ECE80C" w14:textId="77777777">
        <w:tc>
          <w:tcPr>
            <w:tcW w:w="1566" w:type="pct"/>
            <w:tcMar>
              <w:top w:w="68" w:type="dxa"/>
              <w:left w:w="68" w:type="dxa"/>
              <w:bottom w:w="68" w:type="dxa"/>
              <w:right w:w="68" w:type="dxa"/>
            </w:tcMar>
          </w:tcPr>
          <w:p w14:paraId="39A8932D" w14:textId="77777777" w:rsidR="00FA6F10" w:rsidRPr="00630129" w:rsidRDefault="00FA6F10">
            <w:pPr>
              <w:rPr>
                <w:sz w:val="22"/>
                <w:szCs w:val="22"/>
              </w:rPr>
            </w:pPr>
            <w:proofErr w:type="spellStart"/>
            <w:r w:rsidRPr="00630129">
              <w:rPr>
                <w:sz w:val="22"/>
                <w:szCs w:val="22"/>
              </w:rPr>
              <w:t>ECB</w:t>
            </w:r>
            <w:r w:rsidRPr="00630129">
              <w:rPr>
                <w:sz w:val="22"/>
                <w:szCs w:val="22"/>
                <w:vertAlign w:val="subscript"/>
              </w:rPr>
              <w:t>pj</w:t>
            </w:r>
            <w:proofErr w:type="spellEnd"/>
          </w:p>
        </w:tc>
        <w:tc>
          <w:tcPr>
            <w:tcW w:w="808" w:type="pct"/>
            <w:tcMar>
              <w:top w:w="68" w:type="dxa"/>
              <w:left w:w="68" w:type="dxa"/>
              <w:bottom w:w="68" w:type="dxa"/>
              <w:right w:w="68" w:type="dxa"/>
            </w:tcMar>
          </w:tcPr>
          <w:p w14:paraId="1322E664"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3CED47EB" w14:textId="77777777" w:rsidR="00FA6F10" w:rsidRPr="00630129" w:rsidRDefault="00FA6F10">
            <w:pPr>
              <w:rPr>
                <w:sz w:val="22"/>
                <w:szCs w:val="22"/>
              </w:rPr>
            </w:pPr>
            <w:r w:rsidRPr="00630129">
              <w:rPr>
                <w:sz w:val="22"/>
                <w:szCs w:val="22"/>
              </w:rPr>
              <w:t>Credit Cover Error Imbalance Amount</w:t>
            </w:r>
          </w:p>
        </w:tc>
      </w:tr>
      <w:tr w:rsidR="00FA6F10" w:rsidRPr="00630129" w14:paraId="7C52BD15" w14:textId="77777777">
        <w:tc>
          <w:tcPr>
            <w:tcW w:w="1566" w:type="pct"/>
            <w:tcMar>
              <w:top w:w="68" w:type="dxa"/>
              <w:left w:w="68" w:type="dxa"/>
              <w:bottom w:w="68" w:type="dxa"/>
              <w:right w:w="68" w:type="dxa"/>
            </w:tcMar>
          </w:tcPr>
          <w:p w14:paraId="1C8F00DC" w14:textId="77777777" w:rsidR="00FA6F10" w:rsidRPr="00630129" w:rsidRDefault="00FA6F10">
            <w:pPr>
              <w:rPr>
                <w:sz w:val="22"/>
                <w:szCs w:val="22"/>
              </w:rPr>
            </w:pPr>
            <w:proofErr w:type="spellStart"/>
            <w:r w:rsidRPr="00630129">
              <w:rPr>
                <w:sz w:val="22"/>
                <w:szCs w:val="22"/>
              </w:rPr>
              <w:t>ECC</w:t>
            </w:r>
            <w:r w:rsidRPr="00630129">
              <w:rPr>
                <w:sz w:val="22"/>
                <w:szCs w:val="22"/>
                <w:vertAlign w:val="subscript"/>
              </w:rPr>
              <w:t>p</w:t>
            </w:r>
            <w:proofErr w:type="spellEnd"/>
          </w:p>
        </w:tc>
        <w:tc>
          <w:tcPr>
            <w:tcW w:w="808" w:type="pct"/>
            <w:tcMar>
              <w:top w:w="68" w:type="dxa"/>
              <w:left w:w="68" w:type="dxa"/>
              <w:bottom w:w="68" w:type="dxa"/>
              <w:right w:w="68" w:type="dxa"/>
            </w:tcMar>
          </w:tcPr>
          <w:p w14:paraId="3520ABFF"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17338B1" w14:textId="77777777" w:rsidR="00FA6F10" w:rsidRPr="00630129" w:rsidRDefault="00FA6F10">
            <w:pPr>
              <w:rPr>
                <w:sz w:val="22"/>
                <w:szCs w:val="22"/>
              </w:rPr>
            </w:pPr>
            <w:r w:rsidRPr="00630129">
              <w:rPr>
                <w:sz w:val="22"/>
                <w:szCs w:val="22"/>
              </w:rPr>
              <w:t>Energy Credit Cover</w:t>
            </w:r>
          </w:p>
        </w:tc>
      </w:tr>
      <w:tr w:rsidR="00FA6F10" w:rsidRPr="00630129" w14:paraId="13EAA672" w14:textId="77777777">
        <w:tc>
          <w:tcPr>
            <w:tcW w:w="1566" w:type="pct"/>
            <w:tcMar>
              <w:top w:w="68" w:type="dxa"/>
              <w:left w:w="68" w:type="dxa"/>
              <w:bottom w:w="68" w:type="dxa"/>
              <w:right w:w="68" w:type="dxa"/>
            </w:tcMar>
          </w:tcPr>
          <w:p w14:paraId="0D2CC638" w14:textId="77777777" w:rsidR="00FA6F10" w:rsidRPr="00630129" w:rsidRDefault="00FA6F10">
            <w:pPr>
              <w:rPr>
                <w:sz w:val="22"/>
                <w:szCs w:val="22"/>
              </w:rPr>
            </w:pPr>
            <w:proofErr w:type="spellStart"/>
            <w:r w:rsidRPr="00630129">
              <w:rPr>
                <w:sz w:val="22"/>
                <w:szCs w:val="22"/>
              </w:rPr>
              <w:t>ECQ</w:t>
            </w:r>
            <w:r w:rsidRPr="00630129">
              <w:rPr>
                <w:sz w:val="22"/>
                <w:szCs w:val="22"/>
                <w:vertAlign w:val="subscript"/>
              </w:rPr>
              <w:t>zabj</w:t>
            </w:r>
            <w:proofErr w:type="spellEnd"/>
          </w:p>
        </w:tc>
        <w:tc>
          <w:tcPr>
            <w:tcW w:w="808" w:type="pct"/>
            <w:tcMar>
              <w:top w:w="68" w:type="dxa"/>
              <w:left w:w="68" w:type="dxa"/>
              <w:bottom w:w="68" w:type="dxa"/>
              <w:right w:w="68" w:type="dxa"/>
            </w:tcMar>
          </w:tcPr>
          <w:p w14:paraId="09BD01ED"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32FFA1B0" w14:textId="77777777" w:rsidR="00FA6F10" w:rsidRPr="00630129" w:rsidRDefault="00FA6F10">
            <w:pPr>
              <w:rPr>
                <w:sz w:val="22"/>
                <w:szCs w:val="22"/>
              </w:rPr>
            </w:pPr>
            <w:r w:rsidRPr="00630129">
              <w:rPr>
                <w:sz w:val="22"/>
                <w:szCs w:val="22"/>
              </w:rPr>
              <w:t>Energy Contract Volume</w:t>
            </w:r>
          </w:p>
        </w:tc>
      </w:tr>
      <w:tr w:rsidR="00FA6F10" w:rsidRPr="00630129" w14:paraId="11E631BA" w14:textId="77777777">
        <w:tc>
          <w:tcPr>
            <w:tcW w:w="1566" w:type="pct"/>
            <w:tcMar>
              <w:top w:w="68" w:type="dxa"/>
              <w:left w:w="68" w:type="dxa"/>
              <w:bottom w:w="68" w:type="dxa"/>
              <w:right w:w="68" w:type="dxa"/>
            </w:tcMar>
          </w:tcPr>
          <w:p w14:paraId="2C001E29" w14:textId="77777777" w:rsidR="00FA6F10" w:rsidRPr="00630129" w:rsidRDefault="00FA6F10">
            <w:pPr>
              <w:rPr>
                <w:sz w:val="22"/>
                <w:szCs w:val="22"/>
                <w:vertAlign w:val="subscript"/>
              </w:rPr>
            </w:pPr>
            <w:proofErr w:type="spellStart"/>
            <w:r w:rsidRPr="00630129">
              <w:rPr>
                <w:sz w:val="22"/>
                <w:szCs w:val="22"/>
              </w:rPr>
              <w:t>EEI</w:t>
            </w:r>
            <w:r w:rsidRPr="00630129">
              <w:rPr>
                <w:sz w:val="22"/>
                <w:szCs w:val="22"/>
                <w:vertAlign w:val="subscript"/>
              </w:rPr>
              <w:t>pj</w:t>
            </w:r>
            <w:proofErr w:type="spellEnd"/>
          </w:p>
        </w:tc>
        <w:tc>
          <w:tcPr>
            <w:tcW w:w="808" w:type="pct"/>
            <w:tcMar>
              <w:top w:w="68" w:type="dxa"/>
              <w:left w:w="68" w:type="dxa"/>
              <w:bottom w:w="68" w:type="dxa"/>
              <w:right w:w="68" w:type="dxa"/>
            </w:tcMar>
          </w:tcPr>
          <w:p w14:paraId="1B91CDF5"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396F949" w14:textId="77777777" w:rsidR="00FA6F10" w:rsidRPr="00630129" w:rsidRDefault="00FA6F10">
            <w:pPr>
              <w:rPr>
                <w:sz w:val="22"/>
                <w:szCs w:val="22"/>
              </w:rPr>
            </w:pPr>
            <w:r w:rsidRPr="00630129">
              <w:rPr>
                <w:sz w:val="22"/>
                <w:szCs w:val="22"/>
              </w:rPr>
              <w:t>Erroneous Energy Indebtedness</w:t>
            </w:r>
          </w:p>
        </w:tc>
      </w:tr>
      <w:tr w:rsidR="00FA6F10" w:rsidRPr="00630129" w14:paraId="63F2EFA6" w14:textId="77777777">
        <w:tc>
          <w:tcPr>
            <w:tcW w:w="1566" w:type="pct"/>
            <w:tcMar>
              <w:top w:w="68" w:type="dxa"/>
              <w:left w:w="68" w:type="dxa"/>
              <w:bottom w:w="68" w:type="dxa"/>
              <w:right w:w="68" w:type="dxa"/>
            </w:tcMar>
          </w:tcPr>
          <w:p w14:paraId="470E55A2" w14:textId="77777777" w:rsidR="00FA6F10" w:rsidRPr="00630129" w:rsidRDefault="00FA6F10">
            <w:pPr>
              <w:rPr>
                <w:sz w:val="22"/>
                <w:szCs w:val="22"/>
              </w:rPr>
            </w:pPr>
            <w:proofErr w:type="spellStart"/>
            <w:r w:rsidRPr="00630129">
              <w:rPr>
                <w:sz w:val="22"/>
                <w:szCs w:val="22"/>
              </w:rPr>
              <w:t>EI</w:t>
            </w:r>
            <w:r w:rsidRPr="00630129">
              <w:rPr>
                <w:sz w:val="22"/>
                <w:szCs w:val="22"/>
                <w:vertAlign w:val="subscript"/>
              </w:rPr>
              <w:t>pj</w:t>
            </w:r>
            <w:proofErr w:type="spellEnd"/>
          </w:p>
        </w:tc>
        <w:tc>
          <w:tcPr>
            <w:tcW w:w="808" w:type="pct"/>
            <w:tcMar>
              <w:top w:w="68" w:type="dxa"/>
              <w:left w:w="68" w:type="dxa"/>
              <w:bottom w:w="68" w:type="dxa"/>
              <w:right w:w="68" w:type="dxa"/>
            </w:tcMar>
          </w:tcPr>
          <w:p w14:paraId="0BF7F003"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1BF537E" w14:textId="77777777" w:rsidR="00FA6F10" w:rsidRPr="00630129" w:rsidRDefault="00FA6F10">
            <w:pPr>
              <w:rPr>
                <w:sz w:val="22"/>
                <w:szCs w:val="22"/>
              </w:rPr>
            </w:pPr>
            <w:r w:rsidRPr="00630129">
              <w:rPr>
                <w:sz w:val="22"/>
                <w:szCs w:val="22"/>
              </w:rPr>
              <w:t>Energy Indebtedness</w:t>
            </w:r>
          </w:p>
        </w:tc>
      </w:tr>
      <w:tr w:rsidR="00FA6F10" w:rsidRPr="00630129" w14:paraId="4E41BDF3" w14:textId="77777777">
        <w:tc>
          <w:tcPr>
            <w:tcW w:w="1566" w:type="pct"/>
            <w:tcMar>
              <w:top w:w="68" w:type="dxa"/>
              <w:left w:w="68" w:type="dxa"/>
              <w:bottom w:w="68" w:type="dxa"/>
              <w:right w:w="68" w:type="dxa"/>
            </w:tcMar>
          </w:tcPr>
          <w:p w14:paraId="79E09C33" w14:textId="77777777" w:rsidR="00FA6F10" w:rsidRPr="00630129" w:rsidRDefault="00FA6F10">
            <w:pPr>
              <w:rPr>
                <w:sz w:val="22"/>
                <w:szCs w:val="22"/>
              </w:rPr>
            </w:pPr>
            <w:r w:rsidRPr="00630129">
              <w:rPr>
                <w:sz w:val="22"/>
                <w:szCs w:val="22"/>
              </w:rPr>
              <w:t>f</w:t>
            </w:r>
          </w:p>
        </w:tc>
        <w:tc>
          <w:tcPr>
            <w:tcW w:w="808" w:type="pct"/>
            <w:tcMar>
              <w:top w:w="68" w:type="dxa"/>
              <w:left w:w="68" w:type="dxa"/>
              <w:bottom w:w="68" w:type="dxa"/>
              <w:right w:w="68" w:type="dxa"/>
            </w:tcMar>
          </w:tcPr>
          <w:p w14:paraId="38D55C1F" w14:textId="77777777" w:rsidR="00FA6F10" w:rsidRPr="00630129" w:rsidRDefault="00FA6F10">
            <w:pPr>
              <w:rPr>
                <w:sz w:val="22"/>
                <w:szCs w:val="22"/>
              </w:rPr>
            </w:pPr>
          </w:p>
        </w:tc>
        <w:tc>
          <w:tcPr>
            <w:tcW w:w="2626" w:type="pct"/>
            <w:tcMar>
              <w:top w:w="68" w:type="dxa"/>
              <w:left w:w="68" w:type="dxa"/>
              <w:bottom w:w="68" w:type="dxa"/>
              <w:right w:w="68" w:type="dxa"/>
            </w:tcMar>
          </w:tcPr>
          <w:p w14:paraId="6C3BD405" w14:textId="77777777" w:rsidR="00FA6F10" w:rsidRPr="00630129" w:rsidRDefault="00FA6F10">
            <w:pPr>
              <w:rPr>
                <w:sz w:val="22"/>
                <w:szCs w:val="22"/>
              </w:rPr>
            </w:pPr>
            <w:r w:rsidRPr="00630129">
              <w:rPr>
                <w:sz w:val="22"/>
                <w:szCs w:val="22"/>
              </w:rPr>
              <w:t xml:space="preserve">Point Value Identification Number </w:t>
            </w:r>
          </w:p>
        </w:tc>
      </w:tr>
      <w:tr w:rsidR="00FA6F10" w:rsidRPr="00630129" w14:paraId="62B7D54C" w14:textId="77777777">
        <w:tc>
          <w:tcPr>
            <w:tcW w:w="1566" w:type="pct"/>
            <w:tcMar>
              <w:top w:w="68" w:type="dxa"/>
              <w:left w:w="68" w:type="dxa"/>
              <w:bottom w:w="68" w:type="dxa"/>
              <w:right w:w="68" w:type="dxa"/>
            </w:tcMar>
          </w:tcPr>
          <w:p w14:paraId="4B20F01D" w14:textId="77777777" w:rsidR="00FA6F10" w:rsidRPr="00630129" w:rsidRDefault="00FA6F10">
            <w:pPr>
              <w:rPr>
                <w:sz w:val="22"/>
                <w:szCs w:val="22"/>
              </w:rPr>
            </w:pPr>
            <w:proofErr w:type="spellStart"/>
            <w:r w:rsidRPr="00630129">
              <w:rPr>
                <w:sz w:val="22"/>
                <w:szCs w:val="22"/>
                <w:vertAlign w:val="superscript"/>
              </w:rPr>
              <w:t>f</w:t>
            </w:r>
            <w:r w:rsidRPr="00630129">
              <w:rPr>
                <w:sz w:val="22"/>
                <w:szCs w:val="22"/>
              </w:rPr>
              <w:t>FPN</w:t>
            </w:r>
            <w:r w:rsidRPr="00630129">
              <w:rPr>
                <w:sz w:val="22"/>
                <w:szCs w:val="22"/>
                <w:vertAlign w:val="subscript"/>
              </w:rPr>
              <w:t>ijt</w:t>
            </w:r>
            <w:proofErr w:type="spellEnd"/>
          </w:p>
        </w:tc>
        <w:tc>
          <w:tcPr>
            <w:tcW w:w="808" w:type="pct"/>
            <w:tcMar>
              <w:top w:w="68" w:type="dxa"/>
              <w:left w:w="68" w:type="dxa"/>
              <w:bottom w:w="68" w:type="dxa"/>
              <w:right w:w="68" w:type="dxa"/>
            </w:tcMar>
          </w:tcPr>
          <w:p w14:paraId="49A86466"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5C206B0E" w14:textId="77777777" w:rsidR="00FA6F10" w:rsidRPr="00630129" w:rsidRDefault="00FA6F10">
            <w:pPr>
              <w:rPr>
                <w:sz w:val="22"/>
                <w:szCs w:val="22"/>
              </w:rPr>
            </w:pPr>
            <w:r w:rsidRPr="00630129">
              <w:rPr>
                <w:sz w:val="22"/>
                <w:szCs w:val="22"/>
              </w:rPr>
              <w:t>Point FPN</w:t>
            </w:r>
          </w:p>
        </w:tc>
      </w:tr>
      <w:tr w:rsidR="00FA6F10" w:rsidRPr="00630129" w14:paraId="4442E7CA" w14:textId="77777777">
        <w:tc>
          <w:tcPr>
            <w:tcW w:w="1566" w:type="pct"/>
            <w:tcMar>
              <w:top w:w="68" w:type="dxa"/>
              <w:left w:w="68" w:type="dxa"/>
              <w:bottom w:w="68" w:type="dxa"/>
              <w:right w:w="68" w:type="dxa"/>
            </w:tcMar>
          </w:tcPr>
          <w:p w14:paraId="417E9CF3" w14:textId="77777777" w:rsidR="00FA6F10" w:rsidRPr="00630129" w:rsidRDefault="00FA6F10">
            <w:pPr>
              <w:rPr>
                <w:sz w:val="22"/>
                <w:szCs w:val="22"/>
                <w:vertAlign w:val="subscript"/>
              </w:rPr>
            </w:pPr>
            <w:proofErr w:type="spellStart"/>
            <w:r w:rsidRPr="00630129">
              <w:rPr>
                <w:sz w:val="22"/>
                <w:szCs w:val="22"/>
              </w:rPr>
              <w:t>FLAG</w:t>
            </w:r>
            <w:r w:rsidRPr="00630129">
              <w:rPr>
                <w:sz w:val="22"/>
                <w:szCs w:val="22"/>
                <w:vertAlign w:val="subscript"/>
              </w:rPr>
              <w:t>pj</w:t>
            </w:r>
            <w:proofErr w:type="spellEnd"/>
          </w:p>
        </w:tc>
        <w:tc>
          <w:tcPr>
            <w:tcW w:w="808" w:type="pct"/>
            <w:tcMar>
              <w:top w:w="68" w:type="dxa"/>
              <w:left w:w="68" w:type="dxa"/>
              <w:bottom w:w="68" w:type="dxa"/>
              <w:right w:w="68" w:type="dxa"/>
            </w:tcMar>
          </w:tcPr>
          <w:p w14:paraId="3157F609" w14:textId="77777777" w:rsidR="00FA6F10" w:rsidRPr="00630129" w:rsidRDefault="00FA6F10">
            <w:pPr>
              <w:rPr>
                <w:sz w:val="22"/>
                <w:szCs w:val="22"/>
              </w:rPr>
            </w:pPr>
          </w:p>
        </w:tc>
        <w:tc>
          <w:tcPr>
            <w:tcW w:w="2626" w:type="pct"/>
            <w:tcMar>
              <w:top w:w="68" w:type="dxa"/>
              <w:left w:w="68" w:type="dxa"/>
              <w:bottom w:w="68" w:type="dxa"/>
              <w:right w:w="68" w:type="dxa"/>
            </w:tcMar>
          </w:tcPr>
          <w:p w14:paraId="1686965B" w14:textId="77777777" w:rsidR="00FA6F10" w:rsidRPr="00630129" w:rsidRDefault="00FA6F10">
            <w:pPr>
              <w:rPr>
                <w:sz w:val="22"/>
                <w:szCs w:val="22"/>
              </w:rPr>
            </w:pPr>
            <w:r w:rsidRPr="00630129">
              <w:rPr>
                <w:sz w:val="22"/>
                <w:szCs w:val="22"/>
              </w:rPr>
              <w:t>Credit Cover Error Erroneous Rejection Flag</w:t>
            </w:r>
          </w:p>
        </w:tc>
      </w:tr>
      <w:tr w:rsidR="00FA6F10" w:rsidRPr="00630129" w14:paraId="137F2761" w14:textId="77777777">
        <w:tc>
          <w:tcPr>
            <w:tcW w:w="1566" w:type="pct"/>
            <w:tcMar>
              <w:top w:w="68" w:type="dxa"/>
              <w:left w:w="68" w:type="dxa"/>
              <w:bottom w:w="68" w:type="dxa"/>
              <w:right w:w="68" w:type="dxa"/>
            </w:tcMar>
          </w:tcPr>
          <w:p w14:paraId="55C31C34" w14:textId="77777777" w:rsidR="00FA6F10" w:rsidRPr="00630129" w:rsidRDefault="00FA6F10">
            <w:pPr>
              <w:rPr>
                <w:sz w:val="22"/>
                <w:szCs w:val="22"/>
              </w:rPr>
            </w:pPr>
            <w:proofErr w:type="spellStart"/>
            <w:r w:rsidRPr="00630129">
              <w:rPr>
                <w:sz w:val="22"/>
                <w:szCs w:val="22"/>
              </w:rPr>
              <w:t>FPN</w:t>
            </w:r>
            <w:r w:rsidRPr="00630129">
              <w:rPr>
                <w:sz w:val="22"/>
                <w:szCs w:val="22"/>
                <w:vertAlign w:val="subscript"/>
              </w:rPr>
              <w:t>ij</w:t>
            </w:r>
            <w:proofErr w:type="spellEnd"/>
          </w:p>
        </w:tc>
        <w:tc>
          <w:tcPr>
            <w:tcW w:w="808" w:type="pct"/>
            <w:tcMar>
              <w:top w:w="68" w:type="dxa"/>
              <w:left w:w="68" w:type="dxa"/>
              <w:bottom w:w="68" w:type="dxa"/>
              <w:right w:w="68" w:type="dxa"/>
            </w:tcMar>
          </w:tcPr>
          <w:p w14:paraId="391DDF57"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A0DEE63" w14:textId="77777777" w:rsidR="00FA6F10" w:rsidRPr="00630129" w:rsidRDefault="00FA6F10">
            <w:pPr>
              <w:rPr>
                <w:sz w:val="22"/>
                <w:szCs w:val="22"/>
              </w:rPr>
            </w:pPr>
            <w:r w:rsidRPr="00630129">
              <w:rPr>
                <w:sz w:val="22"/>
                <w:szCs w:val="22"/>
              </w:rPr>
              <w:t>Period FPN</w:t>
            </w:r>
          </w:p>
        </w:tc>
      </w:tr>
      <w:tr w:rsidR="00FA6F10" w:rsidRPr="00630129" w14:paraId="2F49B8A1" w14:textId="77777777">
        <w:tc>
          <w:tcPr>
            <w:tcW w:w="1566" w:type="pct"/>
            <w:tcMar>
              <w:top w:w="68" w:type="dxa"/>
              <w:left w:w="68" w:type="dxa"/>
              <w:bottom w:w="68" w:type="dxa"/>
              <w:right w:w="68" w:type="dxa"/>
            </w:tcMar>
          </w:tcPr>
          <w:p w14:paraId="10167ECC" w14:textId="77777777" w:rsidR="00FA6F10" w:rsidRPr="00630129" w:rsidRDefault="00FA6F10">
            <w:pPr>
              <w:rPr>
                <w:sz w:val="22"/>
                <w:szCs w:val="22"/>
              </w:rPr>
            </w:pPr>
            <w:proofErr w:type="spellStart"/>
            <w:r w:rsidRPr="00630129">
              <w:rPr>
                <w:sz w:val="22"/>
                <w:szCs w:val="22"/>
              </w:rPr>
              <w:t>FPN</w:t>
            </w:r>
            <w:r w:rsidRPr="00630129">
              <w:rPr>
                <w:sz w:val="22"/>
                <w:szCs w:val="22"/>
                <w:vertAlign w:val="subscript"/>
              </w:rPr>
              <w:t>ij</w:t>
            </w:r>
            <w:proofErr w:type="spellEnd"/>
            <w:r w:rsidRPr="00630129">
              <w:rPr>
                <w:sz w:val="22"/>
                <w:szCs w:val="22"/>
              </w:rPr>
              <w:t>(t)</w:t>
            </w:r>
          </w:p>
        </w:tc>
        <w:tc>
          <w:tcPr>
            <w:tcW w:w="808" w:type="pct"/>
            <w:tcMar>
              <w:top w:w="68" w:type="dxa"/>
              <w:left w:w="68" w:type="dxa"/>
              <w:bottom w:w="68" w:type="dxa"/>
              <w:right w:w="68" w:type="dxa"/>
            </w:tcMar>
          </w:tcPr>
          <w:p w14:paraId="4A0B0152"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233E7CE2" w14:textId="77777777" w:rsidR="00FA6F10" w:rsidRPr="00630129" w:rsidRDefault="00FA6F10">
            <w:pPr>
              <w:rPr>
                <w:sz w:val="22"/>
                <w:szCs w:val="22"/>
              </w:rPr>
            </w:pPr>
            <w:r w:rsidRPr="00630129">
              <w:rPr>
                <w:sz w:val="22"/>
                <w:szCs w:val="22"/>
              </w:rPr>
              <w:t>FPN</w:t>
            </w:r>
          </w:p>
        </w:tc>
      </w:tr>
      <w:tr w:rsidR="00FA6F10" w:rsidRPr="00630129" w14:paraId="0F2434BD" w14:textId="77777777">
        <w:tc>
          <w:tcPr>
            <w:tcW w:w="1566" w:type="pct"/>
            <w:tcMar>
              <w:top w:w="68" w:type="dxa"/>
              <w:left w:w="68" w:type="dxa"/>
              <w:bottom w:w="68" w:type="dxa"/>
              <w:right w:w="68" w:type="dxa"/>
            </w:tcMar>
          </w:tcPr>
          <w:p w14:paraId="3A3CB9C0" w14:textId="77777777" w:rsidR="00FA6F10" w:rsidRPr="00630129" w:rsidRDefault="00FA6F10">
            <w:pPr>
              <w:rPr>
                <w:sz w:val="22"/>
                <w:szCs w:val="22"/>
              </w:rPr>
            </w:pPr>
            <w:proofErr w:type="spellStart"/>
            <w:r w:rsidRPr="00630129">
              <w:rPr>
                <w:sz w:val="22"/>
                <w:szCs w:val="22"/>
                <w:vertAlign w:val="superscript"/>
              </w:rPr>
              <w:t>f</w:t>
            </w:r>
            <w:r w:rsidRPr="00630129">
              <w:rPr>
                <w:sz w:val="22"/>
                <w:szCs w:val="22"/>
              </w:rPr>
              <w:t>qBO</w:t>
            </w:r>
            <w:r w:rsidRPr="00630129">
              <w:rPr>
                <w:sz w:val="22"/>
                <w:szCs w:val="22"/>
                <w:vertAlign w:val="superscript"/>
              </w:rPr>
              <w:t>n</w:t>
            </w:r>
            <w:r w:rsidRPr="00630129">
              <w:rPr>
                <w:sz w:val="22"/>
                <w:szCs w:val="22"/>
                <w:vertAlign w:val="subscript"/>
              </w:rPr>
              <w:t>ijt</w:t>
            </w:r>
            <w:proofErr w:type="spellEnd"/>
          </w:p>
        </w:tc>
        <w:tc>
          <w:tcPr>
            <w:tcW w:w="808" w:type="pct"/>
            <w:tcMar>
              <w:top w:w="68" w:type="dxa"/>
              <w:left w:w="68" w:type="dxa"/>
              <w:bottom w:w="68" w:type="dxa"/>
              <w:right w:w="68" w:type="dxa"/>
            </w:tcMar>
          </w:tcPr>
          <w:p w14:paraId="46AEDC9B"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3D5208B1" w14:textId="77777777" w:rsidR="00FA6F10" w:rsidRPr="00630129" w:rsidRDefault="00FA6F10">
            <w:pPr>
              <w:rPr>
                <w:sz w:val="22"/>
                <w:szCs w:val="22"/>
              </w:rPr>
            </w:pPr>
            <w:r w:rsidRPr="00630129">
              <w:rPr>
                <w:sz w:val="22"/>
                <w:szCs w:val="22"/>
              </w:rPr>
              <w:t>Point Bid-Offer Volume</w:t>
            </w:r>
          </w:p>
        </w:tc>
      </w:tr>
      <w:tr w:rsidR="00FA6F10" w:rsidRPr="00630129" w14:paraId="57C58B55" w14:textId="77777777">
        <w:tc>
          <w:tcPr>
            <w:tcW w:w="1566" w:type="pct"/>
            <w:tcMar>
              <w:top w:w="68" w:type="dxa"/>
              <w:left w:w="68" w:type="dxa"/>
              <w:bottom w:w="68" w:type="dxa"/>
              <w:right w:w="68" w:type="dxa"/>
            </w:tcMar>
          </w:tcPr>
          <w:p w14:paraId="7B07E03E" w14:textId="77777777" w:rsidR="00FA6F10" w:rsidRPr="00630129" w:rsidRDefault="00FA6F10">
            <w:pPr>
              <w:rPr>
                <w:sz w:val="22"/>
                <w:szCs w:val="22"/>
              </w:rPr>
            </w:pPr>
            <w:proofErr w:type="spellStart"/>
            <w:r w:rsidRPr="00630129">
              <w:rPr>
                <w:sz w:val="22"/>
                <w:szCs w:val="22"/>
              </w:rPr>
              <w:t>FSG</w:t>
            </w:r>
            <w:r w:rsidRPr="00630129">
              <w:rPr>
                <w:sz w:val="22"/>
                <w:szCs w:val="22"/>
                <w:vertAlign w:val="subscript"/>
              </w:rPr>
              <w:t>pm</w:t>
            </w:r>
            <w:proofErr w:type="spellEnd"/>
          </w:p>
        </w:tc>
        <w:tc>
          <w:tcPr>
            <w:tcW w:w="808" w:type="pct"/>
            <w:tcMar>
              <w:top w:w="68" w:type="dxa"/>
              <w:left w:w="68" w:type="dxa"/>
              <w:bottom w:w="68" w:type="dxa"/>
              <w:right w:w="68" w:type="dxa"/>
            </w:tcMar>
          </w:tcPr>
          <w:p w14:paraId="7832A374" w14:textId="77777777" w:rsidR="00FA6F10" w:rsidRPr="00630129" w:rsidRDefault="00FA6F10">
            <w:pPr>
              <w:rPr>
                <w:sz w:val="22"/>
                <w:szCs w:val="22"/>
                <w:vertAlign w:val="subscript"/>
              </w:rPr>
            </w:pPr>
          </w:p>
        </w:tc>
        <w:tc>
          <w:tcPr>
            <w:tcW w:w="2626" w:type="pct"/>
            <w:tcMar>
              <w:top w:w="68" w:type="dxa"/>
              <w:left w:w="68" w:type="dxa"/>
              <w:bottom w:w="68" w:type="dxa"/>
              <w:right w:w="68" w:type="dxa"/>
            </w:tcMar>
          </w:tcPr>
          <w:p w14:paraId="49B59FF0" w14:textId="77777777" w:rsidR="00FA6F10" w:rsidRPr="00630129" w:rsidRDefault="00FA6F10">
            <w:pPr>
              <w:rPr>
                <w:sz w:val="22"/>
                <w:szCs w:val="22"/>
              </w:rPr>
            </w:pPr>
            <w:r w:rsidRPr="00630129">
              <w:rPr>
                <w:sz w:val="22"/>
                <w:szCs w:val="22"/>
              </w:rPr>
              <w:t>General Funding Share</w:t>
            </w:r>
          </w:p>
        </w:tc>
      </w:tr>
      <w:tr w:rsidR="00FA6F10" w:rsidRPr="00630129" w14:paraId="72AF629B" w14:textId="77777777">
        <w:tc>
          <w:tcPr>
            <w:tcW w:w="1566" w:type="pct"/>
            <w:tcMar>
              <w:top w:w="68" w:type="dxa"/>
              <w:left w:w="68" w:type="dxa"/>
              <w:bottom w:w="68" w:type="dxa"/>
              <w:right w:w="68" w:type="dxa"/>
            </w:tcMar>
          </w:tcPr>
          <w:p w14:paraId="507F3137" w14:textId="77777777" w:rsidR="00FA6F10" w:rsidRPr="00630129" w:rsidRDefault="00FA6F10">
            <w:pPr>
              <w:rPr>
                <w:sz w:val="22"/>
                <w:szCs w:val="22"/>
                <w:vertAlign w:val="superscript"/>
              </w:rPr>
            </w:pPr>
            <w:proofErr w:type="spellStart"/>
            <w:r w:rsidRPr="00630129">
              <w:rPr>
                <w:sz w:val="22"/>
                <w:szCs w:val="22"/>
              </w:rPr>
              <w:lastRenderedPageBreak/>
              <w:t>FSM</w:t>
            </w:r>
            <w:r w:rsidRPr="00630129">
              <w:rPr>
                <w:sz w:val="22"/>
                <w:szCs w:val="22"/>
                <w:vertAlign w:val="subscript"/>
              </w:rPr>
              <w:t>pm</w:t>
            </w:r>
            <w:proofErr w:type="spellEnd"/>
          </w:p>
        </w:tc>
        <w:tc>
          <w:tcPr>
            <w:tcW w:w="808" w:type="pct"/>
            <w:tcMar>
              <w:top w:w="68" w:type="dxa"/>
              <w:left w:w="68" w:type="dxa"/>
              <w:bottom w:w="68" w:type="dxa"/>
              <w:right w:w="68" w:type="dxa"/>
            </w:tcMar>
          </w:tcPr>
          <w:p w14:paraId="3A8FF60E" w14:textId="77777777" w:rsidR="00FA6F10" w:rsidRPr="00630129" w:rsidRDefault="00FA6F10">
            <w:pPr>
              <w:rPr>
                <w:sz w:val="22"/>
                <w:szCs w:val="22"/>
              </w:rPr>
            </w:pPr>
          </w:p>
        </w:tc>
        <w:tc>
          <w:tcPr>
            <w:tcW w:w="2626" w:type="pct"/>
            <w:tcMar>
              <w:top w:w="68" w:type="dxa"/>
              <w:left w:w="68" w:type="dxa"/>
              <w:bottom w:w="68" w:type="dxa"/>
              <w:right w:w="68" w:type="dxa"/>
            </w:tcMar>
          </w:tcPr>
          <w:p w14:paraId="3FDF4037" w14:textId="77777777" w:rsidR="00FA6F10" w:rsidRPr="00630129" w:rsidRDefault="00FA6F10">
            <w:pPr>
              <w:rPr>
                <w:sz w:val="22"/>
                <w:szCs w:val="22"/>
              </w:rPr>
            </w:pPr>
            <w:r w:rsidRPr="00630129">
              <w:rPr>
                <w:sz w:val="22"/>
                <w:szCs w:val="22"/>
              </w:rPr>
              <w:t>Main Funding Share</w:t>
            </w:r>
          </w:p>
        </w:tc>
      </w:tr>
      <w:tr w:rsidR="00FA6F10" w:rsidRPr="00630129" w14:paraId="78167835" w14:textId="77777777">
        <w:tc>
          <w:tcPr>
            <w:tcW w:w="1566" w:type="pct"/>
            <w:tcMar>
              <w:top w:w="68" w:type="dxa"/>
              <w:left w:w="68" w:type="dxa"/>
              <w:bottom w:w="68" w:type="dxa"/>
              <w:right w:w="68" w:type="dxa"/>
            </w:tcMar>
          </w:tcPr>
          <w:p w14:paraId="4D66D256" w14:textId="77777777" w:rsidR="00FA6F10" w:rsidRPr="00630129" w:rsidRDefault="00FA6F10">
            <w:pPr>
              <w:rPr>
                <w:sz w:val="22"/>
                <w:szCs w:val="22"/>
                <w:vertAlign w:val="subscript"/>
              </w:rPr>
            </w:pPr>
            <w:proofErr w:type="spellStart"/>
            <w:r w:rsidRPr="00630129">
              <w:rPr>
                <w:sz w:val="22"/>
                <w:szCs w:val="22"/>
              </w:rPr>
              <w:t>FSPS</w:t>
            </w:r>
            <w:r w:rsidRPr="00630129">
              <w:rPr>
                <w:sz w:val="22"/>
                <w:szCs w:val="22"/>
                <w:vertAlign w:val="subscript"/>
              </w:rPr>
              <w:t>pm</w:t>
            </w:r>
            <w:proofErr w:type="spellEnd"/>
          </w:p>
        </w:tc>
        <w:tc>
          <w:tcPr>
            <w:tcW w:w="808" w:type="pct"/>
            <w:tcMar>
              <w:top w:w="68" w:type="dxa"/>
              <w:left w:w="68" w:type="dxa"/>
              <w:bottom w:w="68" w:type="dxa"/>
              <w:right w:w="68" w:type="dxa"/>
            </w:tcMar>
          </w:tcPr>
          <w:p w14:paraId="7CA01B29" w14:textId="77777777" w:rsidR="00FA6F10" w:rsidRPr="00630129" w:rsidRDefault="00FA6F10">
            <w:pPr>
              <w:rPr>
                <w:sz w:val="22"/>
                <w:szCs w:val="22"/>
              </w:rPr>
            </w:pPr>
          </w:p>
        </w:tc>
        <w:tc>
          <w:tcPr>
            <w:tcW w:w="2626" w:type="pct"/>
            <w:tcMar>
              <w:top w:w="68" w:type="dxa"/>
              <w:left w:w="68" w:type="dxa"/>
              <w:bottom w:w="68" w:type="dxa"/>
              <w:right w:w="68" w:type="dxa"/>
            </w:tcMar>
          </w:tcPr>
          <w:p w14:paraId="253EDFA5" w14:textId="77777777" w:rsidR="00FA6F10" w:rsidRPr="00630129" w:rsidRDefault="00FA6F10">
            <w:pPr>
              <w:rPr>
                <w:sz w:val="22"/>
                <w:szCs w:val="22"/>
              </w:rPr>
            </w:pPr>
            <w:r w:rsidRPr="00630129">
              <w:rPr>
                <w:sz w:val="22"/>
                <w:szCs w:val="22"/>
              </w:rPr>
              <w:t>SVA (Production) Funding Share</w:t>
            </w:r>
          </w:p>
        </w:tc>
      </w:tr>
      <w:tr w:rsidR="00FA6F10" w:rsidRPr="00630129" w14:paraId="0AA5755D" w14:textId="77777777">
        <w:tc>
          <w:tcPr>
            <w:tcW w:w="1566" w:type="pct"/>
            <w:tcMar>
              <w:top w:w="68" w:type="dxa"/>
              <w:left w:w="68" w:type="dxa"/>
              <w:bottom w:w="68" w:type="dxa"/>
              <w:right w:w="68" w:type="dxa"/>
            </w:tcMar>
          </w:tcPr>
          <w:p w14:paraId="110E7D19" w14:textId="77777777" w:rsidR="00FA6F10" w:rsidRPr="00630129" w:rsidRDefault="00FA6F10">
            <w:pPr>
              <w:rPr>
                <w:sz w:val="22"/>
                <w:szCs w:val="22"/>
              </w:rPr>
            </w:pPr>
            <w:proofErr w:type="spellStart"/>
            <w:r w:rsidRPr="00630129">
              <w:rPr>
                <w:sz w:val="22"/>
                <w:szCs w:val="22"/>
              </w:rPr>
              <w:t>i</w:t>
            </w:r>
            <w:proofErr w:type="spellEnd"/>
          </w:p>
        </w:tc>
        <w:tc>
          <w:tcPr>
            <w:tcW w:w="808" w:type="pct"/>
            <w:tcMar>
              <w:top w:w="68" w:type="dxa"/>
              <w:left w:w="68" w:type="dxa"/>
              <w:bottom w:w="68" w:type="dxa"/>
              <w:right w:w="68" w:type="dxa"/>
            </w:tcMar>
          </w:tcPr>
          <w:p w14:paraId="73E1D4A9" w14:textId="77777777" w:rsidR="00FA6F10" w:rsidRPr="00630129" w:rsidRDefault="00FA6F10">
            <w:pPr>
              <w:rPr>
                <w:sz w:val="22"/>
                <w:szCs w:val="22"/>
              </w:rPr>
            </w:pPr>
          </w:p>
        </w:tc>
        <w:tc>
          <w:tcPr>
            <w:tcW w:w="2626" w:type="pct"/>
            <w:tcMar>
              <w:top w:w="68" w:type="dxa"/>
              <w:left w:w="68" w:type="dxa"/>
              <w:bottom w:w="68" w:type="dxa"/>
              <w:right w:w="68" w:type="dxa"/>
            </w:tcMar>
          </w:tcPr>
          <w:p w14:paraId="39A85A85" w14:textId="77777777" w:rsidR="00FA6F10" w:rsidRPr="00630129" w:rsidRDefault="00FA6F10">
            <w:pPr>
              <w:rPr>
                <w:sz w:val="22"/>
                <w:szCs w:val="22"/>
              </w:rPr>
            </w:pPr>
            <w:r w:rsidRPr="00630129">
              <w:rPr>
                <w:sz w:val="22"/>
                <w:szCs w:val="22"/>
              </w:rPr>
              <w:t>BM Unit Identification Number</w:t>
            </w:r>
          </w:p>
        </w:tc>
      </w:tr>
      <w:tr w:rsidR="00FA6F10" w:rsidRPr="00630129" w14:paraId="565D49BD" w14:textId="77777777">
        <w:tc>
          <w:tcPr>
            <w:tcW w:w="1566" w:type="pct"/>
            <w:tcMar>
              <w:top w:w="68" w:type="dxa"/>
              <w:left w:w="68" w:type="dxa"/>
              <w:bottom w:w="68" w:type="dxa"/>
              <w:right w:w="68" w:type="dxa"/>
            </w:tcMar>
          </w:tcPr>
          <w:p w14:paraId="08942A7C" w14:textId="77777777" w:rsidR="00FA6F10" w:rsidRPr="00630129" w:rsidRDefault="00FA6F10">
            <w:pPr>
              <w:rPr>
                <w:sz w:val="22"/>
                <w:szCs w:val="22"/>
              </w:rPr>
            </w:pPr>
            <w:proofErr w:type="spellStart"/>
            <w:r w:rsidRPr="00630129">
              <w:rPr>
                <w:sz w:val="22"/>
                <w:szCs w:val="22"/>
              </w:rPr>
              <w:t>IBD</w:t>
            </w:r>
            <w:r w:rsidRPr="00630129">
              <w:rPr>
                <w:sz w:val="22"/>
                <w:szCs w:val="22"/>
                <w:vertAlign w:val="subscript"/>
              </w:rPr>
              <w:t>ij</w:t>
            </w:r>
            <w:proofErr w:type="spellEnd"/>
          </w:p>
        </w:tc>
        <w:tc>
          <w:tcPr>
            <w:tcW w:w="808" w:type="pct"/>
            <w:tcMar>
              <w:top w:w="68" w:type="dxa"/>
              <w:left w:w="68" w:type="dxa"/>
              <w:bottom w:w="68" w:type="dxa"/>
              <w:right w:w="68" w:type="dxa"/>
            </w:tcMar>
          </w:tcPr>
          <w:p w14:paraId="372E8547"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0EBBD168" w14:textId="77777777" w:rsidR="00FA6F10" w:rsidRPr="00630129" w:rsidRDefault="00FA6F10">
            <w:pPr>
              <w:rPr>
                <w:sz w:val="22"/>
                <w:szCs w:val="22"/>
              </w:rPr>
            </w:pPr>
            <w:r w:rsidRPr="00630129">
              <w:rPr>
                <w:sz w:val="22"/>
                <w:szCs w:val="22"/>
              </w:rPr>
              <w:t>Replacement Reserve Instructed Bid Deviation Volume</w:t>
            </w:r>
          </w:p>
        </w:tc>
      </w:tr>
      <w:tr w:rsidR="00FA6F10" w:rsidRPr="00630129" w14:paraId="77DCE484" w14:textId="77777777">
        <w:tc>
          <w:tcPr>
            <w:tcW w:w="1566" w:type="pct"/>
            <w:tcMar>
              <w:top w:w="68" w:type="dxa"/>
              <w:left w:w="68" w:type="dxa"/>
              <w:bottom w:w="68" w:type="dxa"/>
              <w:right w:w="68" w:type="dxa"/>
            </w:tcMar>
          </w:tcPr>
          <w:p w14:paraId="53E2B206" w14:textId="77777777" w:rsidR="00FA6F10" w:rsidRPr="00630129" w:rsidRDefault="00FA6F10">
            <w:pPr>
              <w:rPr>
                <w:sz w:val="22"/>
                <w:szCs w:val="22"/>
              </w:rPr>
            </w:pPr>
            <w:proofErr w:type="spellStart"/>
            <w:r w:rsidRPr="00630129">
              <w:rPr>
                <w:sz w:val="22"/>
                <w:szCs w:val="22"/>
              </w:rPr>
              <w:t>ICB</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3AD46C44"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024A4F9D" w14:textId="77777777" w:rsidR="00FA6F10" w:rsidRPr="00630129" w:rsidRDefault="00FA6F10">
            <w:pPr>
              <w:rPr>
                <w:sz w:val="22"/>
                <w:szCs w:val="22"/>
              </w:rPr>
            </w:pPr>
            <w:r w:rsidRPr="00630129">
              <w:rPr>
                <w:sz w:val="22"/>
                <w:szCs w:val="22"/>
              </w:rPr>
              <w:t xml:space="preserve">Indicative Period Balancing Mechanism Bid </w:t>
            </w:r>
            <w:proofErr w:type="spellStart"/>
            <w:r w:rsidRPr="00630129">
              <w:rPr>
                <w:sz w:val="22"/>
                <w:szCs w:val="22"/>
              </w:rPr>
              <w:t>Cashflow</w:t>
            </w:r>
            <w:proofErr w:type="spellEnd"/>
          </w:p>
        </w:tc>
      </w:tr>
      <w:tr w:rsidR="00FA6F10" w:rsidRPr="00630129" w14:paraId="2A773D90" w14:textId="77777777">
        <w:tc>
          <w:tcPr>
            <w:tcW w:w="1566" w:type="pct"/>
            <w:tcMar>
              <w:top w:w="68" w:type="dxa"/>
              <w:left w:w="68" w:type="dxa"/>
              <w:bottom w:w="68" w:type="dxa"/>
              <w:right w:w="68" w:type="dxa"/>
            </w:tcMar>
          </w:tcPr>
          <w:p w14:paraId="70379BC8" w14:textId="77777777" w:rsidR="00FA6F10" w:rsidRPr="00630129" w:rsidRDefault="00FA6F10">
            <w:pPr>
              <w:rPr>
                <w:sz w:val="22"/>
                <w:szCs w:val="22"/>
              </w:rPr>
            </w:pPr>
            <w:proofErr w:type="spellStart"/>
            <w:r w:rsidRPr="00630129">
              <w:rPr>
                <w:sz w:val="22"/>
                <w:szCs w:val="22"/>
              </w:rPr>
              <w:t>ICO</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206033EE"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25B4F712" w14:textId="77777777" w:rsidR="00FA6F10" w:rsidRPr="00630129" w:rsidRDefault="00FA6F10">
            <w:pPr>
              <w:rPr>
                <w:sz w:val="22"/>
                <w:szCs w:val="22"/>
              </w:rPr>
            </w:pPr>
            <w:r w:rsidRPr="00630129">
              <w:rPr>
                <w:sz w:val="22"/>
                <w:szCs w:val="22"/>
              </w:rPr>
              <w:t xml:space="preserve">Indicative Period Balancing Mechanism Offer </w:t>
            </w:r>
            <w:proofErr w:type="spellStart"/>
            <w:r w:rsidRPr="00630129">
              <w:rPr>
                <w:sz w:val="22"/>
                <w:szCs w:val="22"/>
              </w:rPr>
              <w:t>Cashflow</w:t>
            </w:r>
            <w:proofErr w:type="spellEnd"/>
          </w:p>
        </w:tc>
      </w:tr>
      <w:tr w:rsidR="00FA6F10" w:rsidRPr="00630129" w14:paraId="19BF66A1" w14:textId="77777777">
        <w:tc>
          <w:tcPr>
            <w:tcW w:w="1566" w:type="pct"/>
            <w:tcMar>
              <w:top w:w="68" w:type="dxa"/>
              <w:left w:w="68" w:type="dxa"/>
              <w:bottom w:w="68" w:type="dxa"/>
              <w:right w:w="68" w:type="dxa"/>
            </w:tcMar>
          </w:tcPr>
          <w:p w14:paraId="3B8196DA" w14:textId="77777777" w:rsidR="00FA6F10" w:rsidRPr="00630129" w:rsidRDefault="00FA6F10">
            <w:pPr>
              <w:rPr>
                <w:sz w:val="22"/>
                <w:szCs w:val="22"/>
                <w:vertAlign w:val="subscript"/>
              </w:rPr>
            </w:pPr>
            <w:proofErr w:type="spellStart"/>
            <w:r w:rsidRPr="00630129">
              <w:rPr>
                <w:sz w:val="22"/>
                <w:szCs w:val="22"/>
              </w:rPr>
              <w:t>IECC</w:t>
            </w:r>
            <w:r w:rsidRPr="00630129">
              <w:rPr>
                <w:sz w:val="22"/>
                <w:szCs w:val="22"/>
                <w:vertAlign w:val="subscript"/>
              </w:rPr>
              <w:t>p</w:t>
            </w:r>
            <w:proofErr w:type="spellEnd"/>
          </w:p>
        </w:tc>
        <w:tc>
          <w:tcPr>
            <w:tcW w:w="808" w:type="pct"/>
            <w:tcMar>
              <w:top w:w="68" w:type="dxa"/>
              <w:left w:w="68" w:type="dxa"/>
              <w:bottom w:w="68" w:type="dxa"/>
              <w:right w:w="68" w:type="dxa"/>
            </w:tcMar>
          </w:tcPr>
          <w:p w14:paraId="7585055B"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0B2B5DF0" w14:textId="77777777" w:rsidR="00FA6F10" w:rsidRPr="00630129" w:rsidRDefault="00FA6F10">
            <w:pPr>
              <w:rPr>
                <w:sz w:val="22"/>
                <w:szCs w:val="22"/>
              </w:rPr>
            </w:pPr>
            <w:r w:rsidRPr="00630129">
              <w:rPr>
                <w:sz w:val="22"/>
                <w:szCs w:val="22"/>
              </w:rPr>
              <w:t>Initial Energy Credit Cover</w:t>
            </w:r>
          </w:p>
        </w:tc>
      </w:tr>
      <w:tr w:rsidR="00FA6F10" w:rsidRPr="00630129" w14:paraId="6618C048" w14:textId="77777777">
        <w:tc>
          <w:tcPr>
            <w:tcW w:w="1566" w:type="pct"/>
            <w:tcMar>
              <w:top w:w="68" w:type="dxa"/>
              <w:left w:w="68" w:type="dxa"/>
              <w:bottom w:w="68" w:type="dxa"/>
              <w:right w:w="68" w:type="dxa"/>
            </w:tcMar>
          </w:tcPr>
          <w:p w14:paraId="5ED0E8EE" w14:textId="77777777" w:rsidR="00FA6F10" w:rsidRPr="00630129" w:rsidRDefault="00FA6F10">
            <w:pPr>
              <w:rPr>
                <w:sz w:val="22"/>
                <w:szCs w:val="22"/>
              </w:rPr>
            </w:pPr>
            <w:proofErr w:type="spellStart"/>
            <w:r w:rsidRPr="00630129">
              <w:rPr>
                <w:sz w:val="22"/>
                <w:szCs w:val="22"/>
              </w:rPr>
              <w:t>IIP</w:t>
            </w:r>
            <w:r w:rsidRPr="00630129">
              <w:rPr>
                <w:sz w:val="22"/>
                <w:szCs w:val="22"/>
                <w:vertAlign w:val="subscript"/>
              </w:rPr>
              <w:t>j</w:t>
            </w:r>
            <w:proofErr w:type="spellEnd"/>
          </w:p>
        </w:tc>
        <w:tc>
          <w:tcPr>
            <w:tcW w:w="808" w:type="pct"/>
            <w:tcMar>
              <w:top w:w="68" w:type="dxa"/>
              <w:left w:w="68" w:type="dxa"/>
              <w:bottom w:w="68" w:type="dxa"/>
              <w:right w:w="68" w:type="dxa"/>
            </w:tcMar>
          </w:tcPr>
          <w:p w14:paraId="0F84E661"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7886CAA3" w14:textId="77777777" w:rsidR="00FA6F10" w:rsidRPr="00630129" w:rsidRDefault="00FA6F10">
            <w:pPr>
              <w:rPr>
                <w:sz w:val="22"/>
                <w:szCs w:val="22"/>
              </w:rPr>
            </w:pPr>
            <w:r w:rsidRPr="00630129">
              <w:rPr>
                <w:sz w:val="22"/>
                <w:szCs w:val="22"/>
              </w:rPr>
              <w:t>Information Imbalance Price</w:t>
            </w:r>
          </w:p>
        </w:tc>
      </w:tr>
      <w:tr w:rsidR="00FA6F10" w:rsidRPr="00630129" w14:paraId="694C11B7" w14:textId="77777777">
        <w:tc>
          <w:tcPr>
            <w:tcW w:w="1566" w:type="pct"/>
            <w:tcMar>
              <w:top w:w="68" w:type="dxa"/>
              <w:left w:w="68" w:type="dxa"/>
              <w:bottom w:w="68" w:type="dxa"/>
              <w:right w:w="68" w:type="dxa"/>
            </w:tcMar>
          </w:tcPr>
          <w:p w14:paraId="5E9567BD" w14:textId="77777777" w:rsidR="00FA6F10" w:rsidRPr="00630129" w:rsidRDefault="00FA6F10">
            <w:pPr>
              <w:rPr>
                <w:sz w:val="22"/>
                <w:szCs w:val="22"/>
              </w:rPr>
            </w:pPr>
            <w:r w:rsidRPr="00630129">
              <w:rPr>
                <w:sz w:val="22"/>
                <w:szCs w:val="22"/>
              </w:rPr>
              <w:t>IMBALNGC</w:t>
            </w:r>
          </w:p>
        </w:tc>
        <w:tc>
          <w:tcPr>
            <w:tcW w:w="808" w:type="pct"/>
            <w:tcMar>
              <w:top w:w="68" w:type="dxa"/>
              <w:left w:w="68" w:type="dxa"/>
              <w:bottom w:w="68" w:type="dxa"/>
              <w:right w:w="68" w:type="dxa"/>
            </w:tcMar>
          </w:tcPr>
          <w:p w14:paraId="24B9B8D8"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03F501A0" w14:textId="77777777" w:rsidR="00FA6F10" w:rsidRPr="00630129" w:rsidRDefault="00FA6F10">
            <w:pPr>
              <w:rPr>
                <w:sz w:val="22"/>
                <w:szCs w:val="22"/>
              </w:rPr>
            </w:pPr>
            <w:r w:rsidRPr="00630129">
              <w:rPr>
                <w:sz w:val="22"/>
                <w:szCs w:val="22"/>
              </w:rPr>
              <w:t>Indicated Imbalance</w:t>
            </w:r>
          </w:p>
        </w:tc>
      </w:tr>
      <w:tr w:rsidR="00FA6F10" w:rsidRPr="00630129" w14:paraId="359CD88E" w14:textId="77777777">
        <w:tc>
          <w:tcPr>
            <w:tcW w:w="1566" w:type="pct"/>
            <w:tcMar>
              <w:top w:w="68" w:type="dxa"/>
              <w:left w:w="68" w:type="dxa"/>
              <w:bottom w:w="68" w:type="dxa"/>
              <w:right w:w="68" w:type="dxa"/>
            </w:tcMar>
          </w:tcPr>
          <w:p w14:paraId="26509B55" w14:textId="77777777" w:rsidR="00FA6F10" w:rsidRPr="00630129" w:rsidRDefault="00FA6F10">
            <w:pPr>
              <w:rPr>
                <w:sz w:val="22"/>
                <w:szCs w:val="22"/>
              </w:rPr>
            </w:pPr>
            <w:proofErr w:type="spellStart"/>
            <w:r w:rsidRPr="00630129">
              <w:rPr>
                <w:sz w:val="22"/>
                <w:szCs w:val="22"/>
              </w:rPr>
              <w:t>IMV</w:t>
            </w:r>
            <w:r w:rsidRPr="00630129">
              <w:rPr>
                <w:sz w:val="22"/>
                <w:szCs w:val="22"/>
                <w:vertAlign w:val="subscript"/>
              </w:rPr>
              <w:t>j</w:t>
            </w:r>
            <w:proofErr w:type="spellEnd"/>
          </w:p>
        </w:tc>
        <w:tc>
          <w:tcPr>
            <w:tcW w:w="808" w:type="pct"/>
            <w:tcMar>
              <w:top w:w="68" w:type="dxa"/>
              <w:left w:w="68" w:type="dxa"/>
              <w:bottom w:w="68" w:type="dxa"/>
              <w:right w:w="68" w:type="dxa"/>
            </w:tcMar>
          </w:tcPr>
          <w:p w14:paraId="7D63DD66"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7B3183DE" w14:textId="77777777" w:rsidR="00FA6F10" w:rsidRPr="00630129" w:rsidRDefault="00FA6F10">
            <w:pPr>
              <w:rPr>
                <w:sz w:val="22"/>
                <w:szCs w:val="22"/>
              </w:rPr>
            </w:pPr>
            <w:r w:rsidRPr="00630129">
              <w:rPr>
                <w:sz w:val="22"/>
                <w:szCs w:val="22"/>
              </w:rPr>
              <w:t>Interconnector Metered Volume</w:t>
            </w:r>
          </w:p>
        </w:tc>
      </w:tr>
      <w:tr w:rsidR="00FA6F10" w:rsidRPr="00630129" w14:paraId="39BFCDA4" w14:textId="77777777">
        <w:tc>
          <w:tcPr>
            <w:tcW w:w="1566" w:type="pct"/>
            <w:tcMar>
              <w:top w:w="68" w:type="dxa"/>
              <w:left w:w="68" w:type="dxa"/>
              <w:bottom w:w="68" w:type="dxa"/>
              <w:right w:w="68" w:type="dxa"/>
            </w:tcMar>
          </w:tcPr>
          <w:p w14:paraId="5D2C91A2" w14:textId="77777777" w:rsidR="00FA6F10" w:rsidRPr="00630129" w:rsidRDefault="00FA6F10">
            <w:pPr>
              <w:rPr>
                <w:sz w:val="22"/>
                <w:szCs w:val="22"/>
              </w:rPr>
            </w:pPr>
            <w:r w:rsidRPr="00630129">
              <w:rPr>
                <w:sz w:val="22"/>
                <w:szCs w:val="22"/>
              </w:rPr>
              <w:t>INDDEM</w:t>
            </w:r>
          </w:p>
        </w:tc>
        <w:tc>
          <w:tcPr>
            <w:tcW w:w="808" w:type="pct"/>
            <w:tcMar>
              <w:top w:w="68" w:type="dxa"/>
              <w:left w:w="68" w:type="dxa"/>
              <w:bottom w:w="68" w:type="dxa"/>
              <w:right w:w="68" w:type="dxa"/>
            </w:tcMar>
          </w:tcPr>
          <w:p w14:paraId="11DBC9B9"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37D677D4" w14:textId="77777777" w:rsidR="00FA6F10" w:rsidRPr="00630129" w:rsidRDefault="00FA6F10">
            <w:pPr>
              <w:rPr>
                <w:sz w:val="22"/>
                <w:szCs w:val="22"/>
              </w:rPr>
            </w:pPr>
            <w:r w:rsidRPr="00630129">
              <w:rPr>
                <w:sz w:val="22"/>
                <w:szCs w:val="22"/>
              </w:rPr>
              <w:t>Indicated Demand</w:t>
            </w:r>
          </w:p>
        </w:tc>
      </w:tr>
      <w:tr w:rsidR="00FA6F10" w:rsidRPr="00630129" w14:paraId="6F13266B" w14:textId="77777777">
        <w:tc>
          <w:tcPr>
            <w:tcW w:w="1566" w:type="pct"/>
            <w:tcMar>
              <w:top w:w="68" w:type="dxa"/>
              <w:left w:w="68" w:type="dxa"/>
              <w:bottom w:w="68" w:type="dxa"/>
              <w:right w:w="68" w:type="dxa"/>
            </w:tcMar>
          </w:tcPr>
          <w:p w14:paraId="0E40ED50" w14:textId="77777777" w:rsidR="00FA6F10" w:rsidRPr="00630129" w:rsidRDefault="00FA6F10">
            <w:pPr>
              <w:rPr>
                <w:sz w:val="22"/>
                <w:szCs w:val="22"/>
              </w:rPr>
            </w:pPr>
            <w:r w:rsidRPr="00630129">
              <w:rPr>
                <w:sz w:val="22"/>
                <w:szCs w:val="22"/>
              </w:rPr>
              <w:t>INDGEN</w:t>
            </w:r>
          </w:p>
        </w:tc>
        <w:tc>
          <w:tcPr>
            <w:tcW w:w="808" w:type="pct"/>
            <w:tcMar>
              <w:top w:w="68" w:type="dxa"/>
              <w:left w:w="68" w:type="dxa"/>
              <w:bottom w:w="68" w:type="dxa"/>
              <w:right w:w="68" w:type="dxa"/>
            </w:tcMar>
          </w:tcPr>
          <w:p w14:paraId="6BDCDCA5"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130983D4" w14:textId="77777777" w:rsidR="00FA6F10" w:rsidRPr="00630129" w:rsidRDefault="00FA6F10">
            <w:pPr>
              <w:rPr>
                <w:sz w:val="22"/>
                <w:szCs w:val="22"/>
              </w:rPr>
            </w:pPr>
            <w:r w:rsidRPr="00630129">
              <w:rPr>
                <w:sz w:val="22"/>
                <w:szCs w:val="22"/>
              </w:rPr>
              <w:t>Indicated Generation</w:t>
            </w:r>
          </w:p>
        </w:tc>
      </w:tr>
      <w:tr w:rsidR="00FA6F10" w:rsidRPr="00630129" w14:paraId="652115A0" w14:textId="77777777">
        <w:tc>
          <w:tcPr>
            <w:tcW w:w="1566" w:type="pct"/>
            <w:tcMar>
              <w:top w:w="68" w:type="dxa"/>
              <w:left w:w="68" w:type="dxa"/>
              <w:bottom w:w="68" w:type="dxa"/>
              <w:right w:w="68" w:type="dxa"/>
            </w:tcMar>
          </w:tcPr>
          <w:p w14:paraId="4CB5BEDF" w14:textId="77777777" w:rsidR="00FA6F10" w:rsidRPr="00630129" w:rsidRDefault="00FA6F10">
            <w:pPr>
              <w:rPr>
                <w:sz w:val="22"/>
                <w:szCs w:val="22"/>
              </w:rPr>
            </w:pPr>
            <w:r w:rsidRPr="00630129">
              <w:rPr>
                <w:sz w:val="22"/>
                <w:szCs w:val="22"/>
              </w:rPr>
              <w:t>INDO</w:t>
            </w:r>
          </w:p>
        </w:tc>
        <w:tc>
          <w:tcPr>
            <w:tcW w:w="808" w:type="pct"/>
            <w:tcMar>
              <w:top w:w="68" w:type="dxa"/>
              <w:left w:w="68" w:type="dxa"/>
              <w:bottom w:w="68" w:type="dxa"/>
              <w:right w:w="68" w:type="dxa"/>
            </w:tcMar>
          </w:tcPr>
          <w:p w14:paraId="73684F58"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03B8D71D" w14:textId="77777777" w:rsidR="00FA6F10" w:rsidRPr="00630129" w:rsidRDefault="00FA6F10">
            <w:pPr>
              <w:rPr>
                <w:sz w:val="22"/>
                <w:szCs w:val="22"/>
              </w:rPr>
            </w:pPr>
            <w:r w:rsidRPr="00630129">
              <w:rPr>
                <w:sz w:val="22"/>
                <w:szCs w:val="22"/>
              </w:rPr>
              <w:t>Initial National Demand Out-Turn</w:t>
            </w:r>
          </w:p>
        </w:tc>
      </w:tr>
      <w:tr w:rsidR="00FA6F10" w:rsidRPr="00630129" w14:paraId="2F342F8B" w14:textId="77777777">
        <w:tc>
          <w:tcPr>
            <w:tcW w:w="1566" w:type="pct"/>
            <w:tcMar>
              <w:top w:w="68" w:type="dxa"/>
              <w:left w:w="68" w:type="dxa"/>
              <w:bottom w:w="68" w:type="dxa"/>
              <w:right w:w="68" w:type="dxa"/>
            </w:tcMar>
          </w:tcPr>
          <w:p w14:paraId="41478DC4" w14:textId="77777777" w:rsidR="00FA6F10" w:rsidRPr="00630129" w:rsidRDefault="00FA6F10">
            <w:pPr>
              <w:rPr>
                <w:sz w:val="22"/>
                <w:szCs w:val="22"/>
              </w:rPr>
            </w:pPr>
            <w:proofErr w:type="spellStart"/>
            <w:r w:rsidRPr="00630129">
              <w:rPr>
                <w:sz w:val="22"/>
                <w:szCs w:val="22"/>
              </w:rPr>
              <w:t>INIV</w:t>
            </w:r>
            <w:r w:rsidRPr="00630129">
              <w:rPr>
                <w:sz w:val="22"/>
                <w:szCs w:val="22"/>
                <w:vertAlign w:val="subscript"/>
              </w:rPr>
              <w:t>j</w:t>
            </w:r>
            <w:proofErr w:type="spellEnd"/>
          </w:p>
        </w:tc>
        <w:tc>
          <w:tcPr>
            <w:tcW w:w="808" w:type="pct"/>
            <w:tcMar>
              <w:top w:w="68" w:type="dxa"/>
              <w:left w:w="68" w:type="dxa"/>
              <w:bottom w:w="68" w:type="dxa"/>
              <w:right w:w="68" w:type="dxa"/>
            </w:tcMar>
          </w:tcPr>
          <w:p w14:paraId="71166E98"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049DA79F" w14:textId="77777777" w:rsidR="00FA6F10" w:rsidRPr="00630129" w:rsidRDefault="00FA6F10">
            <w:pPr>
              <w:rPr>
                <w:sz w:val="22"/>
                <w:szCs w:val="22"/>
              </w:rPr>
            </w:pPr>
            <w:r w:rsidRPr="00630129">
              <w:rPr>
                <w:sz w:val="22"/>
                <w:szCs w:val="22"/>
              </w:rPr>
              <w:t>Indicative Net Imbalance Volume</w:t>
            </w:r>
          </w:p>
        </w:tc>
      </w:tr>
      <w:tr w:rsidR="00FA6F10" w:rsidRPr="00630129" w14:paraId="59A9A1DF" w14:textId="77777777">
        <w:tc>
          <w:tcPr>
            <w:tcW w:w="1566" w:type="pct"/>
            <w:tcMar>
              <w:top w:w="68" w:type="dxa"/>
              <w:left w:w="68" w:type="dxa"/>
              <w:bottom w:w="68" w:type="dxa"/>
              <w:right w:w="68" w:type="dxa"/>
            </w:tcMar>
          </w:tcPr>
          <w:p w14:paraId="0010A47E" w14:textId="77777777" w:rsidR="00FA6F10" w:rsidRPr="00630129" w:rsidRDefault="00FA6F10">
            <w:pPr>
              <w:rPr>
                <w:sz w:val="22"/>
                <w:szCs w:val="22"/>
              </w:rPr>
            </w:pPr>
            <w:proofErr w:type="spellStart"/>
            <w:r w:rsidRPr="00630129">
              <w:rPr>
                <w:sz w:val="22"/>
                <w:szCs w:val="22"/>
              </w:rPr>
              <w:t>IOD</w:t>
            </w:r>
            <w:r w:rsidRPr="00630129">
              <w:rPr>
                <w:sz w:val="22"/>
                <w:szCs w:val="22"/>
                <w:vertAlign w:val="subscript"/>
              </w:rPr>
              <w:t>ij</w:t>
            </w:r>
            <w:proofErr w:type="spellEnd"/>
          </w:p>
        </w:tc>
        <w:tc>
          <w:tcPr>
            <w:tcW w:w="808" w:type="pct"/>
            <w:tcMar>
              <w:top w:w="68" w:type="dxa"/>
              <w:left w:w="68" w:type="dxa"/>
              <w:bottom w:w="68" w:type="dxa"/>
              <w:right w:w="68" w:type="dxa"/>
            </w:tcMar>
          </w:tcPr>
          <w:p w14:paraId="198323B5"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56FD977E" w14:textId="77777777" w:rsidR="00FA6F10" w:rsidRPr="00630129" w:rsidRDefault="00FA6F10">
            <w:pPr>
              <w:rPr>
                <w:sz w:val="22"/>
                <w:szCs w:val="22"/>
              </w:rPr>
            </w:pPr>
            <w:r w:rsidRPr="00630129">
              <w:rPr>
                <w:sz w:val="22"/>
                <w:szCs w:val="22"/>
              </w:rPr>
              <w:t>Replacement Reserve Instructed Offer Deviation Volume</w:t>
            </w:r>
          </w:p>
        </w:tc>
      </w:tr>
      <w:tr w:rsidR="00FA6F10" w:rsidRPr="00630129" w14:paraId="6C94C303" w14:textId="77777777">
        <w:tc>
          <w:tcPr>
            <w:tcW w:w="1566" w:type="pct"/>
            <w:tcMar>
              <w:top w:w="68" w:type="dxa"/>
              <w:left w:w="68" w:type="dxa"/>
              <w:bottom w:w="68" w:type="dxa"/>
              <w:right w:w="68" w:type="dxa"/>
            </w:tcMar>
          </w:tcPr>
          <w:p w14:paraId="5BB3BB41" w14:textId="77777777" w:rsidR="00FA6F10" w:rsidRPr="00630129" w:rsidRDefault="00FA6F10">
            <w:pPr>
              <w:rPr>
                <w:sz w:val="22"/>
                <w:szCs w:val="22"/>
              </w:rPr>
            </w:pPr>
            <w:proofErr w:type="spellStart"/>
            <w:r w:rsidRPr="00630129">
              <w:rPr>
                <w:sz w:val="22"/>
                <w:szCs w:val="22"/>
              </w:rPr>
              <w:t>IQAB</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1923A540"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07874CAA" w14:textId="77777777" w:rsidR="00FA6F10" w:rsidRPr="00630129" w:rsidRDefault="00FA6F10">
            <w:pPr>
              <w:rPr>
                <w:sz w:val="22"/>
                <w:szCs w:val="22"/>
              </w:rPr>
            </w:pPr>
            <w:r w:rsidRPr="00630129">
              <w:rPr>
                <w:sz w:val="22"/>
                <w:szCs w:val="22"/>
              </w:rPr>
              <w:t>Indicative Period BM Unit Total Accepted Bid Volume</w:t>
            </w:r>
          </w:p>
        </w:tc>
      </w:tr>
      <w:tr w:rsidR="00FA6F10" w:rsidRPr="00630129" w14:paraId="50645318" w14:textId="77777777">
        <w:tc>
          <w:tcPr>
            <w:tcW w:w="1566" w:type="pct"/>
            <w:tcMar>
              <w:top w:w="68" w:type="dxa"/>
              <w:left w:w="68" w:type="dxa"/>
              <w:bottom w:w="68" w:type="dxa"/>
              <w:right w:w="68" w:type="dxa"/>
            </w:tcMar>
          </w:tcPr>
          <w:p w14:paraId="220A3F34" w14:textId="77777777" w:rsidR="00FA6F10" w:rsidRPr="00630129" w:rsidRDefault="00FA6F10">
            <w:pPr>
              <w:rPr>
                <w:sz w:val="22"/>
                <w:szCs w:val="22"/>
              </w:rPr>
            </w:pPr>
            <w:proofErr w:type="spellStart"/>
            <w:r w:rsidRPr="00630129">
              <w:rPr>
                <w:sz w:val="22"/>
                <w:szCs w:val="22"/>
              </w:rPr>
              <w:t>IQAO</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7E278421"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D04E8D0" w14:textId="77777777" w:rsidR="00FA6F10" w:rsidRPr="00630129" w:rsidRDefault="00FA6F10">
            <w:pPr>
              <w:rPr>
                <w:sz w:val="22"/>
                <w:szCs w:val="22"/>
              </w:rPr>
            </w:pPr>
            <w:r w:rsidRPr="00630129">
              <w:rPr>
                <w:sz w:val="22"/>
                <w:szCs w:val="22"/>
              </w:rPr>
              <w:t>Indicative Period BM Unit Total Accepted Offer Volume</w:t>
            </w:r>
          </w:p>
        </w:tc>
      </w:tr>
      <w:tr w:rsidR="00FA6F10" w:rsidRPr="00630129" w14:paraId="1D7BE0D6" w14:textId="77777777">
        <w:tc>
          <w:tcPr>
            <w:tcW w:w="1566" w:type="pct"/>
            <w:tcMar>
              <w:top w:w="68" w:type="dxa"/>
              <w:left w:w="68" w:type="dxa"/>
              <w:bottom w:w="68" w:type="dxa"/>
              <w:right w:w="68" w:type="dxa"/>
            </w:tcMar>
          </w:tcPr>
          <w:p w14:paraId="33D4B043" w14:textId="77777777" w:rsidR="00FA6F10" w:rsidRPr="00630129" w:rsidRDefault="00FA6F10">
            <w:pPr>
              <w:rPr>
                <w:sz w:val="22"/>
                <w:szCs w:val="22"/>
              </w:rPr>
            </w:pPr>
            <w:proofErr w:type="spellStart"/>
            <w:r w:rsidRPr="00630129">
              <w:rPr>
                <w:sz w:val="22"/>
                <w:szCs w:val="22"/>
              </w:rPr>
              <w:t>ISBP</w:t>
            </w:r>
            <w:r w:rsidRPr="00630129">
              <w:rPr>
                <w:sz w:val="22"/>
                <w:szCs w:val="22"/>
                <w:vertAlign w:val="subscript"/>
              </w:rPr>
              <w:t>j</w:t>
            </w:r>
            <w:proofErr w:type="spellEnd"/>
          </w:p>
        </w:tc>
        <w:tc>
          <w:tcPr>
            <w:tcW w:w="808" w:type="pct"/>
            <w:tcMar>
              <w:top w:w="68" w:type="dxa"/>
              <w:left w:w="68" w:type="dxa"/>
              <w:bottom w:w="68" w:type="dxa"/>
              <w:right w:w="68" w:type="dxa"/>
            </w:tcMar>
          </w:tcPr>
          <w:p w14:paraId="017ACD71"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5F280605" w14:textId="77777777" w:rsidR="00FA6F10" w:rsidRPr="00630129" w:rsidRDefault="00FA6F10">
            <w:pPr>
              <w:rPr>
                <w:sz w:val="22"/>
                <w:szCs w:val="22"/>
              </w:rPr>
            </w:pPr>
            <w:r w:rsidRPr="00630129">
              <w:rPr>
                <w:sz w:val="22"/>
                <w:szCs w:val="22"/>
              </w:rPr>
              <w:t>Indicative System Buy Price</w:t>
            </w:r>
          </w:p>
        </w:tc>
      </w:tr>
      <w:tr w:rsidR="00FA6F10" w:rsidRPr="00630129" w14:paraId="346D81DC" w14:textId="77777777">
        <w:tc>
          <w:tcPr>
            <w:tcW w:w="1566" w:type="pct"/>
            <w:tcMar>
              <w:top w:w="68" w:type="dxa"/>
              <w:left w:w="68" w:type="dxa"/>
              <w:bottom w:w="68" w:type="dxa"/>
              <w:right w:w="68" w:type="dxa"/>
            </w:tcMar>
          </w:tcPr>
          <w:p w14:paraId="346D29B7" w14:textId="77777777" w:rsidR="00FA6F10" w:rsidRPr="00630129" w:rsidRDefault="00FA6F10">
            <w:pPr>
              <w:rPr>
                <w:sz w:val="22"/>
                <w:szCs w:val="22"/>
              </w:rPr>
            </w:pPr>
            <w:proofErr w:type="spellStart"/>
            <w:r w:rsidRPr="00630129">
              <w:rPr>
                <w:sz w:val="22"/>
                <w:szCs w:val="22"/>
              </w:rPr>
              <w:t>ISSP</w:t>
            </w:r>
            <w:r w:rsidRPr="00630129">
              <w:rPr>
                <w:sz w:val="22"/>
                <w:szCs w:val="22"/>
                <w:vertAlign w:val="subscript"/>
              </w:rPr>
              <w:t>j</w:t>
            </w:r>
            <w:proofErr w:type="spellEnd"/>
          </w:p>
        </w:tc>
        <w:tc>
          <w:tcPr>
            <w:tcW w:w="808" w:type="pct"/>
            <w:tcMar>
              <w:top w:w="68" w:type="dxa"/>
              <w:left w:w="68" w:type="dxa"/>
              <w:bottom w:w="68" w:type="dxa"/>
              <w:right w:w="68" w:type="dxa"/>
            </w:tcMar>
          </w:tcPr>
          <w:p w14:paraId="5AE61F41"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949EF48" w14:textId="77777777" w:rsidR="00FA6F10" w:rsidRPr="00630129" w:rsidRDefault="00FA6F10">
            <w:pPr>
              <w:rPr>
                <w:sz w:val="22"/>
                <w:szCs w:val="22"/>
              </w:rPr>
            </w:pPr>
            <w:r w:rsidRPr="00630129">
              <w:rPr>
                <w:sz w:val="22"/>
                <w:szCs w:val="22"/>
              </w:rPr>
              <w:t>Indicative System Sell Price</w:t>
            </w:r>
          </w:p>
        </w:tc>
      </w:tr>
      <w:tr w:rsidR="00FA6F10" w:rsidRPr="00630129" w14:paraId="010D0A64" w14:textId="77777777">
        <w:tc>
          <w:tcPr>
            <w:tcW w:w="1566" w:type="pct"/>
            <w:tcMar>
              <w:top w:w="68" w:type="dxa"/>
              <w:left w:w="68" w:type="dxa"/>
              <w:bottom w:w="68" w:type="dxa"/>
              <w:right w:w="68" w:type="dxa"/>
            </w:tcMar>
          </w:tcPr>
          <w:p w14:paraId="681BB38E" w14:textId="77777777" w:rsidR="00FA6F10" w:rsidRPr="00630129" w:rsidRDefault="00FA6F10">
            <w:pPr>
              <w:rPr>
                <w:sz w:val="22"/>
                <w:szCs w:val="22"/>
              </w:rPr>
            </w:pPr>
            <w:r w:rsidRPr="00630129">
              <w:rPr>
                <w:sz w:val="22"/>
                <w:szCs w:val="22"/>
              </w:rPr>
              <w:t>ITSDO</w:t>
            </w:r>
          </w:p>
        </w:tc>
        <w:tc>
          <w:tcPr>
            <w:tcW w:w="808" w:type="pct"/>
            <w:tcMar>
              <w:top w:w="68" w:type="dxa"/>
              <w:left w:w="68" w:type="dxa"/>
              <w:bottom w:w="68" w:type="dxa"/>
              <w:right w:w="68" w:type="dxa"/>
            </w:tcMar>
          </w:tcPr>
          <w:p w14:paraId="09C4383D"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47AE33FB" w14:textId="77777777" w:rsidR="00FA6F10" w:rsidRPr="00630129" w:rsidRDefault="00FA6F10">
            <w:pPr>
              <w:rPr>
                <w:sz w:val="22"/>
                <w:szCs w:val="22"/>
              </w:rPr>
            </w:pPr>
            <w:r w:rsidRPr="00630129">
              <w:rPr>
                <w:sz w:val="22"/>
                <w:szCs w:val="22"/>
              </w:rPr>
              <w:t>Initial Transmission System Demand Out-Turn</w:t>
            </w:r>
          </w:p>
        </w:tc>
      </w:tr>
      <w:tr w:rsidR="00FA6F10" w:rsidRPr="00630129" w14:paraId="514997A3" w14:textId="77777777">
        <w:tc>
          <w:tcPr>
            <w:tcW w:w="1566" w:type="pct"/>
            <w:tcMar>
              <w:top w:w="68" w:type="dxa"/>
              <w:left w:w="68" w:type="dxa"/>
              <w:bottom w:w="68" w:type="dxa"/>
              <w:right w:w="68" w:type="dxa"/>
            </w:tcMar>
          </w:tcPr>
          <w:p w14:paraId="6C544883" w14:textId="77777777" w:rsidR="00FA6F10" w:rsidRPr="00630129" w:rsidRDefault="00FA6F10">
            <w:pPr>
              <w:rPr>
                <w:sz w:val="22"/>
                <w:szCs w:val="22"/>
              </w:rPr>
            </w:pPr>
            <w:r w:rsidRPr="00630129">
              <w:rPr>
                <w:sz w:val="22"/>
                <w:szCs w:val="22"/>
              </w:rPr>
              <w:t>j</w:t>
            </w:r>
          </w:p>
        </w:tc>
        <w:tc>
          <w:tcPr>
            <w:tcW w:w="808" w:type="pct"/>
            <w:tcMar>
              <w:top w:w="68" w:type="dxa"/>
              <w:left w:w="68" w:type="dxa"/>
              <w:bottom w:w="68" w:type="dxa"/>
              <w:right w:w="68" w:type="dxa"/>
            </w:tcMar>
          </w:tcPr>
          <w:p w14:paraId="786EAD8B" w14:textId="77777777" w:rsidR="00FA6F10" w:rsidRPr="00630129" w:rsidRDefault="00FA6F10">
            <w:pPr>
              <w:rPr>
                <w:sz w:val="22"/>
                <w:szCs w:val="22"/>
              </w:rPr>
            </w:pPr>
          </w:p>
        </w:tc>
        <w:tc>
          <w:tcPr>
            <w:tcW w:w="2626" w:type="pct"/>
            <w:tcMar>
              <w:top w:w="68" w:type="dxa"/>
              <w:left w:w="68" w:type="dxa"/>
              <w:bottom w:w="68" w:type="dxa"/>
              <w:right w:w="68" w:type="dxa"/>
            </w:tcMar>
          </w:tcPr>
          <w:p w14:paraId="49049EB6" w14:textId="77777777" w:rsidR="00FA6F10" w:rsidRPr="00630129" w:rsidRDefault="00FA6F10">
            <w:pPr>
              <w:rPr>
                <w:sz w:val="22"/>
                <w:szCs w:val="22"/>
              </w:rPr>
            </w:pPr>
            <w:r w:rsidRPr="00630129">
              <w:rPr>
                <w:sz w:val="22"/>
                <w:szCs w:val="22"/>
              </w:rPr>
              <w:t>Settlement Period</w:t>
            </w:r>
          </w:p>
        </w:tc>
      </w:tr>
      <w:tr w:rsidR="00FA6F10" w:rsidRPr="00630129" w14:paraId="5FA6C9CC" w14:textId="77777777">
        <w:tc>
          <w:tcPr>
            <w:tcW w:w="1566" w:type="pct"/>
            <w:tcMar>
              <w:top w:w="68" w:type="dxa"/>
              <w:left w:w="68" w:type="dxa"/>
              <w:bottom w:w="68" w:type="dxa"/>
              <w:right w:w="68" w:type="dxa"/>
            </w:tcMar>
          </w:tcPr>
          <w:p w14:paraId="0F4B3B28" w14:textId="77777777" w:rsidR="00FA6F10" w:rsidRPr="00630129" w:rsidRDefault="00FA6F10">
            <w:pPr>
              <w:rPr>
                <w:sz w:val="22"/>
                <w:szCs w:val="22"/>
              </w:rPr>
            </w:pPr>
            <w:r w:rsidRPr="00630129">
              <w:rPr>
                <w:sz w:val="22"/>
                <w:szCs w:val="22"/>
              </w:rPr>
              <w:t>k</w:t>
            </w:r>
          </w:p>
        </w:tc>
        <w:tc>
          <w:tcPr>
            <w:tcW w:w="808" w:type="pct"/>
            <w:tcMar>
              <w:top w:w="68" w:type="dxa"/>
              <w:left w:w="68" w:type="dxa"/>
              <w:bottom w:w="68" w:type="dxa"/>
              <w:right w:w="68" w:type="dxa"/>
            </w:tcMar>
          </w:tcPr>
          <w:p w14:paraId="5429396F" w14:textId="77777777" w:rsidR="00FA6F10" w:rsidRPr="00630129" w:rsidRDefault="00FA6F10">
            <w:pPr>
              <w:rPr>
                <w:sz w:val="22"/>
                <w:szCs w:val="22"/>
              </w:rPr>
            </w:pPr>
          </w:p>
        </w:tc>
        <w:tc>
          <w:tcPr>
            <w:tcW w:w="2626" w:type="pct"/>
            <w:tcMar>
              <w:top w:w="68" w:type="dxa"/>
              <w:left w:w="68" w:type="dxa"/>
              <w:bottom w:w="68" w:type="dxa"/>
              <w:right w:w="68" w:type="dxa"/>
            </w:tcMar>
          </w:tcPr>
          <w:p w14:paraId="4C8D313D" w14:textId="77777777" w:rsidR="00FA6F10" w:rsidRPr="00630129" w:rsidRDefault="00FA6F10">
            <w:pPr>
              <w:rPr>
                <w:sz w:val="22"/>
                <w:szCs w:val="22"/>
              </w:rPr>
            </w:pPr>
            <w:r w:rsidRPr="00630129">
              <w:rPr>
                <w:sz w:val="22"/>
                <w:szCs w:val="22"/>
              </w:rPr>
              <w:t>Bid-Offer Acceptance Number</w:t>
            </w:r>
          </w:p>
        </w:tc>
      </w:tr>
      <w:tr w:rsidR="00FA6F10" w:rsidRPr="00630129" w14:paraId="491F93CB" w14:textId="77777777">
        <w:tc>
          <w:tcPr>
            <w:tcW w:w="1566" w:type="pct"/>
            <w:tcMar>
              <w:top w:w="68" w:type="dxa"/>
              <w:left w:w="68" w:type="dxa"/>
              <w:bottom w:w="68" w:type="dxa"/>
              <w:right w:w="68" w:type="dxa"/>
            </w:tcMar>
          </w:tcPr>
          <w:p w14:paraId="1C9892BE" w14:textId="77777777" w:rsidR="00FA6F10" w:rsidRPr="00630129" w:rsidRDefault="00FA6F10">
            <w:pPr>
              <w:rPr>
                <w:sz w:val="22"/>
                <w:szCs w:val="22"/>
              </w:rPr>
            </w:pPr>
            <w:r w:rsidRPr="00630129">
              <w:rPr>
                <w:sz w:val="22"/>
                <w:szCs w:val="22"/>
              </w:rPr>
              <w:t>LLFC</w:t>
            </w:r>
          </w:p>
        </w:tc>
        <w:tc>
          <w:tcPr>
            <w:tcW w:w="808" w:type="pct"/>
            <w:tcMar>
              <w:top w:w="68" w:type="dxa"/>
              <w:left w:w="68" w:type="dxa"/>
              <w:bottom w:w="68" w:type="dxa"/>
              <w:right w:w="68" w:type="dxa"/>
            </w:tcMar>
          </w:tcPr>
          <w:p w14:paraId="244251A0" w14:textId="77777777" w:rsidR="00FA6F10" w:rsidRPr="00630129" w:rsidRDefault="00FA6F10">
            <w:pPr>
              <w:rPr>
                <w:sz w:val="22"/>
                <w:szCs w:val="22"/>
              </w:rPr>
            </w:pPr>
          </w:p>
        </w:tc>
        <w:tc>
          <w:tcPr>
            <w:tcW w:w="2626" w:type="pct"/>
            <w:tcMar>
              <w:top w:w="68" w:type="dxa"/>
              <w:left w:w="68" w:type="dxa"/>
              <w:bottom w:w="68" w:type="dxa"/>
              <w:right w:w="68" w:type="dxa"/>
            </w:tcMar>
          </w:tcPr>
          <w:p w14:paraId="1F422F5C" w14:textId="77777777" w:rsidR="00FA6F10" w:rsidRPr="00630129" w:rsidRDefault="00FA6F10">
            <w:pPr>
              <w:rPr>
                <w:sz w:val="22"/>
                <w:szCs w:val="22"/>
              </w:rPr>
            </w:pPr>
            <w:r w:rsidRPr="00630129">
              <w:rPr>
                <w:sz w:val="22"/>
                <w:szCs w:val="22"/>
              </w:rPr>
              <w:t>Line Loss Factor Class</w:t>
            </w:r>
          </w:p>
        </w:tc>
      </w:tr>
      <w:tr w:rsidR="00FA6F10" w:rsidRPr="00630129" w14:paraId="5E6A12A8"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5B75B580" w14:textId="77777777" w:rsidR="00FA6F10" w:rsidRPr="00630129" w:rsidRDefault="00FA6F10">
            <w:pPr>
              <w:rPr>
                <w:sz w:val="22"/>
                <w:szCs w:val="22"/>
              </w:rPr>
            </w:pPr>
            <w:proofErr w:type="spellStart"/>
            <w:r w:rsidRPr="00630129">
              <w:rPr>
                <w:sz w:val="22"/>
                <w:szCs w:val="22"/>
              </w:rPr>
              <w:t>LoLP</w:t>
            </w:r>
            <w:r w:rsidRPr="00630129">
              <w:rPr>
                <w:sz w:val="22"/>
                <w:szCs w:val="22"/>
                <w:vertAlign w:val="subscript"/>
              </w:rPr>
              <w:t>j</w:t>
            </w:r>
            <w:proofErr w:type="spellEnd"/>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4DC0D8C6" w14:textId="77777777" w:rsidR="00FA6F10" w:rsidRPr="00630129" w:rsidRDefault="00FA6F10">
            <w:pPr>
              <w:rPr>
                <w:sz w:val="22"/>
                <w:szCs w:val="22"/>
              </w:rPr>
            </w:pP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7A4905A2" w14:textId="77777777" w:rsidR="00FA6F10" w:rsidRPr="00630129" w:rsidRDefault="00FA6F10">
            <w:pPr>
              <w:rPr>
                <w:sz w:val="22"/>
                <w:szCs w:val="22"/>
              </w:rPr>
            </w:pPr>
            <w:r w:rsidRPr="00630129">
              <w:rPr>
                <w:sz w:val="22"/>
                <w:szCs w:val="22"/>
              </w:rPr>
              <w:t>Final Loss of Load Probability</w:t>
            </w:r>
          </w:p>
        </w:tc>
      </w:tr>
      <w:tr w:rsidR="00FA6F10" w:rsidRPr="00630129" w14:paraId="636F51D6" w14:textId="77777777">
        <w:tc>
          <w:tcPr>
            <w:tcW w:w="1566" w:type="pct"/>
            <w:tcMar>
              <w:top w:w="68" w:type="dxa"/>
              <w:left w:w="68" w:type="dxa"/>
              <w:bottom w:w="68" w:type="dxa"/>
              <w:right w:w="68" w:type="dxa"/>
            </w:tcMar>
          </w:tcPr>
          <w:p w14:paraId="265AAC25" w14:textId="77777777" w:rsidR="00FA6F10" w:rsidRPr="00630129" w:rsidRDefault="00FA6F10">
            <w:pPr>
              <w:rPr>
                <w:rFonts w:cs="Tahoma"/>
                <w:sz w:val="22"/>
                <w:szCs w:val="22"/>
              </w:rPr>
            </w:pPr>
            <w:r w:rsidRPr="00630129">
              <w:rPr>
                <w:sz w:val="22"/>
                <w:szCs w:val="22"/>
              </w:rPr>
              <w:t>m</w:t>
            </w:r>
          </w:p>
        </w:tc>
        <w:tc>
          <w:tcPr>
            <w:tcW w:w="808" w:type="pct"/>
            <w:tcMar>
              <w:top w:w="68" w:type="dxa"/>
              <w:left w:w="68" w:type="dxa"/>
              <w:bottom w:w="68" w:type="dxa"/>
              <w:right w:w="68" w:type="dxa"/>
            </w:tcMar>
          </w:tcPr>
          <w:p w14:paraId="7F8ADD9B" w14:textId="77777777" w:rsidR="00FA6F10" w:rsidRPr="00630129" w:rsidRDefault="00FA6F10">
            <w:pPr>
              <w:rPr>
                <w:sz w:val="22"/>
                <w:szCs w:val="22"/>
              </w:rPr>
            </w:pPr>
          </w:p>
        </w:tc>
        <w:tc>
          <w:tcPr>
            <w:tcW w:w="2626" w:type="pct"/>
            <w:tcMar>
              <w:top w:w="68" w:type="dxa"/>
              <w:left w:w="68" w:type="dxa"/>
              <w:bottom w:w="68" w:type="dxa"/>
              <w:right w:w="68" w:type="dxa"/>
            </w:tcMar>
          </w:tcPr>
          <w:p w14:paraId="0D647F2B" w14:textId="77777777" w:rsidR="00FA6F10" w:rsidRPr="00630129" w:rsidRDefault="00FA6F10">
            <w:pPr>
              <w:rPr>
                <w:sz w:val="22"/>
                <w:szCs w:val="22"/>
              </w:rPr>
            </w:pPr>
            <w:r w:rsidRPr="00630129">
              <w:rPr>
                <w:sz w:val="22"/>
                <w:szCs w:val="22"/>
              </w:rPr>
              <w:t>Balancing Services Adjustment Action</w:t>
            </w:r>
          </w:p>
        </w:tc>
      </w:tr>
      <w:tr w:rsidR="00FA6F10" w:rsidRPr="00630129" w14:paraId="597D9814" w14:textId="77777777">
        <w:tc>
          <w:tcPr>
            <w:tcW w:w="1566" w:type="pct"/>
            <w:tcMar>
              <w:top w:w="68" w:type="dxa"/>
              <w:left w:w="68" w:type="dxa"/>
              <w:bottom w:w="68" w:type="dxa"/>
              <w:right w:w="68" w:type="dxa"/>
            </w:tcMar>
          </w:tcPr>
          <w:p w14:paraId="40A367F1" w14:textId="77777777" w:rsidR="00FA6F10" w:rsidRPr="00630129" w:rsidRDefault="00FA6F10">
            <w:pPr>
              <w:rPr>
                <w:sz w:val="22"/>
                <w:szCs w:val="22"/>
              </w:rPr>
            </w:pPr>
            <w:proofErr w:type="spellStart"/>
            <w:r w:rsidRPr="00630129">
              <w:rPr>
                <w:rFonts w:cs="Tahoma"/>
                <w:sz w:val="22"/>
                <w:szCs w:val="22"/>
              </w:rPr>
              <w:t>MAQCE</w:t>
            </w:r>
            <w:r w:rsidRPr="00630129">
              <w:rPr>
                <w:rFonts w:cs="Tahoma"/>
                <w:sz w:val="22"/>
                <w:szCs w:val="22"/>
                <w:vertAlign w:val="subscript"/>
              </w:rPr>
              <w:t>iaj</w:t>
            </w:r>
            <w:proofErr w:type="spellEnd"/>
          </w:p>
        </w:tc>
        <w:tc>
          <w:tcPr>
            <w:tcW w:w="808" w:type="pct"/>
            <w:tcMar>
              <w:top w:w="68" w:type="dxa"/>
              <w:left w:w="68" w:type="dxa"/>
              <w:bottom w:w="68" w:type="dxa"/>
              <w:right w:w="68" w:type="dxa"/>
            </w:tcMar>
          </w:tcPr>
          <w:p w14:paraId="57D7634A"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7D08E672" w14:textId="77777777" w:rsidR="00FA6F10" w:rsidRPr="00630129" w:rsidRDefault="00FA6F10">
            <w:pPr>
              <w:rPr>
                <w:sz w:val="22"/>
                <w:szCs w:val="22"/>
              </w:rPr>
            </w:pPr>
            <w:r w:rsidRPr="00630129">
              <w:rPr>
                <w:sz w:val="22"/>
                <w:szCs w:val="22"/>
              </w:rPr>
              <w:t>Metered Credit Assessment Credited Energy Volume</w:t>
            </w:r>
          </w:p>
        </w:tc>
      </w:tr>
      <w:tr w:rsidR="00FA6F10" w:rsidRPr="00630129" w14:paraId="56063611" w14:textId="77777777">
        <w:tc>
          <w:tcPr>
            <w:tcW w:w="1566" w:type="pct"/>
            <w:tcMar>
              <w:top w:w="68" w:type="dxa"/>
              <w:left w:w="68" w:type="dxa"/>
              <w:bottom w:w="68" w:type="dxa"/>
              <w:right w:w="68" w:type="dxa"/>
            </w:tcMar>
          </w:tcPr>
          <w:p w14:paraId="42400A10" w14:textId="77777777" w:rsidR="00FA6F10" w:rsidRPr="00630129" w:rsidRDefault="00FA6F10">
            <w:pPr>
              <w:rPr>
                <w:sz w:val="22"/>
                <w:szCs w:val="22"/>
                <w:vertAlign w:val="subscript"/>
              </w:rPr>
            </w:pPr>
            <w:proofErr w:type="spellStart"/>
            <w:r w:rsidRPr="00630129">
              <w:rPr>
                <w:sz w:val="22"/>
                <w:szCs w:val="22"/>
              </w:rPr>
              <w:t>MDC</w:t>
            </w:r>
            <w:r w:rsidRPr="00630129">
              <w:rPr>
                <w:sz w:val="22"/>
                <w:szCs w:val="22"/>
                <w:vertAlign w:val="subscript"/>
              </w:rPr>
              <w:t>m</w:t>
            </w:r>
            <w:proofErr w:type="spellEnd"/>
          </w:p>
        </w:tc>
        <w:tc>
          <w:tcPr>
            <w:tcW w:w="808" w:type="pct"/>
            <w:tcMar>
              <w:top w:w="68" w:type="dxa"/>
              <w:left w:w="68" w:type="dxa"/>
              <w:bottom w:w="68" w:type="dxa"/>
              <w:right w:w="68" w:type="dxa"/>
            </w:tcMar>
          </w:tcPr>
          <w:p w14:paraId="2DCED6A3"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730D0859" w14:textId="77777777" w:rsidR="00FA6F10" w:rsidRPr="00630129" w:rsidRDefault="00FA6F10">
            <w:pPr>
              <w:rPr>
                <w:sz w:val="22"/>
                <w:szCs w:val="22"/>
              </w:rPr>
            </w:pPr>
            <w:r w:rsidRPr="00630129">
              <w:rPr>
                <w:sz w:val="22"/>
                <w:szCs w:val="22"/>
              </w:rPr>
              <w:t>Monthly Default Costs</w:t>
            </w:r>
          </w:p>
        </w:tc>
      </w:tr>
      <w:tr w:rsidR="00FA6F10" w:rsidRPr="00630129" w14:paraId="65D00B41" w14:textId="77777777">
        <w:tc>
          <w:tcPr>
            <w:tcW w:w="1566" w:type="pct"/>
            <w:tcMar>
              <w:top w:w="68" w:type="dxa"/>
              <w:left w:w="68" w:type="dxa"/>
              <w:bottom w:w="68" w:type="dxa"/>
              <w:right w:w="68" w:type="dxa"/>
            </w:tcMar>
          </w:tcPr>
          <w:p w14:paraId="47550E34" w14:textId="77777777" w:rsidR="00FA6F10" w:rsidRPr="00630129" w:rsidRDefault="00FA6F10">
            <w:pPr>
              <w:rPr>
                <w:sz w:val="22"/>
                <w:szCs w:val="22"/>
              </w:rPr>
            </w:pPr>
            <w:proofErr w:type="spellStart"/>
            <w:r w:rsidRPr="00630129">
              <w:rPr>
                <w:rFonts w:cs="Tahoma"/>
                <w:sz w:val="22"/>
                <w:szCs w:val="22"/>
              </w:rPr>
              <w:t>MEI</w:t>
            </w:r>
            <w:r w:rsidRPr="00630129">
              <w:rPr>
                <w:rFonts w:cs="Tahoma"/>
                <w:sz w:val="22"/>
                <w:szCs w:val="22"/>
                <w:vertAlign w:val="subscript"/>
              </w:rPr>
              <w:t>pj</w:t>
            </w:r>
            <w:proofErr w:type="spellEnd"/>
          </w:p>
        </w:tc>
        <w:tc>
          <w:tcPr>
            <w:tcW w:w="808" w:type="pct"/>
            <w:tcMar>
              <w:top w:w="68" w:type="dxa"/>
              <w:left w:w="68" w:type="dxa"/>
              <w:bottom w:w="68" w:type="dxa"/>
              <w:right w:w="68" w:type="dxa"/>
            </w:tcMar>
          </w:tcPr>
          <w:p w14:paraId="250ECD8A"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3EFE925" w14:textId="77777777" w:rsidR="00FA6F10" w:rsidRPr="00630129" w:rsidRDefault="00FA6F10">
            <w:pPr>
              <w:rPr>
                <w:sz w:val="22"/>
                <w:szCs w:val="22"/>
              </w:rPr>
            </w:pPr>
            <w:r w:rsidRPr="00630129">
              <w:rPr>
                <w:sz w:val="22"/>
                <w:szCs w:val="22"/>
              </w:rPr>
              <w:t>Metered Energy Indebtedness</w:t>
            </w:r>
          </w:p>
        </w:tc>
      </w:tr>
      <w:tr w:rsidR="00FA6F10" w:rsidRPr="00630129" w14:paraId="76805B04" w14:textId="77777777">
        <w:tc>
          <w:tcPr>
            <w:tcW w:w="1566" w:type="pct"/>
            <w:tcMar>
              <w:top w:w="68" w:type="dxa"/>
              <w:left w:w="68" w:type="dxa"/>
              <w:bottom w:w="68" w:type="dxa"/>
              <w:right w:w="68" w:type="dxa"/>
            </w:tcMar>
          </w:tcPr>
          <w:p w14:paraId="794C9C25" w14:textId="77777777" w:rsidR="00FA6F10" w:rsidRPr="00630129" w:rsidRDefault="00FA6F10">
            <w:pPr>
              <w:rPr>
                <w:sz w:val="22"/>
                <w:szCs w:val="22"/>
              </w:rPr>
            </w:pPr>
            <w:r w:rsidRPr="00630129">
              <w:rPr>
                <w:sz w:val="22"/>
                <w:szCs w:val="22"/>
              </w:rPr>
              <w:t>MELNGC</w:t>
            </w:r>
          </w:p>
        </w:tc>
        <w:tc>
          <w:tcPr>
            <w:tcW w:w="808" w:type="pct"/>
            <w:tcMar>
              <w:top w:w="68" w:type="dxa"/>
              <w:left w:w="68" w:type="dxa"/>
              <w:bottom w:w="68" w:type="dxa"/>
              <w:right w:w="68" w:type="dxa"/>
            </w:tcMar>
          </w:tcPr>
          <w:p w14:paraId="0B0F27FD"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5F7DC1CA" w14:textId="77777777" w:rsidR="00FA6F10" w:rsidRPr="00630129" w:rsidRDefault="00FA6F10">
            <w:pPr>
              <w:rPr>
                <w:sz w:val="22"/>
                <w:szCs w:val="22"/>
              </w:rPr>
            </w:pPr>
            <w:r w:rsidRPr="00630129">
              <w:rPr>
                <w:sz w:val="22"/>
                <w:szCs w:val="22"/>
              </w:rPr>
              <w:t>Indicated Constraint Boundary Margin</w:t>
            </w:r>
          </w:p>
        </w:tc>
      </w:tr>
      <w:tr w:rsidR="00FA6F10" w:rsidRPr="00630129" w14:paraId="056096C9" w14:textId="77777777">
        <w:tc>
          <w:tcPr>
            <w:tcW w:w="1566" w:type="pct"/>
            <w:tcMar>
              <w:top w:w="68" w:type="dxa"/>
              <w:left w:w="68" w:type="dxa"/>
              <w:bottom w:w="68" w:type="dxa"/>
              <w:right w:w="68" w:type="dxa"/>
            </w:tcMar>
          </w:tcPr>
          <w:p w14:paraId="3530933A" w14:textId="77777777" w:rsidR="00FA6F10" w:rsidRPr="00630129" w:rsidRDefault="00FA6F10">
            <w:pPr>
              <w:rPr>
                <w:sz w:val="22"/>
                <w:szCs w:val="22"/>
                <w:vertAlign w:val="subscript"/>
              </w:rPr>
            </w:pPr>
            <w:proofErr w:type="spellStart"/>
            <w:r w:rsidRPr="00630129">
              <w:rPr>
                <w:sz w:val="22"/>
                <w:szCs w:val="22"/>
              </w:rPr>
              <w:lastRenderedPageBreak/>
              <w:t>MNMC</w:t>
            </w:r>
            <w:r w:rsidRPr="00630129">
              <w:rPr>
                <w:sz w:val="22"/>
                <w:szCs w:val="22"/>
                <w:vertAlign w:val="subscript"/>
              </w:rPr>
              <w:t>m</w:t>
            </w:r>
            <w:proofErr w:type="spellEnd"/>
          </w:p>
        </w:tc>
        <w:tc>
          <w:tcPr>
            <w:tcW w:w="808" w:type="pct"/>
            <w:tcMar>
              <w:top w:w="68" w:type="dxa"/>
              <w:left w:w="68" w:type="dxa"/>
              <w:bottom w:w="68" w:type="dxa"/>
              <w:right w:w="68" w:type="dxa"/>
            </w:tcMar>
          </w:tcPr>
          <w:p w14:paraId="238CEBC4"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703D93EB" w14:textId="77777777" w:rsidR="00FA6F10" w:rsidRPr="00630129" w:rsidRDefault="00FA6F10">
            <w:pPr>
              <w:rPr>
                <w:sz w:val="22"/>
                <w:szCs w:val="22"/>
              </w:rPr>
            </w:pPr>
            <w:r w:rsidRPr="00630129">
              <w:rPr>
                <w:sz w:val="22"/>
                <w:szCs w:val="22"/>
              </w:rPr>
              <w:t>Monthly Net Main Costs</w:t>
            </w:r>
          </w:p>
        </w:tc>
      </w:tr>
      <w:tr w:rsidR="00FA6F10" w:rsidRPr="00630129" w14:paraId="19D7BB8A" w14:textId="77777777">
        <w:tc>
          <w:tcPr>
            <w:tcW w:w="1566" w:type="pct"/>
            <w:tcMar>
              <w:top w:w="68" w:type="dxa"/>
              <w:left w:w="68" w:type="dxa"/>
              <w:bottom w:w="68" w:type="dxa"/>
              <w:right w:w="68" w:type="dxa"/>
            </w:tcMar>
          </w:tcPr>
          <w:p w14:paraId="65854C99" w14:textId="77777777" w:rsidR="00FA6F10" w:rsidRPr="00FA6F10" w:rsidRDefault="00FA6F10" w:rsidP="00FA6F10">
            <w:pPr>
              <w:rPr>
                <w:sz w:val="22"/>
                <w:szCs w:val="22"/>
              </w:rPr>
            </w:pPr>
            <w:r w:rsidRPr="00FC0D03">
              <w:rPr>
                <w:sz w:val="22"/>
              </w:rPr>
              <w:t>MPDV</w:t>
            </w:r>
          </w:p>
        </w:tc>
        <w:tc>
          <w:tcPr>
            <w:tcW w:w="808" w:type="pct"/>
            <w:tcMar>
              <w:top w:w="68" w:type="dxa"/>
              <w:left w:w="68" w:type="dxa"/>
              <w:bottom w:w="68" w:type="dxa"/>
              <w:right w:w="68" w:type="dxa"/>
            </w:tcMar>
          </w:tcPr>
          <w:p w14:paraId="45D87089" w14:textId="77777777" w:rsidR="00FA6F10" w:rsidRPr="00FA6F10" w:rsidRDefault="00FA6F10" w:rsidP="00FA6F10">
            <w:pPr>
              <w:rPr>
                <w:sz w:val="22"/>
                <w:szCs w:val="22"/>
              </w:rPr>
            </w:pPr>
            <w:r w:rsidRPr="00FC0D03">
              <w:rPr>
                <w:sz w:val="22"/>
              </w:rPr>
              <w:t>MWh</w:t>
            </w:r>
          </w:p>
        </w:tc>
        <w:tc>
          <w:tcPr>
            <w:tcW w:w="2626" w:type="pct"/>
            <w:tcMar>
              <w:top w:w="68" w:type="dxa"/>
              <w:left w:w="68" w:type="dxa"/>
              <w:bottom w:w="68" w:type="dxa"/>
              <w:right w:w="68" w:type="dxa"/>
            </w:tcMar>
          </w:tcPr>
          <w:p w14:paraId="1B620147" w14:textId="77777777" w:rsidR="00FA6F10" w:rsidRPr="00FA6F10" w:rsidRDefault="00FA6F10" w:rsidP="00FA6F10">
            <w:pPr>
              <w:rPr>
                <w:sz w:val="22"/>
                <w:szCs w:val="22"/>
              </w:rPr>
            </w:pPr>
            <w:r w:rsidRPr="00FC0D03">
              <w:rPr>
                <w:sz w:val="22"/>
              </w:rPr>
              <w:t>MSID Pair Delivered Volume</w:t>
            </w:r>
          </w:p>
        </w:tc>
      </w:tr>
      <w:tr w:rsidR="00FA6F10" w:rsidRPr="00630129" w14:paraId="2907D8D3" w14:textId="77777777">
        <w:tc>
          <w:tcPr>
            <w:tcW w:w="1566" w:type="pct"/>
            <w:tcMar>
              <w:top w:w="68" w:type="dxa"/>
              <w:left w:w="68" w:type="dxa"/>
              <w:bottom w:w="68" w:type="dxa"/>
              <w:right w:w="68" w:type="dxa"/>
            </w:tcMar>
          </w:tcPr>
          <w:p w14:paraId="04426033" w14:textId="77777777" w:rsidR="00FA6F10" w:rsidRPr="00630129" w:rsidRDefault="00FA6F10">
            <w:pPr>
              <w:rPr>
                <w:sz w:val="22"/>
                <w:szCs w:val="22"/>
              </w:rPr>
            </w:pPr>
            <w:proofErr w:type="spellStart"/>
            <w:r w:rsidRPr="00630129">
              <w:rPr>
                <w:sz w:val="22"/>
                <w:szCs w:val="22"/>
              </w:rPr>
              <w:t>MP</w:t>
            </w:r>
            <w:r w:rsidRPr="00630129">
              <w:rPr>
                <w:sz w:val="22"/>
                <w:szCs w:val="22"/>
                <w:vertAlign w:val="subscript"/>
              </w:rPr>
              <w:t>j</w:t>
            </w:r>
            <w:proofErr w:type="spellEnd"/>
          </w:p>
        </w:tc>
        <w:tc>
          <w:tcPr>
            <w:tcW w:w="808" w:type="pct"/>
            <w:tcMar>
              <w:top w:w="68" w:type="dxa"/>
              <w:left w:w="68" w:type="dxa"/>
              <w:bottom w:w="68" w:type="dxa"/>
              <w:right w:w="68" w:type="dxa"/>
            </w:tcMar>
          </w:tcPr>
          <w:p w14:paraId="01712773" w14:textId="77777777" w:rsidR="00FA6F10" w:rsidRPr="00630129" w:rsidRDefault="00FA6F10">
            <w:pPr>
              <w:rPr>
                <w:sz w:val="22"/>
                <w:szCs w:val="22"/>
              </w:rPr>
            </w:pPr>
          </w:p>
        </w:tc>
        <w:tc>
          <w:tcPr>
            <w:tcW w:w="2626" w:type="pct"/>
            <w:tcMar>
              <w:top w:w="68" w:type="dxa"/>
              <w:left w:w="68" w:type="dxa"/>
              <w:bottom w:w="68" w:type="dxa"/>
              <w:right w:w="68" w:type="dxa"/>
            </w:tcMar>
          </w:tcPr>
          <w:p w14:paraId="6D030C9D" w14:textId="77777777" w:rsidR="00FA6F10" w:rsidRPr="00630129" w:rsidRDefault="00FA6F10">
            <w:pPr>
              <w:rPr>
                <w:sz w:val="22"/>
                <w:szCs w:val="22"/>
              </w:rPr>
            </w:pPr>
            <w:r w:rsidRPr="00630129">
              <w:rPr>
                <w:sz w:val="22"/>
                <w:szCs w:val="22"/>
              </w:rPr>
              <w:t>Market Price</w:t>
            </w:r>
          </w:p>
        </w:tc>
      </w:tr>
      <w:tr w:rsidR="00FA6F10" w:rsidRPr="00630129" w14:paraId="6CE5AD6F" w14:textId="77777777">
        <w:tc>
          <w:tcPr>
            <w:tcW w:w="1566" w:type="pct"/>
            <w:tcMar>
              <w:top w:w="68" w:type="dxa"/>
              <w:left w:w="68" w:type="dxa"/>
              <w:bottom w:w="68" w:type="dxa"/>
              <w:right w:w="68" w:type="dxa"/>
            </w:tcMar>
          </w:tcPr>
          <w:p w14:paraId="2D15EA59" w14:textId="77777777" w:rsidR="00FA6F10" w:rsidRPr="00630129" w:rsidRDefault="00FA6F10">
            <w:pPr>
              <w:rPr>
                <w:sz w:val="22"/>
                <w:szCs w:val="22"/>
                <w:vertAlign w:val="subscript"/>
              </w:rPr>
            </w:pPr>
            <w:proofErr w:type="spellStart"/>
            <w:r w:rsidRPr="00630129">
              <w:rPr>
                <w:sz w:val="22"/>
                <w:szCs w:val="22"/>
              </w:rPr>
              <w:t>MPSC</w:t>
            </w:r>
            <w:r w:rsidRPr="00630129">
              <w:rPr>
                <w:sz w:val="22"/>
                <w:szCs w:val="22"/>
                <w:vertAlign w:val="subscript"/>
              </w:rPr>
              <w:t>m</w:t>
            </w:r>
            <w:proofErr w:type="spellEnd"/>
          </w:p>
        </w:tc>
        <w:tc>
          <w:tcPr>
            <w:tcW w:w="808" w:type="pct"/>
            <w:tcMar>
              <w:top w:w="68" w:type="dxa"/>
              <w:left w:w="68" w:type="dxa"/>
              <w:bottom w:w="68" w:type="dxa"/>
              <w:right w:w="68" w:type="dxa"/>
            </w:tcMar>
          </w:tcPr>
          <w:p w14:paraId="3CCC2E0D"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000F7AC6" w14:textId="77777777" w:rsidR="00FA6F10" w:rsidRPr="00630129" w:rsidRDefault="00FA6F10">
            <w:pPr>
              <w:rPr>
                <w:sz w:val="22"/>
                <w:szCs w:val="22"/>
              </w:rPr>
            </w:pPr>
            <w:r w:rsidRPr="00630129">
              <w:rPr>
                <w:sz w:val="22"/>
                <w:szCs w:val="22"/>
              </w:rPr>
              <w:t>Monthly Production-Charging SVA Costs</w:t>
            </w:r>
          </w:p>
        </w:tc>
      </w:tr>
      <w:tr w:rsidR="00FA6F10" w:rsidRPr="00630129" w14:paraId="08441831" w14:textId="77777777">
        <w:tc>
          <w:tcPr>
            <w:tcW w:w="1566" w:type="pct"/>
            <w:tcMar>
              <w:top w:w="68" w:type="dxa"/>
              <w:left w:w="68" w:type="dxa"/>
              <w:bottom w:w="68" w:type="dxa"/>
              <w:right w:w="68" w:type="dxa"/>
            </w:tcMar>
          </w:tcPr>
          <w:p w14:paraId="423B5B4F" w14:textId="77777777" w:rsidR="00FA6F10" w:rsidRPr="00630129" w:rsidRDefault="00FA6F10">
            <w:pPr>
              <w:rPr>
                <w:sz w:val="22"/>
                <w:szCs w:val="22"/>
              </w:rPr>
            </w:pPr>
            <w:r w:rsidRPr="00630129">
              <w:rPr>
                <w:sz w:val="22"/>
                <w:szCs w:val="22"/>
              </w:rPr>
              <w:t>n</w:t>
            </w:r>
          </w:p>
        </w:tc>
        <w:tc>
          <w:tcPr>
            <w:tcW w:w="808" w:type="pct"/>
            <w:tcMar>
              <w:top w:w="68" w:type="dxa"/>
              <w:left w:w="68" w:type="dxa"/>
              <w:bottom w:w="68" w:type="dxa"/>
              <w:right w:w="68" w:type="dxa"/>
            </w:tcMar>
          </w:tcPr>
          <w:p w14:paraId="7A2AC109" w14:textId="77777777" w:rsidR="00FA6F10" w:rsidRPr="00630129" w:rsidRDefault="00FA6F10">
            <w:pPr>
              <w:rPr>
                <w:sz w:val="22"/>
                <w:szCs w:val="22"/>
              </w:rPr>
            </w:pPr>
          </w:p>
        </w:tc>
        <w:tc>
          <w:tcPr>
            <w:tcW w:w="2626" w:type="pct"/>
            <w:tcMar>
              <w:top w:w="68" w:type="dxa"/>
              <w:left w:w="68" w:type="dxa"/>
              <w:bottom w:w="68" w:type="dxa"/>
              <w:right w:w="68" w:type="dxa"/>
            </w:tcMar>
          </w:tcPr>
          <w:p w14:paraId="553C6038" w14:textId="77777777" w:rsidR="00FA6F10" w:rsidRPr="00630129" w:rsidRDefault="00FA6F10">
            <w:pPr>
              <w:rPr>
                <w:sz w:val="22"/>
                <w:szCs w:val="22"/>
              </w:rPr>
            </w:pPr>
            <w:r w:rsidRPr="00630129">
              <w:rPr>
                <w:sz w:val="22"/>
                <w:szCs w:val="22"/>
              </w:rPr>
              <w:t>Bid-Offer Pair Number</w:t>
            </w:r>
          </w:p>
        </w:tc>
      </w:tr>
      <w:tr w:rsidR="00FA6F10" w:rsidRPr="00630129" w14:paraId="7B328E8C" w14:textId="77777777">
        <w:tc>
          <w:tcPr>
            <w:tcW w:w="1566" w:type="pct"/>
            <w:tcMar>
              <w:top w:w="68" w:type="dxa"/>
              <w:left w:w="68" w:type="dxa"/>
              <w:bottom w:w="68" w:type="dxa"/>
              <w:right w:w="68" w:type="dxa"/>
            </w:tcMar>
          </w:tcPr>
          <w:p w14:paraId="3760CD18" w14:textId="77777777" w:rsidR="00FA6F10" w:rsidRPr="00630129" w:rsidRDefault="00FA6F10">
            <w:pPr>
              <w:rPr>
                <w:sz w:val="22"/>
                <w:szCs w:val="22"/>
              </w:rPr>
            </w:pPr>
            <w:proofErr w:type="spellStart"/>
            <w:r w:rsidRPr="00630129">
              <w:rPr>
                <w:sz w:val="22"/>
                <w:szCs w:val="22"/>
              </w:rPr>
              <w:t>NDPB</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17A8DB87"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3FA7A4C" w14:textId="77777777" w:rsidR="00FA6F10" w:rsidRPr="00630129" w:rsidRDefault="00FA6F10">
            <w:pPr>
              <w:rPr>
                <w:sz w:val="22"/>
                <w:szCs w:val="22"/>
              </w:rPr>
            </w:pPr>
            <w:r w:rsidRPr="00630129">
              <w:rPr>
                <w:sz w:val="22"/>
                <w:szCs w:val="22"/>
              </w:rPr>
              <w:t>Non-Delivered Bid Price</w:t>
            </w:r>
          </w:p>
        </w:tc>
      </w:tr>
      <w:tr w:rsidR="00FA6F10" w:rsidRPr="00630129" w14:paraId="09356C17" w14:textId="77777777">
        <w:tc>
          <w:tcPr>
            <w:tcW w:w="1566" w:type="pct"/>
            <w:tcMar>
              <w:top w:w="68" w:type="dxa"/>
              <w:left w:w="68" w:type="dxa"/>
              <w:bottom w:w="68" w:type="dxa"/>
              <w:right w:w="68" w:type="dxa"/>
            </w:tcMar>
          </w:tcPr>
          <w:p w14:paraId="5D938200" w14:textId="77777777" w:rsidR="00FA6F10" w:rsidRPr="00630129" w:rsidRDefault="00FA6F10">
            <w:pPr>
              <w:rPr>
                <w:sz w:val="22"/>
                <w:szCs w:val="22"/>
              </w:rPr>
            </w:pPr>
            <w:proofErr w:type="spellStart"/>
            <w:r w:rsidRPr="00630129">
              <w:rPr>
                <w:sz w:val="22"/>
                <w:szCs w:val="22"/>
              </w:rPr>
              <w:t>NDPO</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7EEF1EA0"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3676DE28" w14:textId="77777777" w:rsidR="00FA6F10" w:rsidRPr="00630129" w:rsidRDefault="00FA6F10">
            <w:pPr>
              <w:rPr>
                <w:sz w:val="22"/>
                <w:szCs w:val="22"/>
              </w:rPr>
            </w:pPr>
            <w:r w:rsidRPr="00630129">
              <w:rPr>
                <w:sz w:val="22"/>
                <w:szCs w:val="22"/>
              </w:rPr>
              <w:t>Non-Delivered Offer Price</w:t>
            </w:r>
          </w:p>
        </w:tc>
      </w:tr>
      <w:tr w:rsidR="00FA6F10" w:rsidRPr="00630129" w14:paraId="3CEB6D39" w14:textId="77777777">
        <w:tc>
          <w:tcPr>
            <w:tcW w:w="1566" w:type="pct"/>
            <w:tcMar>
              <w:top w:w="68" w:type="dxa"/>
              <w:left w:w="68" w:type="dxa"/>
              <w:bottom w:w="68" w:type="dxa"/>
              <w:right w:w="68" w:type="dxa"/>
            </w:tcMar>
          </w:tcPr>
          <w:p w14:paraId="618073BD" w14:textId="77777777" w:rsidR="00FA6F10" w:rsidRPr="00630129" w:rsidRDefault="00FA6F10">
            <w:pPr>
              <w:rPr>
                <w:sz w:val="22"/>
                <w:szCs w:val="22"/>
              </w:rPr>
            </w:pPr>
            <w:proofErr w:type="spellStart"/>
            <w:r w:rsidRPr="00630129">
              <w:rPr>
                <w:sz w:val="22"/>
                <w:szCs w:val="22"/>
              </w:rPr>
              <w:t>NIV</w:t>
            </w:r>
            <w:r w:rsidRPr="00630129">
              <w:rPr>
                <w:sz w:val="22"/>
                <w:szCs w:val="22"/>
                <w:vertAlign w:val="subscript"/>
              </w:rPr>
              <w:t>j</w:t>
            </w:r>
            <w:proofErr w:type="spellEnd"/>
          </w:p>
        </w:tc>
        <w:tc>
          <w:tcPr>
            <w:tcW w:w="808" w:type="pct"/>
            <w:tcMar>
              <w:top w:w="68" w:type="dxa"/>
              <w:left w:w="68" w:type="dxa"/>
              <w:bottom w:w="68" w:type="dxa"/>
              <w:right w:w="68" w:type="dxa"/>
            </w:tcMar>
          </w:tcPr>
          <w:p w14:paraId="17E4FB25"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68379FB" w14:textId="77777777" w:rsidR="00FA6F10" w:rsidRPr="00630129" w:rsidRDefault="00FA6F10">
            <w:pPr>
              <w:rPr>
                <w:sz w:val="22"/>
                <w:szCs w:val="22"/>
              </w:rPr>
            </w:pPr>
            <w:r w:rsidRPr="00630129">
              <w:rPr>
                <w:sz w:val="22"/>
                <w:szCs w:val="22"/>
              </w:rPr>
              <w:t>Net Imbalance Volume</w:t>
            </w:r>
          </w:p>
        </w:tc>
      </w:tr>
      <w:tr w:rsidR="00FA6F10" w:rsidRPr="00630129" w14:paraId="12CB5F81" w14:textId="77777777">
        <w:tc>
          <w:tcPr>
            <w:tcW w:w="1566" w:type="pct"/>
            <w:tcMar>
              <w:top w:w="68" w:type="dxa"/>
              <w:left w:w="68" w:type="dxa"/>
              <w:bottom w:w="68" w:type="dxa"/>
              <w:right w:w="68" w:type="dxa"/>
            </w:tcMar>
          </w:tcPr>
          <w:p w14:paraId="2EC9F1C9" w14:textId="77777777" w:rsidR="00FA6F10" w:rsidRPr="00630129" w:rsidRDefault="00FA6F10">
            <w:pPr>
              <w:rPr>
                <w:sz w:val="22"/>
                <w:szCs w:val="22"/>
              </w:rPr>
            </w:pPr>
            <w:proofErr w:type="spellStart"/>
            <w:r w:rsidRPr="00630129">
              <w:rPr>
                <w:sz w:val="22"/>
                <w:szCs w:val="22"/>
              </w:rPr>
              <w:t>NTEBVA</w:t>
            </w:r>
            <w:r w:rsidRPr="00630129">
              <w:rPr>
                <w:sz w:val="22"/>
                <w:szCs w:val="22"/>
                <w:vertAlign w:val="subscript"/>
              </w:rPr>
              <w:t>j</w:t>
            </w:r>
            <w:proofErr w:type="spellEnd"/>
          </w:p>
        </w:tc>
        <w:tc>
          <w:tcPr>
            <w:tcW w:w="808" w:type="pct"/>
            <w:tcMar>
              <w:top w:w="68" w:type="dxa"/>
              <w:left w:w="68" w:type="dxa"/>
              <w:bottom w:w="68" w:type="dxa"/>
              <w:right w:w="68" w:type="dxa"/>
            </w:tcMar>
          </w:tcPr>
          <w:p w14:paraId="144D69D7"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78E20AF5" w14:textId="77777777" w:rsidR="00FA6F10" w:rsidRPr="00630129" w:rsidRDefault="00FA6F10">
            <w:pPr>
              <w:rPr>
                <w:sz w:val="22"/>
                <w:szCs w:val="22"/>
              </w:rPr>
            </w:pPr>
            <w:r w:rsidRPr="00630129">
              <w:rPr>
                <w:sz w:val="22"/>
                <w:szCs w:val="22"/>
              </w:rPr>
              <w:t>NIV Tagged EBVA</w:t>
            </w:r>
          </w:p>
        </w:tc>
      </w:tr>
      <w:tr w:rsidR="00FA6F10" w:rsidRPr="00630129" w14:paraId="326F713E" w14:textId="77777777">
        <w:tc>
          <w:tcPr>
            <w:tcW w:w="1566" w:type="pct"/>
            <w:tcMar>
              <w:top w:w="68" w:type="dxa"/>
              <w:left w:w="68" w:type="dxa"/>
              <w:bottom w:w="68" w:type="dxa"/>
              <w:right w:w="68" w:type="dxa"/>
            </w:tcMar>
          </w:tcPr>
          <w:p w14:paraId="1F1B8D24" w14:textId="77777777" w:rsidR="00FA6F10" w:rsidRPr="00630129" w:rsidRDefault="00FA6F10">
            <w:pPr>
              <w:rPr>
                <w:sz w:val="22"/>
                <w:szCs w:val="22"/>
              </w:rPr>
            </w:pPr>
            <w:proofErr w:type="spellStart"/>
            <w:r w:rsidRPr="00630129">
              <w:rPr>
                <w:sz w:val="22"/>
                <w:szCs w:val="22"/>
              </w:rPr>
              <w:t>NTESVA</w:t>
            </w:r>
            <w:r w:rsidRPr="00630129">
              <w:rPr>
                <w:sz w:val="22"/>
                <w:szCs w:val="22"/>
                <w:vertAlign w:val="subscript"/>
              </w:rPr>
              <w:t>j</w:t>
            </w:r>
            <w:proofErr w:type="spellEnd"/>
          </w:p>
        </w:tc>
        <w:tc>
          <w:tcPr>
            <w:tcW w:w="808" w:type="pct"/>
            <w:tcMar>
              <w:top w:w="68" w:type="dxa"/>
              <w:left w:w="68" w:type="dxa"/>
              <w:bottom w:w="68" w:type="dxa"/>
              <w:right w:w="68" w:type="dxa"/>
            </w:tcMar>
          </w:tcPr>
          <w:p w14:paraId="7F02572C"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17D71C90" w14:textId="77777777" w:rsidR="00FA6F10" w:rsidRPr="00630129" w:rsidRDefault="00FA6F10">
            <w:pPr>
              <w:rPr>
                <w:sz w:val="22"/>
                <w:szCs w:val="22"/>
              </w:rPr>
            </w:pPr>
            <w:r w:rsidRPr="00630129">
              <w:rPr>
                <w:sz w:val="22"/>
                <w:szCs w:val="22"/>
              </w:rPr>
              <w:t>NIV Tagged ESVA</w:t>
            </w:r>
          </w:p>
        </w:tc>
      </w:tr>
      <w:tr w:rsidR="00FA6F10" w:rsidRPr="00630129" w14:paraId="11CE61F1" w14:textId="77777777">
        <w:tc>
          <w:tcPr>
            <w:tcW w:w="1566" w:type="pct"/>
            <w:tcMar>
              <w:top w:w="68" w:type="dxa"/>
              <w:left w:w="68" w:type="dxa"/>
              <w:bottom w:w="68" w:type="dxa"/>
              <w:right w:w="68" w:type="dxa"/>
            </w:tcMar>
          </w:tcPr>
          <w:p w14:paraId="78582273" w14:textId="77777777" w:rsidR="00FA6F10" w:rsidRPr="00630129" w:rsidRDefault="00FA6F10">
            <w:pPr>
              <w:rPr>
                <w:sz w:val="22"/>
                <w:szCs w:val="22"/>
              </w:rPr>
            </w:pPr>
            <w:proofErr w:type="spellStart"/>
            <w:r w:rsidRPr="00630129">
              <w:rPr>
                <w:sz w:val="22"/>
                <w:szCs w:val="22"/>
              </w:rPr>
              <w:t>NUEBVA</w:t>
            </w:r>
            <w:r w:rsidRPr="00630129">
              <w:rPr>
                <w:sz w:val="22"/>
                <w:szCs w:val="22"/>
                <w:vertAlign w:val="subscript"/>
              </w:rPr>
              <w:t>j</w:t>
            </w:r>
            <w:proofErr w:type="spellEnd"/>
          </w:p>
        </w:tc>
        <w:tc>
          <w:tcPr>
            <w:tcW w:w="808" w:type="pct"/>
            <w:tcMar>
              <w:top w:w="68" w:type="dxa"/>
              <w:left w:w="68" w:type="dxa"/>
              <w:bottom w:w="68" w:type="dxa"/>
              <w:right w:w="68" w:type="dxa"/>
            </w:tcMar>
          </w:tcPr>
          <w:p w14:paraId="682E8831"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5C2BA7BA" w14:textId="77777777" w:rsidR="00FA6F10" w:rsidRPr="00630129" w:rsidRDefault="00FA6F10">
            <w:pPr>
              <w:rPr>
                <w:sz w:val="22"/>
                <w:szCs w:val="22"/>
              </w:rPr>
            </w:pPr>
            <w:r w:rsidRPr="00630129">
              <w:rPr>
                <w:sz w:val="22"/>
                <w:szCs w:val="22"/>
              </w:rPr>
              <w:t>NIV Untagged EBVA</w:t>
            </w:r>
          </w:p>
        </w:tc>
      </w:tr>
      <w:tr w:rsidR="00FA6F10" w:rsidRPr="00630129" w14:paraId="731EC451" w14:textId="77777777">
        <w:tc>
          <w:tcPr>
            <w:tcW w:w="1566" w:type="pct"/>
            <w:tcMar>
              <w:top w:w="68" w:type="dxa"/>
              <w:left w:w="68" w:type="dxa"/>
              <w:bottom w:w="68" w:type="dxa"/>
              <w:right w:w="68" w:type="dxa"/>
            </w:tcMar>
          </w:tcPr>
          <w:p w14:paraId="35900616" w14:textId="77777777" w:rsidR="00FA6F10" w:rsidRPr="00630129" w:rsidRDefault="00FA6F10">
            <w:pPr>
              <w:rPr>
                <w:sz w:val="22"/>
                <w:szCs w:val="22"/>
              </w:rPr>
            </w:pPr>
            <w:proofErr w:type="spellStart"/>
            <w:r w:rsidRPr="00630129">
              <w:rPr>
                <w:sz w:val="22"/>
                <w:szCs w:val="22"/>
              </w:rPr>
              <w:t>NUESVA</w:t>
            </w:r>
            <w:r w:rsidRPr="00630129">
              <w:rPr>
                <w:sz w:val="22"/>
                <w:szCs w:val="22"/>
                <w:vertAlign w:val="subscript"/>
              </w:rPr>
              <w:t>j</w:t>
            </w:r>
            <w:proofErr w:type="spellEnd"/>
          </w:p>
        </w:tc>
        <w:tc>
          <w:tcPr>
            <w:tcW w:w="808" w:type="pct"/>
            <w:tcMar>
              <w:top w:w="68" w:type="dxa"/>
              <w:left w:w="68" w:type="dxa"/>
              <w:bottom w:w="68" w:type="dxa"/>
              <w:right w:w="68" w:type="dxa"/>
            </w:tcMar>
          </w:tcPr>
          <w:p w14:paraId="714641EC"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2F5BE2F6" w14:textId="77777777" w:rsidR="00FA6F10" w:rsidRPr="00630129" w:rsidRDefault="00FA6F10">
            <w:pPr>
              <w:rPr>
                <w:sz w:val="22"/>
                <w:szCs w:val="22"/>
              </w:rPr>
            </w:pPr>
            <w:r w:rsidRPr="00630129">
              <w:rPr>
                <w:sz w:val="22"/>
                <w:szCs w:val="22"/>
              </w:rPr>
              <w:t>NIV Untagged ESVA</w:t>
            </w:r>
          </w:p>
        </w:tc>
      </w:tr>
      <w:tr w:rsidR="00FA6F10" w:rsidRPr="00630129" w14:paraId="24486E28" w14:textId="77777777">
        <w:tc>
          <w:tcPr>
            <w:tcW w:w="1566" w:type="pct"/>
            <w:tcMar>
              <w:top w:w="68" w:type="dxa"/>
              <w:left w:w="68" w:type="dxa"/>
              <w:bottom w:w="68" w:type="dxa"/>
              <w:right w:w="68" w:type="dxa"/>
            </w:tcMar>
          </w:tcPr>
          <w:p w14:paraId="7E5E462B" w14:textId="77777777" w:rsidR="00FA6F10" w:rsidRPr="00630129" w:rsidRDefault="00FA6F10">
            <w:pPr>
              <w:rPr>
                <w:sz w:val="22"/>
                <w:szCs w:val="22"/>
              </w:rPr>
            </w:pPr>
            <w:proofErr w:type="spellStart"/>
            <w:r w:rsidRPr="00630129">
              <w:rPr>
                <w:sz w:val="22"/>
                <w:szCs w:val="22"/>
              </w:rPr>
              <w:t>NWDCALF</w:t>
            </w:r>
            <w:r w:rsidRPr="00630129">
              <w:rPr>
                <w:sz w:val="22"/>
                <w:szCs w:val="22"/>
                <w:vertAlign w:val="subscript"/>
              </w:rPr>
              <w:t>i</w:t>
            </w:r>
            <w:proofErr w:type="spellEnd"/>
          </w:p>
        </w:tc>
        <w:tc>
          <w:tcPr>
            <w:tcW w:w="808" w:type="pct"/>
            <w:tcMar>
              <w:top w:w="68" w:type="dxa"/>
              <w:left w:w="68" w:type="dxa"/>
              <w:bottom w:w="68" w:type="dxa"/>
              <w:right w:w="68" w:type="dxa"/>
            </w:tcMar>
          </w:tcPr>
          <w:p w14:paraId="01B6CB72" w14:textId="77777777" w:rsidR="00FA6F10" w:rsidRPr="00630129" w:rsidRDefault="00FA6F10">
            <w:pPr>
              <w:rPr>
                <w:sz w:val="22"/>
                <w:szCs w:val="22"/>
              </w:rPr>
            </w:pPr>
          </w:p>
        </w:tc>
        <w:tc>
          <w:tcPr>
            <w:tcW w:w="2626" w:type="pct"/>
            <w:tcMar>
              <w:top w:w="68" w:type="dxa"/>
              <w:left w:w="68" w:type="dxa"/>
              <w:bottom w:w="68" w:type="dxa"/>
              <w:right w:w="68" w:type="dxa"/>
            </w:tcMar>
          </w:tcPr>
          <w:p w14:paraId="5CA79693" w14:textId="77777777" w:rsidR="00FA6F10" w:rsidRPr="00630129" w:rsidRDefault="00FA6F10">
            <w:pPr>
              <w:rPr>
                <w:sz w:val="22"/>
                <w:szCs w:val="22"/>
              </w:rPr>
            </w:pPr>
            <w:r w:rsidRPr="00630129">
              <w:rPr>
                <w:sz w:val="22"/>
                <w:szCs w:val="22"/>
              </w:rPr>
              <w:t>Non-Working Day Credit Assessment Load Factor</w:t>
            </w:r>
          </w:p>
        </w:tc>
      </w:tr>
      <w:tr w:rsidR="00FA6F10" w:rsidRPr="00630129" w14:paraId="50079AFE" w14:textId="77777777">
        <w:tc>
          <w:tcPr>
            <w:tcW w:w="1566" w:type="pct"/>
            <w:tcMar>
              <w:top w:w="68" w:type="dxa"/>
              <w:left w:w="68" w:type="dxa"/>
              <w:bottom w:w="68" w:type="dxa"/>
              <w:right w:w="68" w:type="dxa"/>
            </w:tcMar>
          </w:tcPr>
          <w:p w14:paraId="09B6BC77" w14:textId="77777777" w:rsidR="00FA6F10" w:rsidRPr="00630129" w:rsidRDefault="00FA6F10">
            <w:pPr>
              <w:rPr>
                <w:sz w:val="22"/>
                <w:szCs w:val="22"/>
              </w:rPr>
            </w:pPr>
            <w:r w:rsidRPr="00630129">
              <w:rPr>
                <w:sz w:val="22"/>
                <w:szCs w:val="22"/>
              </w:rPr>
              <w:t>OCNMFD</w:t>
            </w:r>
          </w:p>
        </w:tc>
        <w:tc>
          <w:tcPr>
            <w:tcW w:w="808" w:type="pct"/>
            <w:tcMar>
              <w:top w:w="68" w:type="dxa"/>
              <w:left w:w="68" w:type="dxa"/>
              <w:bottom w:w="68" w:type="dxa"/>
              <w:right w:w="68" w:type="dxa"/>
            </w:tcMar>
          </w:tcPr>
          <w:p w14:paraId="4268E318"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4CDCDC98" w14:textId="77777777" w:rsidR="00FA6F10" w:rsidRPr="00630129" w:rsidRDefault="00FA6F10">
            <w:pPr>
              <w:rPr>
                <w:sz w:val="22"/>
                <w:szCs w:val="22"/>
              </w:rPr>
            </w:pPr>
            <w:r w:rsidRPr="00630129">
              <w:rPr>
                <w:sz w:val="22"/>
                <w:szCs w:val="22"/>
              </w:rPr>
              <w:t xml:space="preserve">Generating Plant Demand Margin (daily value) </w:t>
            </w:r>
          </w:p>
        </w:tc>
      </w:tr>
      <w:tr w:rsidR="00FA6F10" w:rsidRPr="00630129" w14:paraId="627BFB93" w14:textId="77777777">
        <w:tc>
          <w:tcPr>
            <w:tcW w:w="1566" w:type="pct"/>
            <w:tcMar>
              <w:top w:w="68" w:type="dxa"/>
              <w:left w:w="68" w:type="dxa"/>
              <w:bottom w:w="68" w:type="dxa"/>
              <w:right w:w="68" w:type="dxa"/>
            </w:tcMar>
          </w:tcPr>
          <w:p w14:paraId="4ED1F211" w14:textId="77777777" w:rsidR="00FA6F10" w:rsidRPr="00630129" w:rsidRDefault="00FA6F10">
            <w:pPr>
              <w:rPr>
                <w:sz w:val="22"/>
                <w:szCs w:val="22"/>
              </w:rPr>
            </w:pPr>
            <w:r w:rsidRPr="00630129">
              <w:rPr>
                <w:sz w:val="22"/>
                <w:szCs w:val="22"/>
              </w:rPr>
              <w:t>OCNMFW</w:t>
            </w:r>
          </w:p>
        </w:tc>
        <w:tc>
          <w:tcPr>
            <w:tcW w:w="808" w:type="pct"/>
            <w:tcMar>
              <w:top w:w="68" w:type="dxa"/>
              <w:left w:w="68" w:type="dxa"/>
              <w:bottom w:w="68" w:type="dxa"/>
              <w:right w:w="68" w:type="dxa"/>
            </w:tcMar>
          </w:tcPr>
          <w:p w14:paraId="67405050"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2955FA9C" w14:textId="77777777" w:rsidR="00FA6F10" w:rsidRPr="00630129" w:rsidRDefault="00FA6F10">
            <w:pPr>
              <w:rPr>
                <w:sz w:val="22"/>
                <w:szCs w:val="22"/>
              </w:rPr>
            </w:pPr>
            <w:r w:rsidRPr="00630129">
              <w:rPr>
                <w:sz w:val="22"/>
                <w:szCs w:val="22"/>
              </w:rPr>
              <w:t>Generating Plant Demand Margin (weekly value)</w:t>
            </w:r>
          </w:p>
        </w:tc>
      </w:tr>
      <w:tr w:rsidR="00FA6F10" w:rsidRPr="00630129" w14:paraId="30851941" w14:textId="77777777">
        <w:tc>
          <w:tcPr>
            <w:tcW w:w="1566" w:type="pct"/>
            <w:tcMar>
              <w:top w:w="68" w:type="dxa"/>
              <w:left w:w="68" w:type="dxa"/>
              <w:bottom w:w="68" w:type="dxa"/>
              <w:right w:w="68" w:type="dxa"/>
            </w:tcMar>
          </w:tcPr>
          <w:p w14:paraId="496F2C7D" w14:textId="77777777" w:rsidR="00FA6F10" w:rsidRPr="00630129" w:rsidRDefault="00FA6F10">
            <w:pPr>
              <w:rPr>
                <w:sz w:val="22"/>
                <w:szCs w:val="22"/>
              </w:rPr>
            </w:pPr>
            <w:r w:rsidRPr="00630129">
              <w:rPr>
                <w:sz w:val="22"/>
                <w:szCs w:val="22"/>
              </w:rPr>
              <w:t>PAR</w:t>
            </w:r>
          </w:p>
        </w:tc>
        <w:tc>
          <w:tcPr>
            <w:tcW w:w="808" w:type="pct"/>
            <w:tcMar>
              <w:top w:w="68" w:type="dxa"/>
              <w:left w:w="68" w:type="dxa"/>
              <w:bottom w:w="68" w:type="dxa"/>
              <w:right w:w="68" w:type="dxa"/>
            </w:tcMar>
          </w:tcPr>
          <w:p w14:paraId="490A9B70"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36FA0456" w14:textId="77777777" w:rsidR="00FA6F10" w:rsidRPr="00630129" w:rsidRDefault="00FA6F10">
            <w:pPr>
              <w:rPr>
                <w:sz w:val="22"/>
                <w:szCs w:val="22"/>
              </w:rPr>
            </w:pPr>
            <w:r w:rsidRPr="00630129">
              <w:rPr>
                <w:sz w:val="22"/>
                <w:szCs w:val="22"/>
              </w:rPr>
              <w:t>Price Average Reference Volume</w:t>
            </w:r>
          </w:p>
        </w:tc>
      </w:tr>
      <w:tr w:rsidR="00FA6F10" w:rsidRPr="00630129" w14:paraId="3D282C5F" w14:textId="77777777">
        <w:tc>
          <w:tcPr>
            <w:tcW w:w="1566" w:type="pct"/>
            <w:tcMar>
              <w:top w:w="68" w:type="dxa"/>
              <w:left w:w="68" w:type="dxa"/>
              <w:bottom w:w="68" w:type="dxa"/>
              <w:right w:w="68" w:type="dxa"/>
            </w:tcMar>
          </w:tcPr>
          <w:p w14:paraId="7D26AD6C" w14:textId="77777777" w:rsidR="00FA6F10" w:rsidRPr="00630129" w:rsidRDefault="00FA6F10">
            <w:pPr>
              <w:rPr>
                <w:sz w:val="22"/>
                <w:szCs w:val="22"/>
              </w:rPr>
            </w:pPr>
            <w:proofErr w:type="spellStart"/>
            <w:r w:rsidRPr="00630129">
              <w:rPr>
                <w:sz w:val="22"/>
                <w:szCs w:val="22"/>
              </w:rPr>
              <w:t>PB</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4FD80E21"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2EA2F89B" w14:textId="77777777" w:rsidR="00FA6F10" w:rsidRPr="00630129" w:rsidRDefault="00FA6F10">
            <w:pPr>
              <w:rPr>
                <w:sz w:val="22"/>
                <w:szCs w:val="22"/>
              </w:rPr>
            </w:pPr>
            <w:r w:rsidRPr="00630129">
              <w:rPr>
                <w:sz w:val="22"/>
                <w:szCs w:val="22"/>
              </w:rPr>
              <w:t>Bid Price</w:t>
            </w:r>
          </w:p>
        </w:tc>
      </w:tr>
      <w:tr w:rsidR="00FA6F10" w:rsidRPr="00630129" w14:paraId="738629E6" w14:textId="77777777">
        <w:tc>
          <w:tcPr>
            <w:tcW w:w="1566" w:type="pct"/>
            <w:tcMar>
              <w:top w:w="68" w:type="dxa"/>
              <w:left w:w="68" w:type="dxa"/>
              <w:bottom w:w="68" w:type="dxa"/>
              <w:right w:w="68" w:type="dxa"/>
            </w:tcMar>
          </w:tcPr>
          <w:p w14:paraId="493B1F17" w14:textId="77777777" w:rsidR="00FA6F10" w:rsidRPr="00630129" w:rsidRDefault="00FA6F10">
            <w:pPr>
              <w:rPr>
                <w:sz w:val="22"/>
                <w:szCs w:val="22"/>
              </w:rPr>
            </w:pPr>
            <w:proofErr w:type="spellStart"/>
            <w:r w:rsidRPr="00630129">
              <w:rPr>
                <w:sz w:val="22"/>
                <w:szCs w:val="22"/>
              </w:rPr>
              <w:t>PO</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7C248261"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1FAAB8F4" w14:textId="77777777" w:rsidR="00FA6F10" w:rsidRPr="00630129" w:rsidRDefault="00FA6F10">
            <w:pPr>
              <w:rPr>
                <w:sz w:val="22"/>
                <w:szCs w:val="22"/>
              </w:rPr>
            </w:pPr>
            <w:r w:rsidRPr="00630129">
              <w:rPr>
                <w:sz w:val="22"/>
                <w:szCs w:val="22"/>
              </w:rPr>
              <w:t>Offer Price</w:t>
            </w:r>
          </w:p>
        </w:tc>
      </w:tr>
      <w:tr w:rsidR="00FA6F10" w:rsidRPr="00630129" w14:paraId="690BD4BC" w14:textId="77777777">
        <w:tc>
          <w:tcPr>
            <w:tcW w:w="1566" w:type="pct"/>
            <w:tcMar>
              <w:top w:w="68" w:type="dxa"/>
              <w:left w:w="68" w:type="dxa"/>
              <w:bottom w:w="68" w:type="dxa"/>
              <w:right w:w="68" w:type="dxa"/>
            </w:tcMar>
          </w:tcPr>
          <w:p w14:paraId="7D0264C5" w14:textId="77777777" w:rsidR="00FA6F10" w:rsidRPr="00630129" w:rsidRDefault="00FA6F10">
            <w:pPr>
              <w:rPr>
                <w:sz w:val="22"/>
                <w:szCs w:val="22"/>
              </w:rPr>
            </w:pPr>
            <w:proofErr w:type="spellStart"/>
            <w:r w:rsidRPr="00630129">
              <w:rPr>
                <w:sz w:val="22"/>
                <w:szCs w:val="22"/>
              </w:rPr>
              <w:t>PXP</w:t>
            </w:r>
            <w:r w:rsidRPr="00630129">
              <w:rPr>
                <w:sz w:val="22"/>
                <w:szCs w:val="22"/>
                <w:vertAlign w:val="subscript"/>
              </w:rPr>
              <w:t>sj</w:t>
            </w:r>
            <w:proofErr w:type="spellEnd"/>
          </w:p>
        </w:tc>
        <w:tc>
          <w:tcPr>
            <w:tcW w:w="808" w:type="pct"/>
            <w:tcMar>
              <w:top w:w="68" w:type="dxa"/>
              <w:left w:w="68" w:type="dxa"/>
              <w:bottom w:w="68" w:type="dxa"/>
              <w:right w:w="68" w:type="dxa"/>
            </w:tcMar>
          </w:tcPr>
          <w:p w14:paraId="5FE0E275"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515C9D50" w14:textId="77777777" w:rsidR="00FA6F10" w:rsidRPr="00630129" w:rsidRDefault="00FA6F10">
            <w:pPr>
              <w:rPr>
                <w:sz w:val="22"/>
                <w:szCs w:val="22"/>
              </w:rPr>
            </w:pPr>
            <w:r w:rsidRPr="00630129">
              <w:rPr>
                <w:sz w:val="22"/>
                <w:szCs w:val="22"/>
              </w:rPr>
              <w:t>Market Index Price</w:t>
            </w:r>
          </w:p>
        </w:tc>
      </w:tr>
      <w:tr w:rsidR="00FA6F10" w:rsidRPr="00630129" w14:paraId="66DEB161" w14:textId="77777777">
        <w:tc>
          <w:tcPr>
            <w:tcW w:w="1566" w:type="pct"/>
            <w:tcMar>
              <w:top w:w="68" w:type="dxa"/>
              <w:left w:w="68" w:type="dxa"/>
              <w:bottom w:w="68" w:type="dxa"/>
              <w:right w:w="68" w:type="dxa"/>
            </w:tcMar>
          </w:tcPr>
          <w:p w14:paraId="05ED25DD" w14:textId="77777777" w:rsidR="00FA6F10" w:rsidRPr="00630129" w:rsidRDefault="00FA6F10">
            <w:pPr>
              <w:rPr>
                <w:sz w:val="22"/>
                <w:szCs w:val="22"/>
                <w:vertAlign w:val="subscript"/>
              </w:rPr>
            </w:pPr>
            <w:proofErr w:type="spellStart"/>
            <w:r w:rsidRPr="00630129">
              <w:rPr>
                <w:sz w:val="22"/>
                <w:szCs w:val="22"/>
              </w:rPr>
              <w:t>QABC</w:t>
            </w:r>
            <w:r w:rsidRPr="00630129">
              <w:rPr>
                <w:sz w:val="22"/>
                <w:szCs w:val="22"/>
                <w:vertAlign w:val="subscript"/>
              </w:rPr>
              <w:t>aj</w:t>
            </w:r>
            <w:proofErr w:type="spellEnd"/>
          </w:p>
        </w:tc>
        <w:tc>
          <w:tcPr>
            <w:tcW w:w="808" w:type="pct"/>
            <w:tcMar>
              <w:top w:w="68" w:type="dxa"/>
              <w:left w:w="68" w:type="dxa"/>
              <w:bottom w:w="68" w:type="dxa"/>
              <w:right w:w="68" w:type="dxa"/>
            </w:tcMar>
          </w:tcPr>
          <w:p w14:paraId="75D24288"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1E4F64E7" w14:textId="77777777" w:rsidR="00FA6F10" w:rsidRPr="00630129" w:rsidRDefault="00FA6F10">
            <w:pPr>
              <w:rPr>
                <w:sz w:val="22"/>
                <w:szCs w:val="22"/>
              </w:rPr>
            </w:pPr>
            <w:r w:rsidRPr="00630129">
              <w:rPr>
                <w:sz w:val="22"/>
                <w:szCs w:val="22"/>
              </w:rPr>
              <w:t>Account Bilateral Contract Volume</w:t>
            </w:r>
          </w:p>
        </w:tc>
      </w:tr>
      <w:tr w:rsidR="00FA6F10" w:rsidRPr="00630129" w14:paraId="2C4B9432" w14:textId="77777777">
        <w:tc>
          <w:tcPr>
            <w:tcW w:w="1566" w:type="pct"/>
            <w:tcMar>
              <w:top w:w="68" w:type="dxa"/>
              <w:left w:w="68" w:type="dxa"/>
              <w:bottom w:w="68" w:type="dxa"/>
              <w:right w:w="68" w:type="dxa"/>
            </w:tcMar>
          </w:tcPr>
          <w:p w14:paraId="0847D0AD" w14:textId="77777777" w:rsidR="00FA6F10" w:rsidRPr="00630129" w:rsidRDefault="00FA6F10">
            <w:pPr>
              <w:rPr>
                <w:sz w:val="22"/>
                <w:szCs w:val="22"/>
              </w:rPr>
            </w:pPr>
            <w:proofErr w:type="spellStart"/>
            <w:r w:rsidRPr="00630129">
              <w:rPr>
                <w:sz w:val="22"/>
                <w:szCs w:val="22"/>
              </w:rPr>
              <w:t>QAB</w:t>
            </w:r>
            <w:r w:rsidRPr="00630129">
              <w:rPr>
                <w:sz w:val="22"/>
                <w:szCs w:val="22"/>
                <w:vertAlign w:val="superscript"/>
              </w:rPr>
              <w:t>kn</w:t>
            </w:r>
            <w:r w:rsidRPr="00630129">
              <w:rPr>
                <w:sz w:val="22"/>
                <w:szCs w:val="22"/>
                <w:vertAlign w:val="subscript"/>
              </w:rPr>
              <w:t>ij</w:t>
            </w:r>
            <w:proofErr w:type="spellEnd"/>
          </w:p>
        </w:tc>
        <w:tc>
          <w:tcPr>
            <w:tcW w:w="808" w:type="pct"/>
            <w:tcMar>
              <w:top w:w="68" w:type="dxa"/>
              <w:left w:w="68" w:type="dxa"/>
              <w:bottom w:w="68" w:type="dxa"/>
              <w:right w:w="68" w:type="dxa"/>
            </w:tcMar>
          </w:tcPr>
          <w:p w14:paraId="461D28AE"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67AE7F03" w14:textId="77777777" w:rsidR="00FA6F10" w:rsidRPr="00630129" w:rsidRDefault="00FA6F10">
            <w:pPr>
              <w:rPr>
                <w:sz w:val="22"/>
                <w:szCs w:val="22"/>
              </w:rPr>
            </w:pPr>
            <w:r w:rsidRPr="00630129">
              <w:rPr>
                <w:sz w:val="22"/>
                <w:szCs w:val="22"/>
              </w:rPr>
              <w:t>Period Accepted Bid Volume</w:t>
            </w:r>
          </w:p>
        </w:tc>
      </w:tr>
      <w:tr w:rsidR="00FA6F10" w:rsidRPr="00630129" w14:paraId="70CAA098" w14:textId="77777777">
        <w:tc>
          <w:tcPr>
            <w:tcW w:w="1566" w:type="pct"/>
            <w:tcMar>
              <w:top w:w="68" w:type="dxa"/>
              <w:left w:w="68" w:type="dxa"/>
              <w:bottom w:w="68" w:type="dxa"/>
              <w:right w:w="68" w:type="dxa"/>
            </w:tcMar>
          </w:tcPr>
          <w:p w14:paraId="6A811089" w14:textId="77777777" w:rsidR="00FA6F10" w:rsidRPr="00630129" w:rsidRDefault="00FA6F10">
            <w:pPr>
              <w:rPr>
                <w:sz w:val="22"/>
                <w:szCs w:val="22"/>
              </w:rPr>
            </w:pPr>
            <w:proofErr w:type="spellStart"/>
            <w:r w:rsidRPr="00630129">
              <w:rPr>
                <w:sz w:val="22"/>
                <w:szCs w:val="22"/>
              </w:rPr>
              <w:t>qAB</w:t>
            </w:r>
            <w:r w:rsidRPr="00630129">
              <w:rPr>
                <w:sz w:val="22"/>
                <w:szCs w:val="22"/>
                <w:vertAlign w:val="superscript"/>
              </w:rPr>
              <w:t>kn</w:t>
            </w:r>
            <w:r w:rsidRPr="00630129">
              <w:rPr>
                <w:sz w:val="22"/>
                <w:szCs w:val="22"/>
                <w:vertAlign w:val="subscript"/>
              </w:rPr>
              <w:t>ij</w:t>
            </w:r>
            <w:proofErr w:type="spellEnd"/>
            <w:r w:rsidRPr="00630129">
              <w:rPr>
                <w:sz w:val="22"/>
                <w:szCs w:val="22"/>
              </w:rPr>
              <w:t>(t)</w:t>
            </w:r>
          </w:p>
        </w:tc>
        <w:tc>
          <w:tcPr>
            <w:tcW w:w="808" w:type="pct"/>
            <w:tcMar>
              <w:top w:w="68" w:type="dxa"/>
              <w:left w:w="68" w:type="dxa"/>
              <w:bottom w:w="68" w:type="dxa"/>
              <w:right w:w="68" w:type="dxa"/>
            </w:tcMar>
          </w:tcPr>
          <w:p w14:paraId="746457D2"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4889FD63" w14:textId="77777777" w:rsidR="00FA6F10" w:rsidRPr="00630129" w:rsidRDefault="00FA6F10">
            <w:pPr>
              <w:rPr>
                <w:sz w:val="22"/>
                <w:szCs w:val="22"/>
              </w:rPr>
            </w:pPr>
            <w:r w:rsidRPr="00630129">
              <w:rPr>
                <w:sz w:val="22"/>
                <w:szCs w:val="22"/>
              </w:rPr>
              <w:t xml:space="preserve">Accepted Bid Volume </w:t>
            </w:r>
          </w:p>
        </w:tc>
      </w:tr>
      <w:tr w:rsidR="00FA6F10" w:rsidRPr="00630129" w14:paraId="17DA430A" w14:textId="77777777">
        <w:tc>
          <w:tcPr>
            <w:tcW w:w="1566" w:type="pct"/>
            <w:tcMar>
              <w:top w:w="68" w:type="dxa"/>
              <w:left w:w="68" w:type="dxa"/>
              <w:bottom w:w="68" w:type="dxa"/>
              <w:right w:w="68" w:type="dxa"/>
            </w:tcMar>
          </w:tcPr>
          <w:p w14:paraId="287FDB0F" w14:textId="77777777" w:rsidR="00FA6F10" w:rsidRPr="00630129" w:rsidRDefault="00FA6F10">
            <w:pPr>
              <w:rPr>
                <w:sz w:val="22"/>
                <w:szCs w:val="22"/>
              </w:rPr>
            </w:pPr>
            <w:proofErr w:type="spellStart"/>
            <w:r w:rsidRPr="00630129">
              <w:rPr>
                <w:sz w:val="22"/>
                <w:szCs w:val="22"/>
              </w:rPr>
              <w:t>QAB</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4C03A165"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2537C74" w14:textId="77777777" w:rsidR="00FA6F10" w:rsidRPr="00630129" w:rsidRDefault="00FA6F10">
            <w:pPr>
              <w:rPr>
                <w:sz w:val="22"/>
                <w:szCs w:val="22"/>
              </w:rPr>
            </w:pPr>
            <w:r w:rsidRPr="00630129">
              <w:rPr>
                <w:sz w:val="22"/>
                <w:szCs w:val="22"/>
              </w:rPr>
              <w:t xml:space="preserve">Period BM Unit Total Accepted Bid Volume </w:t>
            </w:r>
          </w:p>
        </w:tc>
      </w:tr>
      <w:tr w:rsidR="00FA6F10" w:rsidRPr="00630129" w14:paraId="3BE78943" w14:textId="77777777">
        <w:tc>
          <w:tcPr>
            <w:tcW w:w="1566" w:type="pct"/>
            <w:tcMar>
              <w:top w:w="68" w:type="dxa"/>
              <w:left w:w="68" w:type="dxa"/>
              <w:bottom w:w="68" w:type="dxa"/>
              <w:right w:w="68" w:type="dxa"/>
            </w:tcMar>
          </w:tcPr>
          <w:p w14:paraId="2B4A8264" w14:textId="77777777" w:rsidR="00FA6F10" w:rsidRPr="00630129" w:rsidRDefault="00FA6F10">
            <w:pPr>
              <w:rPr>
                <w:sz w:val="22"/>
                <w:szCs w:val="22"/>
              </w:rPr>
            </w:pPr>
            <w:proofErr w:type="spellStart"/>
            <w:r w:rsidRPr="00630129">
              <w:rPr>
                <w:sz w:val="22"/>
                <w:szCs w:val="22"/>
              </w:rPr>
              <w:t>qABO</w:t>
            </w:r>
            <w:r w:rsidRPr="00630129">
              <w:rPr>
                <w:sz w:val="22"/>
                <w:szCs w:val="22"/>
                <w:vertAlign w:val="superscript"/>
              </w:rPr>
              <w:t>kn</w:t>
            </w:r>
            <w:r w:rsidRPr="00630129">
              <w:rPr>
                <w:sz w:val="22"/>
                <w:szCs w:val="22"/>
                <w:vertAlign w:val="subscript"/>
              </w:rPr>
              <w:t>ij</w:t>
            </w:r>
            <w:proofErr w:type="spellEnd"/>
            <w:r w:rsidRPr="00630129">
              <w:rPr>
                <w:sz w:val="22"/>
                <w:szCs w:val="22"/>
              </w:rPr>
              <w:t>(t)</w:t>
            </w:r>
          </w:p>
        </w:tc>
        <w:tc>
          <w:tcPr>
            <w:tcW w:w="808" w:type="pct"/>
            <w:tcMar>
              <w:top w:w="68" w:type="dxa"/>
              <w:left w:w="68" w:type="dxa"/>
              <w:bottom w:w="68" w:type="dxa"/>
              <w:right w:w="68" w:type="dxa"/>
            </w:tcMar>
          </w:tcPr>
          <w:p w14:paraId="6479132A"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13E10E1F" w14:textId="77777777" w:rsidR="00FA6F10" w:rsidRPr="00630129" w:rsidRDefault="00FA6F10">
            <w:pPr>
              <w:rPr>
                <w:sz w:val="22"/>
                <w:szCs w:val="22"/>
              </w:rPr>
            </w:pPr>
            <w:r w:rsidRPr="00630129">
              <w:rPr>
                <w:sz w:val="22"/>
                <w:szCs w:val="22"/>
              </w:rPr>
              <w:t xml:space="preserve">Accepted Bid-Offer Volume </w:t>
            </w:r>
          </w:p>
        </w:tc>
      </w:tr>
      <w:tr w:rsidR="00FA6F10" w:rsidRPr="00630129" w14:paraId="3E5D92A0" w14:textId="77777777">
        <w:tc>
          <w:tcPr>
            <w:tcW w:w="1566" w:type="pct"/>
            <w:tcMar>
              <w:top w:w="68" w:type="dxa"/>
              <w:left w:w="68" w:type="dxa"/>
              <w:bottom w:w="68" w:type="dxa"/>
              <w:right w:w="68" w:type="dxa"/>
            </w:tcMar>
          </w:tcPr>
          <w:p w14:paraId="3C89AC8D" w14:textId="77777777" w:rsidR="00FA6F10" w:rsidRPr="00630129" w:rsidRDefault="00FA6F10">
            <w:pPr>
              <w:rPr>
                <w:sz w:val="22"/>
                <w:szCs w:val="22"/>
              </w:rPr>
            </w:pPr>
            <w:proofErr w:type="spellStart"/>
            <w:r w:rsidRPr="00630129">
              <w:rPr>
                <w:sz w:val="22"/>
                <w:szCs w:val="22"/>
              </w:rPr>
              <w:t>QABS</w:t>
            </w:r>
            <w:r w:rsidRPr="00630129">
              <w:rPr>
                <w:sz w:val="22"/>
                <w:szCs w:val="22"/>
                <w:vertAlign w:val="subscript"/>
              </w:rPr>
              <w:t>aj</w:t>
            </w:r>
            <w:proofErr w:type="spellEnd"/>
          </w:p>
        </w:tc>
        <w:tc>
          <w:tcPr>
            <w:tcW w:w="808" w:type="pct"/>
            <w:tcMar>
              <w:top w:w="68" w:type="dxa"/>
              <w:left w:w="68" w:type="dxa"/>
              <w:bottom w:w="68" w:type="dxa"/>
              <w:right w:w="68" w:type="dxa"/>
            </w:tcMar>
          </w:tcPr>
          <w:p w14:paraId="08AD7591"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0183F513" w14:textId="77777777" w:rsidR="00FA6F10" w:rsidRPr="00630129" w:rsidRDefault="00FA6F10">
            <w:pPr>
              <w:rPr>
                <w:sz w:val="22"/>
                <w:szCs w:val="22"/>
              </w:rPr>
            </w:pPr>
            <w:r w:rsidRPr="00630129">
              <w:rPr>
                <w:sz w:val="22"/>
                <w:szCs w:val="22"/>
              </w:rPr>
              <w:t>Account Period Balancing Services Volume</w:t>
            </w:r>
          </w:p>
        </w:tc>
      </w:tr>
      <w:tr w:rsidR="00FA6F10" w:rsidRPr="00630129" w14:paraId="5B46EEFD" w14:textId="77777777">
        <w:tc>
          <w:tcPr>
            <w:tcW w:w="1566" w:type="pct"/>
            <w:tcMar>
              <w:top w:w="68" w:type="dxa"/>
              <w:left w:w="68" w:type="dxa"/>
              <w:bottom w:w="68" w:type="dxa"/>
              <w:right w:w="68" w:type="dxa"/>
            </w:tcMar>
          </w:tcPr>
          <w:p w14:paraId="26CECADC" w14:textId="77777777" w:rsidR="00FA6F10" w:rsidRPr="00630129" w:rsidRDefault="00FA6F10">
            <w:pPr>
              <w:rPr>
                <w:sz w:val="22"/>
                <w:szCs w:val="22"/>
              </w:rPr>
            </w:pPr>
            <w:proofErr w:type="spellStart"/>
            <w:r w:rsidRPr="00630129">
              <w:rPr>
                <w:sz w:val="22"/>
                <w:szCs w:val="22"/>
              </w:rPr>
              <w:t>QACE</w:t>
            </w:r>
            <w:r w:rsidRPr="00630129">
              <w:rPr>
                <w:sz w:val="22"/>
                <w:szCs w:val="22"/>
                <w:vertAlign w:val="subscript"/>
              </w:rPr>
              <w:t>aj</w:t>
            </w:r>
            <w:proofErr w:type="spellEnd"/>
          </w:p>
        </w:tc>
        <w:tc>
          <w:tcPr>
            <w:tcW w:w="808" w:type="pct"/>
            <w:tcMar>
              <w:top w:w="68" w:type="dxa"/>
              <w:left w:w="68" w:type="dxa"/>
              <w:bottom w:w="68" w:type="dxa"/>
              <w:right w:w="68" w:type="dxa"/>
            </w:tcMar>
          </w:tcPr>
          <w:p w14:paraId="66492AD8"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1FFD80E7" w14:textId="77777777" w:rsidR="00FA6F10" w:rsidRPr="00630129" w:rsidRDefault="00FA6F10">
            <w:pPr>
              <w:rPr>
                <w:sz w:val="22"/>
                <w:szCs w:val="22"/>
              </w:rPr>
            </w:pPr>
            <w:r w:rsidRPr="00630129">
              <w:rPr>
                <w:sz w:val="22"/>
                <w:szCs w:val="22"/>
              </w:rPr>
              <w:t>Account Credited Energy Volume</w:t>
            </w:r>
          </w:p>
        </w:tc>
      </w:tr>
      <w:tr w:rsidR="00FA6F10" w:rsidRPr="00630129" w14:paraId="34B133E9" w14:textId="77777777">
        <w:tc>
          <w:tcPr>
            <w:tcW w:w="1566" w:type="pct"/>
            <w:tcMar>
              <w:top w:w="68" w:type="dxa"/>
              <w:left w:w="68" w:type="dxa"/>
              <w:bottom w:w="68" w:type="dxa"/>
              <w:right w:w="68" w:type="dxa"/>
            </w:tcMar>
          </w:tcPr>
          <w:p w14:paraId="4B4B4E47" w14:textId="77777777" w:rsidR="00FA6F10" w:rsidRPr="00630129" w:rsidRDefault="00FA6F10">
            <w:pPr>
              <w:rPr>
                <w:sz w:val="22"/>
                <w:szCs w:val="22"/>
              </w:rPr>
            </w:pPr>
            <w:proofErr w:type="spellStart"/>
            <w:r w:rsidRPr="00630129">
              <w:rPr>
                <w:sz w:val="22"/>
                <w:szCs w:val="22"/>
              </w:rPr>
              <w:t>QAEI</w:t>
            </w:r>
            <w:r w:rsidRPr="00630129">
              <w:rPr>
                <w:sz w:val="22"/>
                <w:szCs w:val="22"/>
                <w:vertAlign w:val="subscript"/>
              </w:rPr>
              <w:t>aj</w:t>
            </w:r>
            <w:proofErr w:type="spellEnd"/>
          </w:p>
        </w:tc>
        <w:tc>
          <w:tcPr>
            <w:tcW w:w="808" w:type="pct"/>
            <w:tcMar>
              <w:top w:w="68" w:type="dxa"/>
              <w:left w:w="68" w:type="dxa"/>
              <w:bottom w:w="68" w:type="dxa"/>
              <w:right w:w="68" w:type="dxa"/>
            </w:tcMar>
          </w:tcPr>
          <w:p w14:paraId="2306E8FD"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5B24FAAA" w14:textId="77777777" w:rsidR="00FA6F10" w:rsidRPr="00630129" w:rsidRDefault="00FA6F10">
            <w:pPr>
              <w:rPr>
                <w:sz w:val="22"/>
                <w:szCs w:val="22"/>
              </w:rPr>
            </w:pPr>
            <w:r w:rsidRPr="00630129">
              <w:rPr>
                <w:sz w:val="22"/>
                <w:szCs w:val="22"/>
              </w:rPr>
              <w:t>Account Energy Imbalance Volume</w:t>
            </w:r>
          </w:p>
        </w:tc>
      </w:tr>
      <w:tr w:rsidR="00FA6F10" w:rsidRPr="00630129" w14:paraId="34B53F16" w14:textId="77777777">
        <w:tc>
          <w:tcPr>
            <w:tcW w:w="1566" w:type="pct"/>
            <w:tcMar>
              <w:top w:w="68" w:type="dxa"/>
              <w:left w:w="68" w:type="dxa"/>
              <w:bottom w:w="68" w:type="dxa"/>
              <w:right w:w="68" w:type="dxa"/>
            </w:tcMar>
          </w:tcPr>
          <w:p w14:paraId="0D21378E" w14:textId="77777777" w:rsidR="00FA6F10" w:rsidRPr="00630129" w:rsidRDefault="00FA6F10">
            <w:pPr>
              <w:rPr>
                <w:sz w:val="22"/>
                <w:szCs w:val="22"/>
              </w:rPr>
            </w:pPr>
            <w:proofErr w:type="spellStart"/>
            <w:r w:rsidRPr="00630129">
              <w:rPr>
                <w:sz w:val="22"/>
                <w:szCs w:val="22"/>
              </w:rPr>
              <w:t>qA</w:t>
            </w:r>
            <w:r w:rsidRPr="00630129">
              <w:rPr>
                <w:sz w:val="22"/>
                <w:szCs w:val="22"/>
                <w:vertAlign w:val="superscript"/>
              </w:rPr>
              <w:t>k</w:t>
            </w:r>
            <w:r w:rsidRPr="00630129">
              <w:rPr>
                <w:sz w:val="22"/>
                <w:szCs w:val="22"/>
                <w:vertAlign w:val="subscript"/>
              </w:rPr>
              <w:t>ij</w:t>
            </w:r>
            <w:proofErr w:type="spellEnd"/>
            <w:r w:rsidRPr="00630129">
              <w:rPr>
                <w:sz w:val="22"/>
                <w:szCs w:val="22"/>
              </w:rPr>
              <w:t>(t)</w:t>
            </w:r>
          </w:p>
        </w:tc>
        <w:tc>
          <w:tcPr>
            <w:tcW w:w="808" w:type="pct"/>
            <w:tcMar>
              <w:top w:w="68" w:type="dxa"/>
              <w:left w:w="68" w:type="dxa"/>
              <w:bottom w:w="68" w:type="dxa"/>
              <w:right w:w="68" w:type="dxa"/>
            </w:tcMar>
          </w:tcPr>
          <w:p w14:paraId="4E5D081E"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620D5651" w14:textId="77777777" w:rsidR="00FA6F10" w:rsidRPr="00630129" w:rsidRDefault="00FA6F10">
            <w:pPr>
              <w:rPr>
                <w:sz w:val="22"/>
                <w:szCs w:val="22"/>
              </w:rPr>
            </w:pPr>
            <w:r w:rsidRPr="00630129">
              <w:rPr>
                <w:sz w:val="22"/>
                <w:szCs w:val="22"/>
              </w:rPr>
              <w:t xml:space="preserve">Acceptance Volume </w:t>
            </w:r>
          </w:p>
        </w:tc>
      </w:tr>
      <w:tr w:rsidR="00FA6F10" w:rsidRPr="00630129" w14:paraId="4FACF508" w14:textId="77777777">
        <w:tc>
          <w:tcPr>
            <w:tcW w:w="1566" w:type="pct"/>
            <w:tcMar>
              <w:top w:w="68" w:type="dxa"/>
              <w:left w:w="68" w:type="dxa"/>
              <w:bottom w:w="68" w:type="dxa"/>
              <w:right w:w="68" w:type="dxa"/>
            </w:tcMar>
          </w:tcPr>
          <w:p w14:paraId="28420AC8" w14:textId="77777777" w:rsidR="00FA6F10" w:rsidRPr="00630129" w:rsidRDefault="00FA6F10">
            <w:pPr>
              <w:rPr>
                <w:sz w:val="22"/>
                <w:szCs w:val="22"/>
              </w:rPr>
            </w:pPr>
            <w:proofErr w:type="spellStart"/>
            <w:r w:rsidRPr="00630129">
              <w:rPr>
                <w:sz w:val="22"/>
                <w:szCs w:val="22"/>
              </w:rPr>
              <w:t>qA</w:t>
            </w:r>
            <w:r w:rsidRPr="00630129">
              <w:rPr>
                <w:sz w:val="22"/>
                <w:szCs w:val="22"/>
                <w:vertAlign w:val="superscript"/>
              </w:rPr>
              <w:t>k</w:t>
            </w:r>
            <w:r w:rsidRPr="00630129">
              <w:rPr>
                <w:sz w:val="22"/>
                <w:szCs w:val="22"/>
                <w:vertAlign w:val="subscript"/>
              </w:rPr>
              <w:t>it</w:t>
            </w:r>
            <w:proofErr w:type="spellEnd"/>
          </w:p>
        </w:tc>
        <w:tc>
          <w:tcPr>
            <w:tcW w:w="808" w:type="pct"/>
            <w:tcMar>
              <w:top w:w="68" w:type="dxa"/>
              <w:left w:w="68" w:type="dxa"/>
              <w:bottom w:w="68" w:type="dxa"/>
              <w:right w:w="68" w:type="dxa"/>
            </w:tcMar>
          </w:tcPr>
          <w:p w14:paraId="08A461B1"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25447E45" w14:textId="77777777" w:rsidR="00FA6F10" w:rsidRPr="00630129" w:rsidRDefault="00FA6F10">
            <w:pPr>
              <w:rPr>
                <w:sz w:val="22"/>
                <w:szCs w:val="22"/>
              </w:rPr>
            </w:pPr>
            <w:r w:rsidRPr="00630129">
              <w:rPr>
                <w:sz w:val="22"/>
                <w:szCs w:val="22"/>
              </w:rPr>
              <w:t>Point Acceptance Volume</w:t>
            </w:r>
          </w:p>
        </w:tc>
      </w:tr>
      <w:tr w:rsidR="00FA6F10" w:rsidRPr="00630129" w14:paraId="2F2C31E1" w14:textId="77777777">
        <w:tc>
          <w:tcPr>
            <w:tcW w:w="1566" w:type="pct"/>
            <w:tcMar>
              <w:top w:w="68" w:type="dxa"/>
              <w:left w:w="68" w:type="dxa"/>
              <w:bottom w:w="68" w:type="dxa"/>
              <w:right w:w="68" w:type="dxa"/>
            </w:tcMar>
          </w:tcPr>
          <w:p w14:paraId="39411730" w14:textId="77777777" w:rsidR="00FA6F10" w:rsidRPr="00630129" w:rsidRDefault="00FA6F10">
            <w:pPr>
              <w:rPr>
                <w:sz w:val="22"/>
                <w:szCs w:val="22"/>
              </w:rPr>
            </w:pPr>
            <w:proofErr w:type="spellStart"/>
            <w:r w:rsidRPr="00630129">
              <w:rPr>
                <w:sz w:val="22"/>
                <w:szCs w:val="22"/>
              </w:rPr>
              <w:t>QAO</w:t>
            </w:r>
            <w:r w:rsidRPr="00630129">
              <w:rPr>
                <w:sz w:val="22"/>
                <w:szCs w:val="22"/>
                <w:vertAlign w:val="superscript"/>
              </w:rPr>
              <w:t>kn</w:t>
            </w:r>
            <w:r w:rsidRPr="00630129">
              <w:rPr>
                <w:sz w:val="22"/>
                <w:szCs w:val="22"/>
                <w:vertAlign w:val="subscript"/>
              </w:rPr>
              <w:t>ij</w:t>
            </w:r>
            <w:proofErr w:type="spellEnd"/>
          </w:p>
        </w:tc>
        <w:tc>
          <w:tcPr>
            <w:tcW w:w="808" w:type="pct"/>
            <w:tcMar>
              <w:top w:w="68" w:type="dxa"/>
              <w:left w:w="68" w:type="dxa"/>
              <w:bottom w:w="68" w:type="dxa"/>
              <w:right w:w="68" w:type="dxa"/>
            </w:tcMar>
          </w:tcPr>
          <w:p w14:paraId="112359C4"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14377911" w14:textId="77777777" w:rsidR="00FA6F10" w:rsidRPr="00630129" w:rsidRDefault="00FA6F10">
            <w:pPr>
              <w:rPr>
                <w:sz w:val="22"/>
                <w:szCs w:val="22"/>
              </w:rPr>
            </w:pPr>
            <w:r w:rsidRPr="00630129">
              <w:rPr>
                <w:sz w:val="22"/>
                <w:szCs w:val="22"/>
              </w:rPr>
              <w:t>Period Accepted Offer Volume</w:t>
            </w:r>
          </w:p>
        </w:tc>
      </w:tr>
      <w:tr w:rsidR="00FA6F10" w:rsidRPr="00630129" w14:paraId="07BB5B63" w14:textId="77777777">
        <w:tc>
          <w:tcPr>
            <w:tcW w:w="1566" w:type="pct"/>
            <w:tcMar>
              <w:top w:w="68" w:type="dxa"/>
              <w:left w:w="68" w:type="dxa"/>
              <w:bottom w:w="68" w:type="dxa"/>
              <w:right w:w="68" w:type="dxa"/>
            </w:tcMar>
          </w:tcPr>
          <w:p w14:paraId="4D826120" w14:textId="77777777" w:rsidR="00FA6F10" w:rsidRPr="00630129" w:rsidRDefault="00FA6F10">
            <w:pPr>
              <w:rPr>
                <w:sz w:val="22"/>
                <w:szCs w:val="22"/>
              </w:rPr>
            </w:pPr>
            <w:proofErr w:type="spellStart"/>
            <w:r w:rsidRPr="00630129">
              <w:rPr>
                <w:sz w:val="22"/>
                <w:szCs w:val="22"/>
              </w:rPr>
              <w:t>qAO</w:t>
            </w:r>
            <w:r w:rsidRPr="00630129">
              <w:rPr>
                <w:sz w:val="22"/>
                <w:szCs w:val="22"/>
                <w:vertAlign w:val="superscript"/>
              </w:rPr>
              <w:t>kn</w:t>
            </w:r>
            <w:r w:rsidRPr="00630129">
              <w:rPr>
                <w:sz w:val="22"/>
                <w:szCs w:val="22"/>
                <w:vertAlign w:val="subscript"/>
              </w:rPr>
              <w:t>ij</w:t>
            </w:r>
            <w:proofErr w:type="spellEnd"/>
            <w:r w:rsidRPr="00630129">
              <w:rPr>
                <w:sz w:val="22"/>
                <w:szCs w:val="22"/>
              </w:rPr>
              <w:t>(t)</w:t>
            </w:r>
          </w:p>
        </w:tc>
        <w:tc>
          <w:tcPr>
            <w:tcW w:w="808" w:type="pct"/>
            <w:tcMar>
              <w:top w:w="68" w:type="dxa"/>
              <w:left w:w="68" w:type="dxa"/>
              <w:bottom w:w="68" w:type="dxa"/>
              <w:right w:w="68" w:type="dxa"/>
            </w:tcMar>
          </w:tcPr>
          <w:p w14:paraId="1DD4E10B"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0ACA235D" w14:textId="77777777" w:rsidR="00FA6F10" w:rsidRPr="00630129" w:rsidRDefault="00FA6F10">
            <w:pPr>
              <w:rPr>
                <w:sz w:val="22"/>
                <w:szCs w:val="22"/>
              </w:rPr>
            </w:pPr>
            <w:r w:rsidRPr="00630129">
              <w:rPr>
                <w:sz w:val="22"/>
                <w:szCs w:val="22"/>
              </w:rPr>
              <w:t>Accepted Offer Volume</w:t>
            </w:r>
          </w:p>
        </w:tc>
      </w:tr>
      <w:tr w:rsidR="00FA6F10" w:rsidRPr="00630129" w14:paraId="66E692EE" w14:textId="77777777">
        <w:tc>
          <w:tcPr>
            <w:tcW w:w="1566" w:type="pct"/>
            <w:tcMar>
              <w:top w:w="68" w:type="dxa"/>
              <w:left w:w="68" w:type="dxa"/>
              <w:bottom w:w="68" w:type="dxa"/>
              <w:right w:w="68" w:type="dxa"/>
            </w:tcMar>
          </w:tcPr>
          <w:p w14:paraId="39ADAC13" w14:textId="77777777" w:rsidR="00FA6F10" w:rsidRPr="00630129" w:rsidRDefault="00FA6F10">
            <w:pPr>
              <w:rPr>
                <w:sz w:val="22"/>
                <w:szCs w:val="22"/>
              </w:rPr>
            </w:pPr>
            <w:proofErr w:type="spellStart"/>
            <w:r w:rsidRPr="00630129">
              <w:rPr>
                <w:sz w:val="22"/>
                <w:szCs w:val="22"/>
              </w:rPr>
              <w:t>QAO</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56AF16D7"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160C09F4" w14:textId="77777777" w:rsidR="00FA6F10" w:rsidRPr="00630129" w:rsidRDefault="00FA6F10">
            <w:pPr>
              <w:rPr>
                <w:sz w:val="22"/>
                <w:szCs w:val="22"/>
              </w:rPr>
            </w:pPr>
            <w:r w:rsidRPr="00630129">
              <w:rPr>
                <w:sz w:val="22"/>
                <w:szCs w:val="22"/>
              </w:rPr>
              <w:t>Period BM Unit Total Accepted Offer Volume</w:t>
            </w:r>
          </w:p>
        </w:tc>
      </w:tr>
      <w:tr w:rsidR="00FA6F10" w:rsidRPr="00630129" w14:paraId="4AC38787" w14:textId="77777777" w:rsidTr="0025363D">
        <w:trPr>
          <w:cantSplit/>
        </w:trPr>
        <w:tc>
          <w:tcPr>
            <w:tcW w:w="1566" w:type="pct"/>
            <w:tcMar>
              <w:top w:w="68" w:type="dxa"/>
              <w:left w:w="68" w:type="dxa"/>
              <w:bottom w:w="68" w:type="dxa"/>
              <w:right w:w="68" w:type="dxa"/>
            </w:tcMar>
          </w:tcPr>
          <w:p w14:paraId="369FA4A1" w14:textId="77777777" w:rsidR="00FA6F10" w:rsidRPr="00630129" w:rsidRDefault="00FA6F10">
            <w:pPr>
              <w:rPr>
                <w:sz w:val="22"/>
                <w:szCs w:val="22"/>
              </w:rPr>
            </w:pPr>
            <w:proofErr w:type="spellStart"/>
            <w:r w:rsidRPr="00630129">
              <w:rPr>
                <w:sz w:val="22"/>
                <w:szCs w:val="22"/>
              </w:rPr>
              <w:lastRenderedPageBreak/>
              <w:t>QAS</w:t>
            </w:r>
            <w:r w:rsidRPr="00630129">
              <w:rPr>
                <w:sz w:val="22"/>
                <w:szCs w:val="22"/>
                <w:vertAlign w:val="subscript"/>
              </w:rPr>
              <w:t>ij</w:t>
            </w:r>
            <w:proofErr w:type="spellEnd"/>
          </w:p>
        </w:tc>
        <w:tc>
          <w:tcPr>
            <w:tcW w:w="808" w:type="pct"/>
            <w:tcMar>
              <w:top w:w="68" w:type="dxa"/>
              <w:left w:w="68" w:type="dxa"/>
              <w:bottom w:w="68" w:type="dxa"/>
              <w:right w:w="68" w:type="dxa"/>
            </w:tcMar>
          </w:tcPr>
          <w:p w14:paraId="257B8B1B"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0F9463C0" w14:textId="77777777" w:rsidR="00FA6F10" w:rsidRPr="00630129" w:rsidRDefault="00FA6F10">
            <w:pPr>
              <w:rPr>
                <w:sz w:val="22"/>
                <w:szCs w:val="22"/>
              </w:rPr>
            </w:pPr>
            <w:r w:rsidRPr="00630129">
              <w:rPr>
                <w:sz w:val="22"/>
                <w:szCs w:val="22"/>
              </w:rPr>
              <w:t>BM Unit Applicable Balancing Services Volume</w:t>
            </w:r>
            <w:r>
              <w:rPr>
                <w:sz w:val="22"/>
                <w:szCs w:val="22"/>
              </w:rPr>
              <w:t xml:space="preserve"> </w:t>
            </w:r>
            <w:r w:rsidRPr="00FA6F10">
              <w:rPr>
                <w:sz w:val="22"/>
                <w:szCs w:val="22"/>
              </w:rPr>
              <w:t>Data or BM Unit ABSVD</w:t>
            </w:r>
          </w:p>
        </w:tc>
      </w:tr>
      <w:tr w:rsidR="00FA6F10" w:rsidRPr="00630129" w14:paraId="6DAFE7CE"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4A332A86" w14:textId="77777777" w:rsidR="00FA6F10" w:rsidRPr="00630129" w:rsidRDefault="00FA6F10">
            <w:pPr>
              <w:rPr>
                <w:sz w:val="22"/>
                <w:szCs w:val="22"/>
              </w:rPr>
            </w:pPr>
            <w:proofErr w:type="spellStart"/>
            <w:r w:rsidRPr="00630129">
              <w:rPr>
                <w:sz w:val="22"/>
                <w:szCs w:val="22"/>
              </w:rPr>
              <w:t>QBDC</w:t>
            </w:r>
            <w:r w:rsidRPr="00630129">
              <w:rPr>
                <w:sz w:val="22"/>
                <w:szCs w:val="22"/>
                <w:vertAlign w:val="subscript"/>
              </w:rPr>
              <w:t>cj</w:t>
            </w:r>
            <w:proofErr w:type="spellEnd"/>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27F32069" w14:textId="77777777" w:rsidR="00FA6F10" w:rsidRPr="00630129" w:rsidRDefault="00FA6F10">
            <w:pPr>
              <w:rPr>
                <w:sz w:val="22"/>
                <w:szCs w:val="22"/>
              </w:rPr>
            </w:pPr>
            <w:r w:rsidRPr="00630129">
              <w:rPr>
                <w:sz w:val="22"/>
                <w:szCs w:val="22"/>
              </w:rPr>
              <w:t>MWh</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352F2BCB" w14:textId="77777777" w:rsidR="00FA6F10" w:rsidRPr="00630129" w:rsidRDefault="00FA6F10">
            <w:pPr>
              <w:rPr>
                <w:sz w:val="22"/>
                <w:szCs w:val="22"/>
              </w:rPr>
            </w:pPr>
            <w:r w:rsidRPr="00630129">
              <w:rPr>
                <w:sz w:val="22"/>
                <w:szCs w:val="22"/>
              </w:rPr>
              <w:t>Balancing Demand Control Volume</w:t>
            </w:r>
          </w:p>
        </w:tc>
      </w:tr>
      <w:tr w:rsidR="00FA6F10" w:rsidRPr="00630129" w14:paraId="6AF0DDEA" w14:textId="77777777">
        <w:tc>
          <w:tcPr>
            <w:tcW w:w="1566" w:type="pct"/>
            <w:tcMar>
              <w:top w:w="68" w:type="dxa"/>
              <w:left w:w="68" w:type="dxa"/>
              <w:bottom w:w="68" w:type="dxa"/>
              <w:right w:w="68" w:type="dxa"/>
            </w:tcMar>
          </w:tcPr>
          <w:p w14:paraId="105CBA9B" w14:textId="77777777" w:rsidR="00FA6F10" w:rsidRPr="00630129" w:rsidRDefault="00FA6F10">
            <w:pPr>
              <w:rPr>
                <w:sz w:val="22"/>
                <w:szCs w:val="22"/>
              </w:rPr>
            </w:pPr>
            <w:proofErr w:type="spellStart"/>
            <w:r w:rsidRPr="00630129">
              <w:rPr>
                <w:sz w:val="22"/>
                <w:szCs w:val="22"/>
              </w:rPr>
              <w:t>qBO</w:t>
            </w:r>
            <w:r w:rsidRPr="00630129">
              <w:rPr>
                <w:sz w:val="22"/>
                <w:szCs w:val="22"/>
                <w:vertAlign w:val="superscript"/>
              </w:rPr>
              <w:t>n</w:t>
            </w:r>
            <w:r w:rsidRPr="00630129">
              <w:rPr>
                <w:sz w:val="22"/>
                <w:szCs w:val="22"/>
                <w:vertAlign w:val="subscript"/>
              </w:rPr>
              <w:t>ij</w:t>
            </w:r>
            <w:proofErr w:type="spellEnd"/>
            <w:r w:rsidRPr="00630129">
              <w:rPr>
                <w:sz w:val="22"/>
                <w:szCs w:val="22"/>
              </w:rPr>
              <w:t>(t)</w:t>
            </w:r>
          </w:p>
        </w:tc>
        <w:tc>
          <w:tcPr>
            <w:tcW w:w="808" w:type="pct"/>
            <w:tcMar>
              <w:top w:w="68" w:type="dxa"/>
              <w:left w:w="68" w:type="dxa"/>
              <w:bottom w:w="68" w:type="dxa"/>
              <w:right w:w="68" w:type="dxa"/>
            </w:tcMar>
          </w:tcPr>
          <w:p w14:paraId="506F8E05" w14:textId="77777777" w:rsidR="00FA6F10" w:rsidRPr="00630129" w:rsidRDefault="00FA6F10">
            <w:pPr>
              <w:rPr>
                <w:sz w:val="22"/>
                <w:szCs w:val="22"/>
              </w:rPr>
            </w:pPr>
            <w:r w:rsidRPr="00630129">
              <w:rPr>
                <w:sz w:val="22"/>
                <w:szCs w:val="22"/>
              </w:rPr>
              <w:t>MW</w:t>
            </w:r>
          </w:p>
        </w:tc>
        <w:tc>
          <w:tcPr>
            <w:tcW w:w="2626" w:type="pct"/>
            <w:tcMar>
              <w:top w:w="68" w:type="dxa"/>
              <w:left w:w="68" w:type="dxa"/>
              <w:bottom w:w="68" w:type="dxa"/>
              <w:right w:w="68" w:type="dxa"/>
            </w:tcMar>
          </w:tcPr>
          <w:p w14:paraId="62A83B1E" w14:textId="77777777" w:rsidR="00FA6F10" w:rsidRPr="00630129" w:rsidRDefault="00FA6F10">
            <w:pPr>
              <w:rPr>
                <w:sz w:val="22"/>
                <w:szCs w:val="22"/>
              </w:rPr>
            </w:pPr>
            <w:r w:rsidRPr="00630129">
              <w:rPr>
                <w:sz w:val="22"/>
                <w:szCs w:val="22"/>
              </w:rPr>
              <w:t>Bid-Offer Volume</w:t>
            </w:r>
          </w:p>
        </w:tc>
      </w:tr>
      <w:tr w:rsidR="00FA6F10" w:rsidRPr="00630129" w14:paraId="63EA4400" w14:textId="77777777">
        <w:tc>
          <w:tcPr>
            <w:tcW w:w="1566" w:type="pct"/>
            <w:tcMar>
              <w:top w:w="68" w:type="dxa"/>
              <w:left w:w="68" w:type="dxa"/>
              <w:bottom w:w="68" w:type="dxa"/>
              <w:right w:w="68" w:type="dxa"/>
            </w:tcMar>
          </w:tcPr>
          <w:p w14:paraId="357E490D" w14:textId="77777777" w:rsidR="00FA6F10" w:rsidRPr="00630129" w:rsidRDefault="00FA6F10">
            <w:pPr>
              <w:rPr>
                <w:sz w:val="22"/>
                <w:szCs w:val="22"/>
              </w:rPr>
            </w:pPr>
            <w:proofErr w:type="spellStart"/>
            <w:r w:rsidRPr="00630129">
              <w:rPr>
                <w:sz w:val="22"/>
                <w:szCs w:val="22"/>
              </w:rPr>
              <w:t>QBSAB</w:t>
            </w:r>
            <w:r w:rsidRPr="00630129">
              <w:rPr>
                <w:sz w:val="22"/>
                <w:szCs w:val="22"/>
                <w:vertAlign w:val="superscript"/>
              </w:rPr>
              <w:t>m</w:t>
            </w:r>
            <w:r w:rsidRPr="00630129">
              <w:rPr>
                <w:sz w:val="22"/>
                <w:szCs w:val="22"/>
                <w:vertAlign w:val="subscript"/>
              </w:rPr>
              <w:t>j</w:t>
            </w:r>
            <w:proofErr w:type="spellEnd"/>
          </w:p>
        </w:tc>
        <w:tc>
          <w:tcPr>
            <w:tcW w:w="808" w:type="pct"/>
            <w:tcMar>
              <w:top w:w="68" w:type="dxa"/>
              <w:left w:w="68" w:type="dxa"/>
              <w:bottom w:w="68" w:type="dxa"/>
              <w:right w:w="68" w:type="dxa"/>
            </w:tcMar>
          </w:tcPr>
          <w:p w14:paraId="48C5590E"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55F6460D" w14:textId="77777777" w:rsidR="00FA6F10" w:rsidRPr="00630129" w:rsidRDefault="00FA6F10">
            <w:pPr>
              <w:rPr>
                <w:sz w:val="22"/>
                <w:szCs w:val="22"/>
              </w:rPr>
            </w:pPr>
            <w:r w:rsidRPr="00630129">
              <w:rPr>
                <w:sz w:val="22"/>
                <w:szCs w:val="22"/>
              </w:rPr>
              <w:t>Balancing Services Adjustment Buy Volume</w:t>
            </w:r>
          </w:p>
        </w:tc>
      </w:tr>
      <w:tr w:rsidR="00FA6F10" w:rsidRPr="00630129" w14:paraId="4D480EE7" w14:textId="77777777">
        <w:tc>
          <w:tcPr>
            <w:tcW w:w="1566" w:type="pct"/>
            <w:tcMar>
              <w:top w:w="68" w:type="dxa"/>
              <w:left w:w="68" w:type="dxa"/>
              <w:bottom w:w="68" w:type="dxa"/>
              <w:right w:w="68" w:type="dxa"/>
            </w:tcMar>
          </w:tcPr>
          <w:p w14:paraId="2D3FA7B1" w14:textId="77777777" w:rsidR="00FA6F10" w:rsidRPr="00630129" w:rsidRDefault="00FA6F10">
            <w:pPr>
              <w:rPr>
                <w:sz w:val="22"/>
                <w:szCs w:val="22"/>
              </w:rPr>
            </w:pPr>
            <w:proofErr w:type="spellStart"/>
            <w:r w:rsidRPr="00630129">
              <w:rPr>
                <w:sz w:val="22"/>
                <w:szCs w:val="22"/>
              </w:rPr>
              <w:t>QBSA</w:t>
            </w:r>
            <w:r w:rsidRPr="00630129">
              <w:rPr>
                <w:sz w:val="22"/>
                <w:szCs w:val="22"/>
                <w:vertAlign w:val="superscript"/>
              </w:rPr>
              <w:t>m</w:t>
            </w:r>
            <w:r w:rsidRPr="00630129">
              <w:rPr>
                <w:sz w:val="22"/>
                <w:szCs w:val="22"/>
                <w:vertAlign w:val="subscript"/>
              </w:rPr>
              <w:t>j</w:t>
            </w:r>
            <w:proofErr w:type="spellEnd"/>
          </w:p>
        </w:tc>
        <w:tc>
          <w:tcPr>
            <w:tcW w:w="808" w:type="pct"/>
            <w:tcMar>
              <w:top w:w="68" w:type="dxa"/>
              <w:left w:w="68" w:type="dxa"/>
              <w:bottom w:w="68" w:type="dxa"/>
              <w:right w:w="68" w:type="dxa"/>
            </w:tcMar>
            <w:vAlign w:val="center"/>
          </w:tcPr>
          <w:p w14:paraId="7E10F628"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vAlign w:val="center"/>
          </w:tcPr>
          <w:p w14:paraId="6BC059F5" w14:textId="77777777" w:rsidR="00FA6F10" w:rsidRPr="00630129" w:rsidRDefault="00FA6F10">
            <w:pPr>
              <w:rPr>
                <w:sz w:val="22"/>
                <w:szCs w:val="22"/>
              </w:rPr>
            </w:pPr>
            <w:r w:rsidRPr="00630129">
              <w:rPr>
                <w:sz w:val="22"/>
                <w:szCs w:val="22"/>
              </w:rPr>
              <w:t>Balancing Services Adjustment Volume</w:t>
            </w:r>
          </w:p>
        </w:tc>
      </w:tr>
      <w:tr w:rsidR="00FA6F10" w:rsidRPr="00630129" w14:paraId="401A3274" w14:textId="77777777">
        <w:tc>
          <w:tcPr>
            <w:tcW w:w="1566" w:type="pct"/>
            <w:tcMar>
              <w:top w:w="68" w:type="dxa"/>
              <w:left w:w="68" w:type="dxa"/>
              <w:bottom w:w="68" w:type="dxa"/>
              <w:right w:w="68" w:type="dxa"/>
            </w:tcMar>
          </w:tcPr>
          <w:p w14:paraId="60709A58" w14:textId="77777777" w:rsidR="00FA6F10" w:rsidRPr="00630129" w:rsidRDefault="00FA6F10">
            <w:pPr>
              <w:rPr>
                <w:sz w:val="22"/>
                <w:szCs w:val="22"/>
              </w:rPr>
            </w:pPr>
            <w:proofErr w:type="spellStart"/>
            <w:r w:rsidRPr="00630129">
              <w:rPr>
                <w:sz w:val="22"/>
                <w:szCs w:val="22"/>
              </w:rPr>
              <w:t>QBSAS</w:t>
            </w:r>
            <w:r w:rsidRPr="00630129">
              <w:rPr>
                <w:sz w:val="22"/>
                <w:szCs w:val="22"/>
                <w:vertAlign w:val="superscript"/>
              </w:rPr>
              <w:t>m</w:t>
            </w:r>
            <w:r w:rsidRPr="00630129">
              <w:rPr>
                <w:sz w:val="22"/>
                <w:szCs w:val="22"/>
                <w:vertAlign w:val="subscript"/>
              </w:rPr>
              <w:t>j</w:t>
            </w:r>
            <w:proofErr w:type="spellEnd"/>
          </w:p>
        </w:tc>
        <w:tc>
          <w:tcPr>
            <w:tcW w:w="808" w:type="pct"/>
            <w:tcMar>
              <w:top w:w="68" w:type="dxa"/>
              <w:left w:w="68" w:type="dxa"/>
              <w:bottom w:w="68" w:type="dxa"/>
              <w:right w:w="68" w:type="dxa"/>
            </w:tcMar>
          </w:tcPr>
          <w:p w14:paraId="5ADE076C"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12CF91D4" w14:textId="77777777" w:rsidR="00FA6F10" w:rsidRPr="00630129" w:rsidRDefault="00FA6F10">
            <w:pPr>
              <w:rPr>
                <w:sz w:val="22"/>
                <w:szCs w:val="22"/>
              </w:rPr>
            </w:pPr>
            <w:r w:rsidRPr="00630129">
              <w:rPr>
                <w:sz w:val="22"/>
                <w:szCs w:val="22"/>
              </w:rPr>
              <w:t>Balancing Services Adjustment Sell Volume</w:t>
            </w:r>
          </w:p>
        </w:tc>
      </w:tr>
      <w:tr w:rsidR="00FA6F10" w:rsidRPr="00630129" w14:paraId="3434277A" w14:textId="77777777">
        <w:tc>
          <w:tcPr>
            <w:tcW w:w="1566" w:type="pct"/>
            <w:tcMar>
              <w:top w:w="68" w:type="dxa"/>
              <w:left w:w="68" w:type="dxa"/>
              <w:bottom w:w="68" w:type="dxa"/>
              <w:right w:w="68" w:type="dxa"/>
            </w:tcMar>
          </w:tcPr>
          <w:p w14:paraId="480E6E12" w14:textId="77777777" w:rsidR="00FA6F10" w:rsidRPr="00630129" w:rsidRDefault="00FA6F10">
            <w:pPr>
              <w:rPr>
                <w:sz w:val="22"/>
                <w:szCs w:val="22"/>
              </w:rPr>
            </w:pPr>
            <w:proofErr w:type="spellStart"/>
            <w:r w:rsidRPr="00630129">
              <w:rPr>
                <w:sz w:val="22"/>
              </w:rPr>
              <w:t>QBSD</w:t>
            </w:r>
            <w:r w:rsidRPr="00630129">
              <w:rPr>
                <w:sz w:val="22"/>
                <w:vertAlign w:val="subscript"/>
              </w:rPr>
              <w:t>ij</w:t>
            </w:r>
            <w:proofErr w:type="spellEnd"/>
          </w:p>
        </w:tc>
        <w:tc>
          <w:tcPr>
            <w:tcW w:w="808" w:type="pct"/>
            <w:tcMar>
              <w:top w:w="68" w:type="dxa"/>
              <w:left w:w="68" w:type="dxa"/>
              <w:bottom w:w="68" w:type="dxa"/>
              <w:right w:w="68" w:type="dxa"/>
            </w:tcMar>
          </w:tcPr>
          <w:p w14:paraId="6CA191E3"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0D669A25" w14:textId="77777777" w:rsidR="00FA6F10" w:rsidRPr="00630129" w:rsidRDefault="00FA6F10">
            <w:pPr>
              <w:rPr>
                <w:sz w:val="22"/>
                <w:szCs w:val="22"/>
              </w:rPr>
            </w:pPr>
            <w:r w:rsidRPr="00630129">
              <w:rPr>
                <w:sz w:val="22"/>
                <w:szCs w:val="22"/>
              </w:rPr>
              <w:t>Period Supplier BM Unit Delivered Volume</w:t>
            </w:r>
          </w:p>
        </w:tc>
      </w:tr>
      <w:tr w:rsidR="00FA6F10" w:rsidRPr="00630129" w14:paraId="1654CB10" w14:textId="77777777">
        <w:tc>
          <w:tcPr>
            <w:tcW w:w="1566" w:type="pct"/>
            <w:tcMar>
              <w:top w:w="68" w:type="dxa"/>
              <w:left w:w="68" w:type="dxa"/>
              <w:bottom w:w="68" w:type="dxa"/>
              <w:right w:w="68" w:type="dxa"/>
            </w:tcMar>
          </w:tcPr>
          <w:p w14:paraId="4FDB4956" w14:textId="77777777" w:rsidR="00FA6F10" w:rsidRPr="00630129" w:rsidRDefault="00FA6F10">
            <w:pPr>
              <w:rPr>
                <w:sz w:val="22"/>
                <w:szCs w:val="22"/>
              </w:rPr>
            </w:pPr>
            <w:proofErr w:type="spellStart"/>
            <w:r w:rsidRPr="00630129">
              <w:rPr>
                <w:sz w:val="22"/>
                <w:szCs w:val="22"/>
              </w:rPr>
              <w:t>QBS</w:t>
            </w:r>
            <w:r w:rsidRPr="00630129">
              <w:rPr>
                <w:sz w:val="22"/>
                <w:szCs w:val="22"/>
                <w:vertAlign w:val="subscript"/>
              </w:rPr>
              <w:t>ij</w:t>
            </w:r>
            <w:proofErr w:type="spellEnd"/>
          </w:p>
        </w:tc>
        <w:tc>
          <w:tcPr>
            <w:tcW w:w="808" w:type="pct"/>
            <w:tcMar>
              <w:top w:w="68" w:type="dxa"/>
              <w:left w:w="68" w:type="dxa"/>
              <w:bottom w:w="68" w:type="dxa"/>
              <w:right w:w="68" w:type="dxa"/>
            </w:tcMar>
          </w:tcPr>
          <w:p w14:paraId="2A99562A"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578B4EA4" w14:textId="77777777" w:rsidR="00FA6F10" w:rsidRPr="00630129" w:rsidRDefault="00FA6F10">
            <w:pPr>
              <w:rPr>
                <w:sz w:val="22"/>
                <w:szCs w:val="22"/>
              </w:rPr>
            </w:pPr>
            <w:r w:rsidRPr="00630129">
              <w:rPr>
                <w:sz w:val="22"/>
                <w:szCs w:val="22"/>
              </w:rPr>
              <w:t>Period BM Unit Balancing Services Volume</w:t>
            </w:r>
          </w:p>
        </w:tc>
      </w:tr>
      <w:tr w:rsidR="00FA6F10" w:rsidRPr="00630129" w14:paraId="451DB5B1" w14:textId="77777777">
        <w:tc>
          <w:tcPr>
            <w:tcW w:w="1566" w:type="pct"/>
            <w:tcMar>
              <w:top w:w="68" w:type="dxa"/>
              <w:left w:w="68" w:type="dxa"/>
              <w:bottom w:w="68" w:type="dxa"/>
              <w:right w:w="68" w:type="dxa"/>
            </w:tcMar>
          </w:tcPr>
          <w:p w14:paraId="4DFEE45A" w14:textId="77777777" w:rsidR="00FA6F10" w:rsidRPr="00630129" w:rsidRDefault="00FA6F10">
            <w:pPr>
              <w:rPr>
                <w:sz w:val="22"/>
                <w:szCs w:val="22"/>
              </w:rPr>
            </w:pPr>
            <w:proofErr w:type="spellStart"/>
            <w:r w:rsidRPr="00630129">
              <w:rPr>
                <w:sz w:val="22"/>
                <w:szCs w:val="22"/>
              </w:rPr>
              <w:t>QCE</w:t>
            </w:r>
            <w:r w:rsidRPr="00630129">
              <w:rPr>
                <w:sz w:val="22"/>
                <w:szCs w:val="22"/>
                <w:vertAlign w:val="subscript"/>
              </w:rPr>
              <w:t>iaj</w:t>
            </w:r>
            <w:proofErr w:type="spellEnd"/>
          </w:p>
        </w:tc>
        <w:tc>
          <w:tcPr>
            <w:tcW w:w="808" w:type="pct"/>
            <w:tcMar>
              <w:top w:w="68" w:type="dxa"/>
              <w:left w:w="68" w:type="dxa"/>
              <w:bottom w:w="68" w:type="dxa"/>
              <w:right w:w="68" w:type="dxa"/>
            </w:tcMar>
          </w:tcPr>
          <w:p w14:paraId="468B2BBC"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6419995F" w14:textId="77777777" w:rsidR="00FA6F10" w:rsidRPr="00630129" w:rsidRDefault="00FA6F10">
            <w:pPr>
              <w:rPr>
                <w:sz w:val="22"/>
                <w:szCs w:val="22"/>
              </w:rPr>
            </w:pPr>
            <w:r w:rsidRPr="00630129">
              <w:rPr>
                <w:sz w:val="22"/>
                <w:szCs w:val="22"/>
              </w:rPr>
              <w:t>Credited Energy Volume</w:t>
            </w:r>
          </w:p>
        </w:tc>
      </w:tr>
      <w:tr w:rsidR="00FA6F10" w:rsidRPr="00630129" w14:paraId="18728219"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1FD01B86" w14:textId="77777777" w:rsidR="00FA6F10" w:rsidRPr="00630129" w:rsidRDefault="00FA6F10">
            <w:pPr>
              <w:rPr>
                <w:sz w:val="22"/>
                <w:szCs w:val="22"/>
              </w:rPr>
            </w:pPr>
            <w:proofErr w:type="spellStart"/>
            <w:r w:rsidRPr="00630129">
              <w:rPr>
                <w:sz w:val="22"/>
                <w:szCs w:val="22"/>
              </w:rPr>
              <w:t>QDD</w:t>
            </w:r>
            <w:r w:rsidRPr="00630129">
              <w:rPr>
                <w:sz w:val="22"/>
                <w:szCs w:val="22"/>
                <w:vertAlign w:val="subscript"/>
              </w:rPr>
              <w:t>ij</w:t>
            </w:r>
            <w:proofErr w:type="spellEnd"/>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0DBC9D74" w14:textId="77777777" w:rsidR="00FA6F10" w:rsidRPr="00630129" w:rsidRDefault="00FA6F10">
            <w:pPr>
              <w:rPr>
                <w:sz w:val="22"/>
                <w:szCs w:val="22"/>
              </w:rPr>
            </w:pPr>
            <w:r w:rsidRPr="00630129">
              <w:rPr>
                <w:sz w:val="22"/>
                <w:szCs w:val="22"/>
              </w:rPr>
              <w:t>MWh</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17F12058" w14:textId="77777777" w:rsidR="00FA6F10" w:rsidRPr="00630129" w:rsidRDefault="00FA6F10">
            <w:pPr>
              <w:rPr>
                <w:sz w:val="22"/>
                <w:szCs w:val="22"/>
              </w:rPr>
            </w:pPr>
            <w:r w:rsidRPr="00630129">
              <w:rPr>
                <w:sz w:val="22"/>
                <w:szCs w:val="22"/>
              </w:rPr>
              <w:t>Period BM Unit Demand Disconnection Volume</w:t>
            </w:r>
          </w:p>
        </w:tc>
      </w:tr>
      <w:tr w:rsidR="00FA6F10" w:rsidRPr="00630129" w14:paraId="08A83800"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7BF5C069" w14:textId="77777777" w:rsidR="00FA6F10" w:rsidRPr="00630129" w:rsidRDefault="00FA6F10">
            <w:pPr>
              <w:rPr>
                <w:sz w:val="22"/>
                <w:szCs w:val="22"/>
              </w:rPr>
            </w:pPr>
            <w:proofErr w:type="spellStart"/>
            <w:r w:rsidRPr="00630129">
              <w:rPr>
                <w:sz w:val="22"/>
              </w:rPr>
              <w:t>qDSPB</w:t>
            </w:r>
            <w:r w:rsidRPr="00630129">
              <w:rPr>
                <w:sz w:val="22"/>
                <w:vertAlign w:val="superscript"/>
              </w:rPr>
              <w:t>J</w:t>
            </w:r>
            <w:r w:rsidRPr="00630129">
              <w:rPr>
                <w:sz w:val="22"/>
                <w:vertAlign w:val="subscript"/>
              </w:rPr>
              <w:t>ij</w:t>
            </w:r>
            <w:proofErr w:type="spellEnd"/>
            <w:r w:rsidRPr="00630129">
              <w:rPr>
                <w:sz w:val="22"/>
              </w:rPr>
              <w:t>(t)</w:t>
            </w:r>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1DE3795A" w14:textId="77777777" w:rsidR="00FA6F10" w:rsidRPr="00630129" w:rsidRDefault="00FA6F10">
            <w:pPr>
              <w:rPr>
                <w:sz w:val="22"/>
                <w:szCs w:val="22"/>
              </w:rPr>
            </w:pPr>
            <w:r w:rsidRPr="00630129">
              <w:rPr>
                <w:sz w:val="22"/>
                <w:szCs w:val="22"/>
              </w:rPr>
              <w:t>MW</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3AB33941" w14:textId="77777777" w:rsidR="00FA6F10" w:rsidRPr="00630129" w:rsidRDefault="00FA6F10">
            <w:pPr>
              <w:rPr>
                <w:sz w:val="22"/>
                <w:szCs w:val="22"/>
              </w:rPr>
            </w:pPr>
            <w:r w:rsidRPr="00630129">
              <w:rPr>
                <w:sz w:val="22"/>
              </w:rPr>
              <w:t>Deemed Standard Product Bid Volume</w:t>
            </w:r>
          </w:p>
        </w:tc>
      </w:tr>
      <w:tr w:rsidR="00FA6F10" w:rsidRPr="00630129" w14:paraId="7F77B9A9"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3879131F" w14:textId="77777777" w:rsidR="00FA6F10" w:rsidRPr="00630129" w:rsidRDefault="00FA6F10">
            <w:pPr>
              <w:rPr>
                <w:sz w:val="22"/>
                <w:szCs w:val="22"/>
              </w:rPr>
            </w:pPr>
            <w:proofErr w:type="spellStart"/>
            <w:r w:rsidRPr="00630129">
              <w:rPr>
                <w:sz w:val="22"/>
              </w:rPr>
              <w:t>qDSP</w:t>
            </w:r>
            <w:r w:rsidRPr="00630129">
              <w:rPr>
                <w:sz w:val="22"/>
                <w:vertAlign w:val="superscript"/>
              </w:rPr>
              <w:t>J</w:t>
            </w:r>
            <w:r w:rsidRPr="00630129">
              <w:rPr>
                <w:sz w:val="22"/>
                <w:vertAlign w:val="subscript"/>
              </w:rPr>
              <w:t>ij</w:t>
            </w:r>
            <w:proofErr w:type="spellEnd"/>
            <w:r w:rsidRPr="00630129">
              <w:rPr>
                <w:sz w:val="22"/>
              </w:rPr>
              <w:t>(t)</w:t>
            </w:r>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17DF4BCE" w14:textId="77777777" w:rsidR="00FA6F10" w:rsidRPr="00630129" w:rsidRDefault="00FA6F10">
            <w:pPr>
              <w:rPr>
                <w:sz w:val="22"/>
                <w:szCs w:val="22"/>
              </w:rPr>
            </w:pPr>
            <w:r w:rsidRPr="00630129">
              <w:rPr>
                <w:sz w:val="22"/>
                <w:szCs w:val="22"/>
              </w:rPr>
              <w:t>MW</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6C6BD282" w14:textId="77777777" w:rsidR="00FA6F10" w:rsidRPr="00630129" w:rsidRDefault="00FA6F10">
            <w:pPr>
              <w:rPr>
                <w:sz w:val="22"/>
                <w:szCs w:val="22"/>
              </w:rPr>
            </w:pPr>
            <w:r w:rsidRPr="00630129">
              <w:rPr>
                <w:sz w:val="22"/>
              </w:rPr>
              <w:t>Deemed Standard Product Shape</w:t>
            </w:r>
          </w:p>
        </w:tc>
      </w:tr>
      <w:tr w:rsidR="00FA6F10" w:rsidRPr="00630129" w14:paraId="7A86B4DD"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2F1A9317" w14:textId="77777777" w:rsidR="00FA6F10" w:rsidRPr="00630129" w:rsidRDefault="00FA6F10">
            <w:pPr>
              <w:rPr>
                <w:sz w:val="22"/>
                <w:szCs w:val="22"/>
              </w:rPr>
            </w:pPr>
            <w:proofErr w:type="spellStart"/>
            <w:r w:rsidRPr="00630129">
              <w:rPr>
                <w:sz w:val="22"/>
              </w:rPr>
              <w:t>qDSP</w:t>
            </w:r>
            <w:r w:rsidRPr="00630129">
              <w:rPr>
                <w:sz w:val="22"/>
                <w:vertAlign w:val="superscript"/>
              </w:rPr>
              <w:t>J</w:t>
            </w:r>
            <w:r w:rsidRPr="00630129">
              <w:rPr>
                <w:sz w:val="22"/>
                <w:vertAlign w:val="subscript"/>
              </w:rPr>
              <w:t>ijt</w:t>
            </w:r>
            <w:proofErr w:type="spellEnd"/>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2989953A" w14:textId="77777777" w:rsidR="00FA6F10" w:rsidRPr="00630129" w:rsidRDefault="00FA6F10">
            <w:pPr>
              <w:rPr>
                <w:sz w:val="22"/>
                <w:szCs w:val="22"/>
              </w:rPr>
            </w:pPr>
            <w:r w:rsidRPr="00630129">
              <w:rPr>
                <w:sz w:val="22"/>
                <w:szCs w:val="22"/>
              </w:rPr>
              <w:t>MW</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1E2E8A92" w14:textId="77777777" w:rsidR="00FA6F10" w:rsidRPr="00630129" w:rsidRDefault="00FA6F10">
            <w:pPr>
              <w:rPr>
                <w:sz w:val="22"/>
                <w:szCs w:val="22"/>
              </w:rPr>
            </w:pPr>
            <w:r w:rsidRPr="00630129">
              <w:rPr>
                <w:sz w:val="22"/>
              </w:rPr>
              <w:t>Deemed Standard Product Point Variables</w:t>
            </w:r>
          </w:p>
        </w:tc>
      </w:tr>
      <w:tr w:rsidR="00FA6F10" w:rsidRPr="00630129" w14:paraId="3C6BEA59"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1CD57A79" w14:textId="77777777" w:rsidR="00FA6F10" w:rsidRPr="00630129" w:rsidRDefault="00FA6F10">
            <w:pPr>
              <w:rPr>
                <w:sz w:val="22"/>
                <w:szCs w:val="22"/>
              </w:rPr>
            </w:pPr>
            <w:proofErr w:type="spellStart"/>
            <w:r w:rsidRPr="00630129">
              <w:rPr>
                <w:sz w:val="22"/>
              </w:rPr>
              <w:t>qDSPO</w:t>
            </w:r>
            <w:r w:rsidRPr="00630129">
              <w:rPr>
                <w:sz w:val="22"/>
                <w:vertAlign w:val="superscript"/>
              </w:rPr>
              <w:t>J</w:t>
            </w:r>
            <w:r w:rsidRPr="00630129">
              <w:rPr>
                <w:sz w:val="22"/>
                <w:vertAlign w:val="subscript"/>
              </w:rPr>
              <w:t>ij</w:t>
            </w:r>
            <w:proofErr w:type="spellEnd"/>
            <w:r w:rsidRPr="00630129">
              <w:rPr>
                <w:sz w:val="22"/>
              </w:rPr>
              <w:t>(t)</w:t>
            </w:r>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44C834EB" w14:textId="77777777" w:rsidR="00FA6F10" w:rsidRPr="00630129" w:rsidRDefault="00FA6F10">
            <w:pPr>
              <w:rPr>
                <w:sz w:val="22"/>
                <w:szCs w:val="22"/>
              </w:rPr>
            </w:pPr>
            <w:r w:rsidRPr="00630129">
              <w:rPr>
                <w:sz w:val="22"/>
                <w:szCs w:val="22"/>
              </w:rPr>
              <w:t>MW</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4FA307B7" w14:textId="77777777" w:rsidR="00FA6F10" w:rsidRPr="00630129" w:rsidRDefault="00FA6F10">
            <w:pPr>
              <w:rPr>
                <w:sz w:val="22"/>
                <w:szCs w:val="22"/>
              </w:rPr>
            </w:pPr>
            <w:r w:rsidRPr="00630129">
              <w:rPr>
                <w:sz w:val="22"/>
              </w:rPr>
              <w:t>Deemed Standard Product Offer Volume</w:t>
            </w:r>
          </w:p>
        </w:tc>
      </w:tr>
      <w:tr w:rsidR="00FA6F10" w:rsidRPr="00630129" w14:paraId="7EAB2DE2"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130A1D45" w14:textId="77777777" w:rsidR="00FA6F10" w:rsidRPr="00630129" w:rsidRDefault="00FA6F10">
            <w:pPr>
              <w:rPr>
                <w:sz w:val="22"/>
                <w:szCs w:val="22"/>
              </w:rPr>
            </w:pPr>
            <w:proofErr w:type="spellStart"/>
            <w:r w:rsidRPr="00630129">
              <w:rPr>
                <w:sz w:val="22"/>
              </w:rPr>
              <w:t>qDSPV</w:t>
            </w:r>
            <w:r w:rsidRPr="00630129">
              <w:rPr>
                <w:sz w:val="22"/>
                <w:vertAlign w:val="superscript"/>
              </w:rPr>
              <w:t>J</w:t>
            </w:r>
            <w:r w:rsidRPr="00630129">
              <w:rPr>
                <w:sz w:val="22"/>
                <w:vertAlign w:val="subscript"/>
              </w:rPr>
              <w:t>ij</w:t>
            </w:r>
            <w:proofErr w:type="spellEnd"/>
            <w:r w:rsidRPr="00630129">
              <w:rPr>
                <w:sz w:val="22"/>
              </w:rPr>
              <w:t>(t)</w:t>
            </w:r>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061197BE" w14:textId="77777777" w:rsidR="00FA6F10" w:rsidRPr="00630129" w:rsidRDefault="00FA6F10">
            <w:pPr>
              <w:rPr>
                <w:sz w:val="22"/>
                <w:szCs w:val="22"/>
              </w:rPr>
            </w:pPr>
            <w:r w:rsidRPr="00630129">
              <w:rPr>
                <w:sz w:val="22"/>
                <w:szCs w:val="22"/>
              </w:rPr>
              <w:t>MW</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6BF705EC" w14:textId="77777777" w:rsidR="00FA6F10" w:rsidRPr="00630129" w:rsidRDefault="00FA6F10">
            <w:pPr>
              <w:rPr>
                <w:sz w:val="22"/>
                <w:szCs w:val="22"/>
              </w:rPr>
            </w:pPr>
            <w:r w:rsidRPr="00630129">
              <w:rPr>
                <w:sz w:val="22"/>
              </w:rPr>
              <w:t>Deemed Standard Product Volume</w:t>
            </w:r>
          </w:p>
        </w:tc>
      </w:tr>
      <w:tr w:rsidR="00FA6F10" w:rsidRPr="00630129" w14:paraId="54BF2390" w14:textId="77777777">
        <w:tc>
          <w:tcPr>
            <w:tcW w:w="1566" w:type="pct"/>
            <w:tcMar>
              <w:top w:w="68" w:type="dxa"/>
              <w:left w:w="68" w:type="dxa"/>
              <w:bottom w:w="68" w:type="dxa"/>
              <w:right w:w="68" w:type="dxa"/>
            </w:tcMar>
          </w:tcPr>
          <w:p w14:paraId="080C40C0" w14:textId="77777777" w:rsidR="00FA6F10" w:rsidRPr="00630129" w:rsidRDefault="00FA6F10">
            <w:pPr>
              <w:rPr>
                <w:sz w:val="22"/>
                <w:szCs w:val="22"/>
              </w:rPr>
            </w:pPr>
            <w:proofErr w:type="spellStart"/>
            <w:r w:rsidRPr="00630129">
              <w:rPr>
                <w:sz w:val="22"/>
                <w:szCs w:val="22"/>
              </w:rPr>
              <w:t>QII</w:t>
            </w:r>
            <w:r w:rsidRPr="00630129">
              <w:rPr>
                <w:sz w:val="22"/>
                <w:szCs w:val="22"/>
                <w:vertAlign w:val="subscript"/>
              </w:rPr>
              <w:t>ij</w:t>
            </w:r>
            <w:proofErr w:type="spellEnd"/>
          </w:p>
        </w:tc>
        <w:tc>
          <w:tcPr>
            <w:tcW w:w="808" w:type="pct"/>
            <w:tcMar>
              <w:top w:w="68" w:type="dxa"/>
              <w:left w:w="68" w:type="dxa"/>
              <w:bottom w:w="68" w:type="dxa"/>
              <w:right w:w="68" w:type="dxa"/>
            </w:tcMar>
          </w:tcPr>
          <w:p w14:paraId="591CACC9"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3C1D8D36" w14:textId="77777777" w:rsidR="00FA6F10" w:rsidRPr="00630129" w:rsidRDefault="00FA6F10">
            <w:pPr>
              <w:rPr>
                <w:sz w:val="22"/>
                <w:szCs w:val="22"/>
              </w:rPr>
            </w:pPr>
            <w:r w:rsidRPr="00630129">
              <w:rPr>
                <w:sz w:val="22"/>
                <w:szCs w:val="22"/>
              </w:rPr>
              <w:t>Period Information Imbalance Volume</w:t>
            </w:r>
          </w:p>
        </w:tc>
      </w:tr>
      <w:tr w:rsidR="00FA6F10" w:rsidRPr="00630129" w14:paraId="59CDA545" w14:textId="77777777">
        <w:tc>
          <w:tcPr>
            <w:tcW w:w="1566" w:type="pct"/>
            <w:tcMar>
              <w:top w:w="68" w:type="dxa"/>
              <w:left w:w="68" w:type="dxa"/>
              <w:bottom w:w="68" w:type="dxa"/>
              <w:right w:w="68" w:type="dxa"/>
            </w:tcMar>
          </w:tcPr>
          <w:p w14:paraId="43C42813" w14:textId="77777777" w:rsidR="00FA6F10" w:rsidRPr="00630129" w:rsidRDefault="00FA6F10">
            <w:pPr>
              <w:rPr>
                <w:sz w:val="22"/>
                <w:szCs w:val="22"/>
              </w:rPr>
            </w:pPr>
            <w:proofErr w:type="spellStart"/>
            <w:r w:rsidRPr="00630129">
              <w:rPr>
                <w:sz w:val="22"/>
                <w:szCs w:val="22"/>
              </w:rPr>
              <w:t>QME</w:t>
            </w:r>
            <w:r w:rsidRPr="00630129">
              <w:rPr>
                <w:sz w:val="22"/>
                <w:szCs w:val="22"/>
                <w:vertAlign w:val="subscript"/>
              </w:rPr>
              <w:t>ij</w:t>
            </w:r>
            <w:proofErr w:type="spellEnd"/>
          </w:p>
        </w:tc>
        <w:tc>
          <w:tcPr>
            <w:tcW w:w="808" w:type="pct"/>
            <w:tcMar>
              <w:top w:w="68" w:type="dxa"/>
              <w:left w:w="68" w:type="dxa"/>
              <w:bottom w:w="68" w:type="dxa"/>
              <w:right w:w="68" w:type="dxa"/>
            </w:tcMar>
          </w:tcPr>
          <w:p w14:paraId="574235CC"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2216A53C" w14:textId="77777777" w:rsidR="00FA6F10" w:rsidRPr="00630129" w:rsidRDefault="00FA6F10">
            <w:pPr>
              <w:rPr>
                <w:sz w:val="22"/>
                <w:szCs w:val="22"/>
              </w:rPr>
            </w:pPr>
            <w:r w:rsidRPr="00630129">
              <w:rPr>
                <w:sz w:val="22"/>
                <w:szCs w:val="22"/>
              </w:rPr>
              <w:t xml:space="preserve">Period Expected Metered Volume </w:t>
            </w:r>
          </w:p>
        </w:tc>
      </w:tr>
      <w:tr w:rsidR="00FA6F10" w:rsidRPr="00630129" w14:paraId="32619A9B" w14:textId="77777777">
        <w:tc>
          <w:tcPr>
            <w:tcW w:w="1566" w:type="pct"/>
            <w:tcMar>
              <w:top w:w="68" w:type="dxa"/>
              <w:left w:w="68" w:type="dxa"/>
              <w:bottom w:w="68" w:type="dxa"/>
              <w:right w:w="68" w:type="dxa"/>
            </w:tcMar>
          </w:tcPr>
          <w:p w14:paraId="414A23EE" w14:textId="77777777" w:rsidR="00FA6F10" w:rsidRPr="00630129" w:rsidRDefault="00FA6F10">
            <w:pPr>
              <w:rPr>
                <w:sz w:val="22"/>
                <w:szCs w:val="22"/>
              </w:rPr>
            </w:pPr>
            <w:proofErr w:type="spellStart"/>
            <w:r w:rsidRPr="00630129">
              <w:rPr>
                <w:sz w:val="22"/>
                <w:szCs w:val="22"/>
              </w:rPr>
              <w:t>QMFR</w:t>
            </w:r>
            <w:r w:rsidRPr="00630129">
              <w:rPr>
                <w:sz w:val="22"/>
                <w:szCs w:val="22"/>
                <w:vertAlign w:val="subscript"/>
              </w:rPr>
              <w:t>iaj</w:t>
            </w:r>
            <w:proofErr w:type="spellEnd"/>
          </w:p>
        </w:tc>
        <w:tc>
          <w:tcPr>
            <w:tcW w:w="808" w:type="pct"/>
            <w:tcMar>
              <w:top w:w="68" w:type="dxa"/>
              <w:left w:w="68" w:type="dxa"/>
              <w:bottom w:w="68" w:type="dxa"/>
              <w:right w:w="68" w:type="dxa"/>
            </w:tcMar>
          </w:tcPr>
          <w:p w14:paraId="54512F76"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9969F14" w14:textId="77777777" w:rsidR="00FA6F10" w:rsidRPr="00630129" w:rsidRDefault="00FA6F10">
            <w:pPr>
              <w:rPr>
                <w:sz w:val="22"/>
                <w:szCs w:val="22"/>
              </w:rPr>
            </w:pPr>
            <w:r w:rsidRPr="00630129">
              <w:rPr>
                <w:sz w:val="22"/>
                <w:szCs w:val="22"/>
              </w:rPr>
              <w:t>Metered Volume Fixed Reallocation</w:t>
            </w:r>
          </w:p>
        </w:tc>
      </w:tr>
      <w:tr w:rsidR="00FA6F10" w:rsidRPr="00630129" w14:paraId="1C22CA5D" w14:textId="77777777">
        <w:tc>
          <w:tcPr>
            <w:tcW w:w="1566" w:type="pct"/>
            <w:tcMar>
              <w:top w:w="68" w:type="dxa"/>
              <w:left w:w="68" w:type="dxa"/>
              <w:bottom w:w="68" w:type="dxa"/>
              <w:right w:w="68" w:type="dxa"/>
            </w:tcMar>
          </w:tcPr>
          <w:p w14:paraId="65750C11" w14:textId="77777777" w:rsidR="00FA6F10" w:rsidRPr="00630129" w:rsidRDefault="00FA6F10">
            <w:pPr>
              <w:rPr>
                <w:sz w:val="22"/>
                <w:szCs w:val="22"/>
                <w:vertAlign w:val="subscript"/>
              </w:rPr>
            </w:pPr>
            <w:proofErr w:type="spellStart"/>
            <w:r w:rsidRPr="00630129">
              <w:rPr>
                <w:sz w:val="22"/>
                <w:szCs w:val="22"/>
              </w:rPr>
              <w:t>QMFR</w:t>
            </w:r>
            <w:r w:rsidRPr="00630129">
              <w:rPr>
                <w:sz w:val="22"/>
                <w:szCs w:val="22"/>
                <w:vertAlign w:val="subscript"/>
              </w:rPr>
              <w:t>ziaj</w:t>
            </w:r>
            <w:proofErr w:type="spellEnd"/>
          </w:p>
        </w:tc>
        <w:tc>
          <w:tcPr>
            <w:tcW w:w="808" w:type="pct"/>
            <w:tcMar>
              <w:top w:w="68" w:type="dxa"/>
              <w:left w:w="68" w:type="dxa"/>
              <w:bottom w:w="68" w:type="dxa"/>
              <w:right w:w="68" w:type="dxa"/>
            </w:tcMar>
          </w:tcPr>
          <w:p w14:paraId="565CC742"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0551C13" w14:textId="77777777" w:rsidR="00FA6F10" w:rsidRPr="00630129" w:rsidRDefault="00FA6F10">
            <w:pPr>
              <w:rPr>
                <w:sz w:val="22"/>
                <w:szCs w:val="22"/>
              </w:rPr>
            </w:pPr>
            <w:r w:rsidRPr="00630129">
              <w:rPr>
                <w:sz w:val="22"/>
                <w:szCs w:val="22"/>
              </w:rPr>
              <w:t>Metered Volume Reallocation Fixed Data</w:t>
            </w:r>
          </w:p>
        </w:tc>
      </w:tr>
      <w:tr w:rsidR="00FA6F10" w:rsidRPr="00630129" w14:paraId="1C48A552" w14:textId="77777777">
        <w:tc>
          <w:tcPr>
            <w:tcW w:w="1566" w:type="pct"/>
            <w:tcMar>
              <w:top w:w="68" w:type="dxa"/>
              <w:left w:w="68" w:type="dxa"/>
              <w:bottom w:w="68" w:type="dxa"/>
              <w:right w:w="68" w:type="dxa"/>
            </w:tcMar>
          </w:tcPr>
          <w:p w14:paraId="7DBA13DE" w14:textId="77777777" w:rsidR="00FA6F10" w:rsidRPr="00630129" w:rsidRDefault="00FA6F10">
            <w:pPr>
              <w:rPr>
                <w:sz w:val="22"/>
                <w:szCs w:val="22"/>
              </w:rPr>
            </w:pPr>
            <w:proofErr w:type="spellStart"/>
            <w:r w:rsidRPr="00630129">
              <w:rPr>
                <w:sz w:val="22"/>
                <w:szCs w:val="22"/>
              </w:rPr>
              <w:t>QM</w:t>
            </w:r>
            <w:r w:rsidRPr="00630129">
              <w:rPr>
                <w:sz w:val="22"/>
                <w:szCs w:val="22"/>
                <w:vertAlign w:val="subscript"/>
              </w:rPr>
              <w:t>ij</w:t>
            </w:r>
            <w:proofErr w:type="spellEnd"/>
          </w:p>
        </w:tc>
        <w:tc>
          <w:tcPr>
            <w:tcW w:w="808" w:type="pct"/>
            <w:tcMar>
              <w:top w:w="68" w:type="dxa"/>
              <w:left w:w="68" w:type="dxa"/>
              <w:bottom w:w="68" w:type="dxa"/>
              <w:right w:w="68" w:type="dxa"/>
            </w:tcMar>
          </w:tcPr>
          <w:p w14:paraId="669933CB"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1E64CE3C" w14:textId="77777777" w:rsidR="00FA6F10" w:rsidRPr="00630129" w:rsidRDefault="00FA6F10">
            <w:pPr>
              <w:rPr>
                <w:sz w:val="22"/>
                <w:szCs w:val="22"/>
              </w:rPr>
            </w:pPr>
            <w:r w:rsidRPr="00630129">
              <w:rPr>
                <w:sz w:val="22"/>
                <w:szCs w:val="22"/>
              </w:rPr>
              <w:t>BM Unit Metered Volume</w:t>
            </w:r>
          </w:p>
        </w:tc>
      </w:tr>
      <w:tr w:rsidR="00FA6F10" w:rsidRPr="00630129" w14:paraId="63A943D0" w14:textId="77777777">
        <w:tc>
          <w:tcPr>
            <w:tcW w:w="1566" w:type="pct"/>
            <w:tcMar>
              <w:top w:w="68" w:type="dxa"/>
              <w:left w:w="68" w:type="dxa"/>
              <w:bottom w:w="68" w:type="dxa"/>
              <w:right w:w="68" w:type="dxa"/>
            </w:tcMar>
          </w:tcPr>
          <w:p w14:paraId="29FB063E" w14:textId="77777777" w:rsidR="00FA6F10" w:rsidRPr="00630129" w:rsidRDefault="00FA6F10">
            <w:pPr>
              <w:rPr>
                <w:sz w:val="22"/>
                <w:szCs w:val="22"/>
                <w:vertAlign w:val="subscript"/>
              </w:rPr>
            </w:pPr>
            <w:proofErr w:type="spellStart"/>
            <w:r w:rsidRPr="00630129">
              <w:rPr>
                <w:sz w:val="22"/>
                <w:szCs w:val="22"/>
              </w:rPr>
              <w:t>QMPR</w:t>
            </w:r>
            <w:r w:rsidRPr="00630129">
              <w:rPr>
                <w:sz w:val="22"/>
                <w:szCs w:val="22"/>
                <w:vertAlign w:val="subscript"/>
              </w:rPr>
              <w:t>iaj</w:t>
            </w:r>
            <w:proofErr w:type="spellEnd"/>
          </w:p>
        </w:tc>
        <w:tc>
          <w:tcPr>
            <w:tcW w:w="808" w:type="pct"/>
            <w:tcMar>
              <w:top w:w="68" w:type="dxa"/>
              <w:left w:w="68" w:type="dxa"/>
              <w:bottom w:w="68" w:type="dxa"/>
              <w:right w:w="68" w:type="dxa"/>
            </w:tcMar>
          </w:tcPr>
          <w:p w14:paraId="1E2B4EFE"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7E823146" w14:textId="77777777" w:rsidR="00FA6F10" w:rsidRPr="00630129" w:rsidRDefault="00FA6F10">
            <w:pPr>
              <w:rPr>
                <w:sz w:val="22"/>
                <w:szCs w:val="22"/>
              </w:rPr>
            </w:pPr>
            <w:r w:rsidRPr="00630129">
              <w:rPr>
                <w:sz w:val="22"/>
                <w:szCs w:val="22"/>
              </w:rPr>
              <w:t>Metered Volume Percentage Reallocation</w:t>
            </w:r>
          </w:p>
        </w:tc>
      </w:tr>
      <w:tr w:rsidR="00FA6F10" w:rsidRPr="00630129" w14:paraId="14AA9C1F" w14:textId="77777777">
        <w:tc>
          <w:tcPr>
            <w:tcW w:w="1566" w:type="pct"/>
            <w:tcMar>
              <w:top w:w="68" w:type="dxa"/>
              <w:left w:w="68" w:type="dxa"/>
              <w:bottom w:w="68" w:type="dxa"/>
              <w:right w:w="68" w:type="dxa"/>
            </w:tcMar>
          </w:tcPr>
          <w:p w14:paraId="6F9B664A" w14:textId="77777777" w:rsidR="00FA6F10" w:rsidRPr="00630129" w:rsidRDefault="00FA6F10">
            <w:pPr>
              <w:rPr>
                <w:sz w:val="22"/>
                <w:szCs w:val="22"/>
                <w:vertAlign w:val="subscript"/>
              </w:rPr>
            </w:pPr>
            <w:proofErr w:type="spellStart"/>
            <w:r w:rsidRPr="00630129">
              <w:rPr>
                <w:sz w:val="22"/>
                <w:szCs w:val="22"/>
              </w:rPr>
              <w:t>QMPR</w:t>
            </w:r>
            <w:r w:rsidRPr="00630129">
              <w:rPr>
                <w:sz w:val="22"/>
                <w:szCs w:val="22"/>
                <w:vertAlign w:val="subscript"/>
              </w:rPr>
              <w:t>ziaj</w:t>
            </w:r>
            <w:proofErr w:type="spellEnd"/>
          </w:p>
        </w:tc>
        <w:tc>
          <w:tcPr>
            <w:tcW w:w="808" w:type="pct"/>
            <w:tcMar>
              <w:top w:w="68" w:type="dxa"/>
              <w:left w:w="68" w:type="dxa"/>
              <w:bottom w:w="68" w:type="dxa"/>
              <w:right w:w="68" w:type="dxa"/>
            </w:tcMar>
          </w:tcPr>
          <w:p w14:paraId="37B01C05"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7A2FBE76" w14:textId="77777777" w:rsidR="00FA6F10" w:rsidRPr="00630129" w:rsidRDefault="00FA6F10">
            <w:pPr>
              <w:rPr>
                <w:sz w:val="22"/>
                <w:szCs w:val="22"/>
              </w:rPr>
            </w:pPr>
            <w:r w:rsidRPr="00630129">
              <w:rPr>
                <w:sz w:val="22"/>
                <w:szCs w:val="22"/>
              </w:rPr>
              <w:t>Metered Volume Reallocation Percentage Data</w:t>
            </w:r>
          </w:p>
        </w:tc>
      </w:tr>
      <w:tr w:rsidR="00FA6F10" w:rsidRPr="00630129" w14:paraId="71329AA9" w14:textId="77777777">
        <w:tc>
          <w:tcPr>
            <w:tcW w:w="1566" w:type="pct"/>
            <w:tcMar>
              <w:top w:w="68" w:type="dxa"/>
              <w:left w:w="68" w:type="dxa"/>
              <w:bottom w:w="68" w:type="dxa"/>
              <w:right w:w="68" w:type="dxa"/>
            </w:tcMar>
          </w:tcPr>
          <w:p w14:paraId="7034106C" w14:textId="77777777" w:rsidR="00FA6F10" w:rsidRPr="00630129" w:rsidRDefault="00FA6F10">
            <w:pPr>
              <w:rPr>
                <w:sz w:val="22"/>
                <w:szCs w:val="22"/>
              </w:rPr>
            </w:pPr>
            <w:proofErr w:type="spellStart"/>
            <w:r w:rsidRPr="00630129">
              <w:rPr>
                <w:sz w:val="22"/>
                <w:szCs w:val="22"/>
              </w:rPr>
              <w:t>QNDB</w:t>
            </w:r>
            <w:r w:rsidRPr="00630129">
              <w:rPr>
                <w:sz w:val="22"/>
                <w:szCs w:val="22"/>
                <w:vertAlign w:val="subscript"/>
              </w:rPr>
              <w:t>ij</w:t>
            </w:r>
            <w:proofErr w:type="spellEnd"/>
          </w:p>
        </w:tc>
        <w:tc>
          <w:tcPr>
            <w:tcW w:w="808" w:type="pct"/>
            <w:tcMar>
              <w:top w:w="68" w:type="dxa"/>
              <w:left w:w="68" w:type="dxa"/>
              <w:bottom w:w="68" w:type="dxa"/>
              <w:right w:w="68" w:type="dxa"/>
            </w:tcMar>
          </w:tcPr>
          <w:p w14:paraId="18670429"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317555D" w14:textId="77777777" w:rsidR="00FA6F10" w:rsidRPr="00630129" w:rsidRDefault="00FA6F10">
            <w:pPr>
              <w:rPr>
                <w:sz w:val="22"/>
                <w:szCs w:val="22"/>
              </w:rPr>
            </w:pPr>
            <w:r w:rsidRPr="00630129">
              <w:rPr>
                <w:sz w:val="22"/>
                <w:szCs w:val="22"/>
              </w:rPr>
              <w:t>Period BM Unit Non-Delivered Bid Volume</w:t>
            </w:r>
          </w:p>
        </w:tc>
      </w:tr>
      <w:tr w:rsidR="00FA6F10" w:rsidRPr="00630129" w14:paraId="7BCB339D" w14:textId="77777777">
        <w:tc>
          <w:tcPr>
            <w:tcW w:w="1566" w:type="pct"/>
            <w:tcMar>
              <w:top w:w="68" w:type="dxa"/>
              <w:left w:w="68" w:type="dxa"/>
              <w:bottom w:w="68" w:type="dxa"/>
              <w:right w:w="68" w:type="dxa"/>
            </w:tcMar>
          </w:tcPr>
          <w:p w14:paraId="3D644958" w14:textId="77777777" w:rsidR="00FA6F10" w:rsidRPr="00630129" w:rsidRDefault="00FA6F10">
            <w:pPr>
              <w:rPr>
                <w:sz w:val="22"/>
                <w:szCs w:val="22"/>
              </w:rPr>
            </w:pPr>
            <w:proofErr w:type="spellStart"/>
            <w:r w:rsidRPr="00630129">
              <w:rPr>
                <w:sz w:val="22"/>
                <w:szCs w:val="22"/>
              </w:rPr>
              <w:t>QNDB</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4B5E89DD"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04DBB569" w14:textId="77777777" w:rsidR="00FA6F10" w:rsidRPr="00630129" w:rsidRDefault="00FA6F10">
            <w:pPr>
              <w:rPr>
                <w:sz w:val="22"/>
                <w:szCs w:val="22"/>
              </w:rPr>
            </w:pPr>
            <w:r w:rsidRPr="00630129">
              <w:rPr>
                <w:sz w:val="22"/>
                <w:szCs w:val="22"/>
              </w:rPr>
              <w:t>Bid Non-Delivery Volume</w:t>
            </w:r>
          </w:p>
        </w:tc>
      </w:tr>
      <w:tr w:rsidR="00FA6F10" w:rsidRPr="00630129" w14:paraId="22D5740D" w14:textId="77777777">
        <w:tc>
          <w:tcPr>
            <w:tcW w:w="1566" w:type="pct"/>
            <w:tcMar>
              <w:top w:w="68" w:type="dxa"/>
              <w:left w:w="68" w:type="dxa"/>
              <w:bottom w:w="68" w:type="dxa"/>
              <w:right w:w="68" w:type="dxa"/>
            </w:tcMar>
          </w:tcPr>
          <w:p w14:paraId="3D881043" w14:textId="77777777" w:rsidR="00FA6F10" w:rsidRPr="00630129" w:rsidRDefault="00FA6F10">
            <w:pPr>
              <w:rPr>
                <w:sz w:val="22"/>
                <w:szCs w:val="22"/>
              </w:rPr>
            </w:pPr>
            <w:proofErr w:type="spellStart"/>
            <w:r w:rsidRPr="00630129">
              <w:rPr>
                <w:sz w:val="22"/>
                <w:szCs w:val="22"/>
              </w:rPr>
              <w:t>QNDO</w:t>
            </w:r>
            <w:r w:rsidRPr="00630129">
              <w:rPr>
                <w:sz w:val="22"/>
                <w:szCs w:val="22"/>
                <w:vertAlign w:val="subscript"/>
              </w:rPr>
              <w:t>ij</w:t>
            </w:r>
            <w:proofErr w:type="spellEnd"/>
          </w:p>
        </w:tc>
        <w:tc>
          <w:tcPr>
            <w:tcW w:w="808" w:type="pct"/>
            <w:tcMar>
              <w:top w:w="68" w:type="dxa"/>
              <w:left w:w="68" w:type="dxa"/>
              <w:bottom w:w="68" w:type="dxa"/>
              <w:right w:w="68" w:type="dxa"/>
            </w:tcMar>
          </w:tcPr>
          <w:p w14:paraId="27E4A87E"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0A20AE90" w14:textId="77777777" w:rsidR="00FA6F10" w:rsidRPr="00630129" w:rsidRDefault="00FA6F10">
            <w:pPr>
              <w:rPr>
                <w:sz w:val="22"/>
                <w:szCs w:val="22"/>
              </w:rPr>
            </w:pPr>
            <w:r w:rsidRPr="00630129">
              <w:rPr>
                <w:sz w:val="22"/>
                <w:szCs w:val="22"/>
              </w:rPr>
              <w:t xml:space="preserve">Period BM Unit Non-Delivered Offer Volume </w:t>
            </w:r>
          </w:p>
        </w:tc>
      </w:tr>
      <w:tr w:rsidR="00FA6F10" w:rsidRPr="00630129" w14:paraId="26D1C884" w14:textId="77777777">
        <w:tc>
          <w:tcPr>
            <w:tcW w:w="1566" w:type="pct"/>
            <w:tcMar>
              <w:top w:w="68" w:type="dxa"/>
              <w:left w:w="68" w:type="dxa"/>
              <w:bottom w:w="68" w:type="dxa"/>
              <w:right w:w="68" w:type="dxa"/>
            </w:tcMar>
          </w:tcPr>
          <w:p w14:paraId="71D1D0DD" w14:textId="77777777" w:rsidR="00FA6F10" w:rsidRPr="00630129" w:rsidRDefault="00FA6F10">
            <w:pPr>
              <w:rPr>
                <w:sz w:val="22"/>
                <w:szCs w:val="22"/>
              </w:rPr>
            </w:pPr>
            <w:proofErr w:type="spellStart"/>
            <w:r w:rsidRPr="00630129">
              <w:rPr>
                <w:sz w:val="22"/>
                <w:szCs w:val="22"/>
              </w:rPr>
              <w:t>QNDO</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1946ACB1"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75BC643" w14:textId="77777777" w:rsidR="00FA6F10" w:rsidRPr="00630129" w:rsidRDefault="00FA6F10">
            <w:pPr>
              <w:rPr>
                <w:sz w:val="22"/>
                <w:szCs w:val="22"/>
              </w:rPr>
            </w:pPr>
            <w:r w:rsidRPr="00630129">
              <w:rPr>
                <w:sz w:val="22"/>
                <w:szCs w:val="22"/>
              </w:rPr>
              <w:t>Offer Non-Delivery Volume</w:t>
            </w:r>
          </w:p>
        </w:tc>
      </w:tr>
      <w:tr w:rsidR="00FA6F10" w:rsidRPr="00630129" w14:paraId="12E4E1A8" w14:textId="77777777">
        <w:tc>
          <w:tcPr>
            <w:tcW w:w="1566" w:type="pct"/>
            <w:tcMar>
              <w:top w:w="68" w:type="dxa"/>
              <w:left w:w="68" w:type="dxa"/>
              <w:bottom w:w="68" w:type="dxa"/>
              <w:right w:w="68" w:type="dxa"/>
            </w:tcMar>
          </w:tcPr>
          <w:p w14:paraId="59063111" w14:textId="77777777" w:rsidR="00FA6F10" w:rsidRPr="00630129" w:rsidRDefault="00FA6F10">
            <w:pPr>
              <w:rPr>
                <w:sz w:val="22"/>
                <w:szCs w:val="22"/>
              </w:rPr>
            </w:pPr>
            <w:proofErr w:type="spellStart"/>
            <w:r w:rsidRPr="00630129">
              <w:rPr>
                <w:sz w:val="22"/>
                <w:szCs w:val="22"/>
              </w:rPr>
              <w:t>QSB</w:t>
            </w:r>
            <w:r w:rsidRPr="00630129">
              <w:rPr>
                <w:sz w:val="22"/>
                <w:szCs w:val="22"/>
                <w:vertAlign w:val="superscript"/>
              </w:rPr>
              <w:t>w</w:t>
            </w:r>
            <w:r w:rsidRPr="00630129">
              <w:rPr>
                <w:sz w:val="22"/>
                <w:szCs w:val="22"/>
                <w:vertAlign w:val="subscript"/>
              </w:rPr>
              <w:t>j</w:t>
            </w:r>
            <w:proofErr w:type="spellEnd"/>
          </w:p>
        </w:tc>
        <w:tc>
          <w:tcPr>
            <w:tcW w:w="808" w:type="pct"/>
            <w:tcMar>
              <w:top w:w="68" w:type="dxa"/>
              <w:left w:w="68" w:type="dxa"/>
              <w:bottom w:w="68" w:type="dxa"/>
              <w:right w:w="68" w:type="dxa"/>
            </w:tcMar>
          </w:tcPr>
          <w:p w14:paraId="5D952D18" w14:textId="77777777" w:rsidR="00FA6F10" w:rsidRPr="00630129" w:rsidRDefault="00FA6F10">
            <w:pPr>
              <w:rPr>
                <w:sz w:val="22"/>
                <w:szCs w:val="22"/>
              </w:rPr>
            </w:pPr>
          </w:p>
        </w:tc>
        <w:tc>
          <w:tcPr>
            <w:tcW w:w="2626" w:type="pct"/>
            <w:tcMar>
              <w:top w:w="68" w:type="dxa"/>
              <w:left w:w="68" w:type="dxa"/>
              <w:bottom w:w="68" w:type="dxa"/>
              <w:right w:w="68" w:type="dxa"/>
            </w:tcMar>
          </w:tcPr>
          <w:p w14:paraId="3EEFDC58" w14:textId="77777777" w:rsidR="00FA6F10" w:rsidRPr="00630129" w:rsidRDefault="00FA6F10">
            <w:pPr>
              <w:rPr>
                <w:sz w:val="22"/>
                <w:szCs w:val="22"/>
              </w:rPr>
            </w:pPr>
            <w:r w:rsidRPr="00630129">
              <w:rPr>
                <w:sz w:val="22"/>
                <w:szCs w:val="22"/>
              </w:rPr>
              <w:t>System Buy Action</w:t>
            </w:r>
          </w:p>
        </w:tc>
      </w:tr>
      <w:tr w:rsidR="00FA6F10" w:rsidRPr="00630129" w14:paraId="3E84F76F"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71B19AA8" w14:textId="77777777" w:rsidR="00FA6F10" w:rsidRPr="00630129" w:rsidRDefault="00FA6F10">
            <w:pPr>
              <w:rPr>
                <w:sz w:val="22"/>
                <w:szCs w:val="22"/>
              </w:rPr>
            </w:pPr>
            <w:proofErr w:type="spellStart"/>
            <w:r w:rsidRPr="00630129">
              <w:rPr>
                <w:sz w:val="22"/>
                <w:szCs w:val="22"/>
              </w:rPr>
              <w:t>QSDC</w:t>
            </w:r>
            <w:r w:rsidRPr="00630129">
              <w:rPr>
                <w:sz w:val="22"/>
                <w:szCs w:val="22"/>
                <w:vertAlign w:val="subscript"/>
              </w:rPr>
              <w:t>cj</w:t>
            </w:r>
            <w:proofErr w:type="spellEnd"/>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45871AD0" w14:textId="77777777" w:rsidR="00FA6F10" w:rsidRPr="00630129" w:rsidRDefault="00FA6F10">
            <w:pPr>
              <w:rPr>
                <w:sz w:val="22"/>
                <w:szCs w:val="22"/>
              </w:rPr>
            </w:pPr>
            <w:r w:rsidRPr="00630129">
              <w:rPr>
                <w:sz w:val="22"/>
                <w:szCs w:val="22"/>
              </w:rPr>
              <w:t>MWh</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6B1C7A19" w14:textId="77777777" w:rsidR="00FA6F10" w:rsidRPr="00630129" w:rsidRDefault="00FA6F10">
            <w:pPr>
              <w:rPr>
                <w:sz w:val="22"/>
                <w:szCs w:val="22"/>
              </w:rPr>
            </w:pPr>
            <w:r w:rsidRPr="00630129">
              <w:rPr>
                <w:sz w:val="22"/>
                <w:szCs w:val="22"/>
              </w:rPr>
              <w:t>System Demand Control Volume</w:t>
            </w:r>
          </w:p>
        </w:tc>
      </w:tr>
      <w:tr w:rsidR="00FA6F10" w:rsidRPr="00630129" w14:paraId="72622C65" w14:textId="77777777">
        <w:tc>
          <w:tcPr>
            <w:tcW w:w="1566" w:type="pct"/>
            <w:tcMar>
              <w:top w:w="68" w:type="dxa"/>
              <w:left w:w="68" w:type="dxa"/>
              <w:bottom w:w="68" w:type="dxa"/>
              <w:right w:w="68" w:type="dxa"/>
            </w:tcMar>
          </w:tcPr>
          <w:p w14:paraId="0E153BF6" w14:textId="77777777" w:rsidR="00FA6F10" w:rsidRPr="00630129" w:rsidRDefault="00FA6F10">
            <w:pPr>
              <w:rPr>
                <w:sz w:val="22"/>
                <w:szCs w:val="22"/>
              </w:rPr>
            </w:pPr>
            <w:proofErr w:type="spellStart"/>
            <w:r w:rsidRPr="00630129">
              <w:rPr>
                <w:sz w:val="22"/>
                <w:szCs w:val="22"/>
              </w:rPr>
              <w:t>QSD</w:t>
            </w:r>
            <w:r w:rsidRPr="00630129">
              <w:rPr>
                <w:sz w:val="22"/>
                <w:szCs w:val="22"/>
                <w:vertAlign w:val="subscript"/>
              </w:rPr>
              <w:t>ij</w:t>
            </w:r>
            <w:proofErr w:type="spellEnd"/>
            <w:r w:rsidRPr="00630129">
              <w:rPr>
                <w:sz w:val="22"/>
                <w:szCs w:val="22"/>
                <w:vertAlign w:val="subscript"/>
              </w:rPr>
              <w:t xml:space="preserve"> or </w:t>
            </w:r>
            <w:r w:rsidRPr="00630129">
              <w:rPr>
                <w:sz w:val="22"/>
                <w:szCs w:val="22"/>
              </w:rPr>
              <w:t>QSD</w:t>
            </w:r>
            <w:r w:rsidRPr="00630129">
              <w:rPr>
                <w:sz w:val="22"/>
                <w:szCs w:val="22"/>
                <w:vertAlign w:val="subscript"/>
              </w:rPr>
              <w:t>i2j</w:t>
            </w:r>
          </w:p>
        </w:tc>
        <w:tc>
          <w:tcPr>
            <w:tcW w:w="808" w:type="pct"/>
            <w:tcMar>
              <w:top w:w="68" w:type="dxa"/>
              <w:left w:w="68" w:type="dxa"/>
              <w:bottom w:w="68" w:type="dxa"/>
              <w:right w:w="68" w:type="dxa"/>
            </w:tcMar>
          </w:tcPr>
          <w:p w14:paraId="5FAA0FA7"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1A2757DB" w14:textId="77777777" w:rsidR="00FA6F10" w:rsidRPr="00630129" w:rsidRDefault="00FA6F10">
            <w:pPr>
              <w:rPr>
                <w:sz w:val="22"/>
                <w:szCs w:val="22"/>
              </w:rPr>
            </w:pPr>
            <w:r w:rsidRPr="00630129">
              <w:rPr>
                <w:sz w:val="22"/>
                <w:szCs w:val="22"/>
              </w:rPr>
              <w:t>Period Secondary BM Unit Delivered Volume</w:t>
            </w:r>
          </w:p>
        </w:tc>
      </w:tr>
      <w:tr w:rsidR="00FA6F10" w:rsidRPr="00630129" w14:paraId="0EE54ED3" w14:textId="77777777">
        <w:tc>
          <w:tcPr>
            <w:tcW w:w="1566" w:type="pct"/>
            <w:tcMar>
              <w:top w:w="68" w:type="dxa"/>
              <w:left w:w="68" w:type="dxa"/>
              <w:bottom w:w="68" w:type="dxa"/>
              <w:right w:w="68" w:type="dxa"/>
            </w:tcMar>
          </w:tcPr>
          <w:p w14:paraId="3B4E159A" w14:textId="77777777" w:rsidR="00FA6F10" w:rsidRPr="00630129" w:rsidRDefault="00FA6F10">
            <w:pPr>
              <w:rPr>
                <w:sz w:val="22"/>
                <w:szCs w:val="22"/>
              </w:rPr>
            </w:pPr>
            <w:r w:rsidRPr="00630129">
              <w:rPr>
                <w:sz w:val="22"/>
                <w:szCs w:val="22"/>
              </w:rPr>
              <w:t>QSD</w:t>
            </w:r>
            <w:r w:rsidRPr="00630129">
              <w:rPr>
                <w:sz w:val="22"/>
                <w:szCs w:val="22"/>
                <w:vertAlign w:val="subscript"/>
              </w:rPr>
              <w:t>iji2</w:t>
            </w:r>
          </w:p>
        </w:tc>
        <w:tc>
          <w:tcPr>
            <w:tcW w:w="808" w:type="pct"/>
            <w:tcMar>
              <w:top w:w="68" w:type="dxa"/>
              <w:left w:w="68" w:type="dxa"/>
              <w:bottom w:w="68" w:type="dxa"/>
              <w:right w:w="68" w:type="dxa"/>
            </w:tcMar>
          </w:tcPr>
          <w:p w14:paraId="3D9F98FA"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2EBC751B" w14:textId="77777777" w:rsidR="00FA6F10" w:rsidRPr="00630129" w:rsidRDefault="00FA6F10">
            <w:pPr>
              <w:rPr>
                <w:sz w:val="22"/>
                <w:szCs w:val="22"/>
              </w:rPr>
            </w:pPr>
            <w:r w:rsidRPr="00630129">
              <w:rPr>
                <w:sz w:val="22"/>
                <w:szCs w:val="22"/>
              </w:rPr>
              <w:t>Period Secondary BM Unit Supplier Delivered Volume</w:t>
            </w:r>
          </w:p>
        </w:tc>
      </w:tr>
      <w:tr w:rsidR="00FA6F10" w:rsidRPr="00630129" w14:paraId="11DE5EE2"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0E0DA91B" w14:textId="77777777" w:rsidR="00FA6F10" w:rsidRPr="00630129" w:rsidRDefault="00FA6F10">
            <w:pPr>
              <w:rPr>
                <w:sz w:val="22"/>
                <w:szCs w:val="22"/>
              </w:rPr>
            </w:pPr>
            <w:proofErr w:type="spellStart"/>
            <w:r w:rsidRPr="00630129">
              <w:rPr>
                <w:sz w:val="22"/>
                <w:szCs w:val="22"/>
              </w:rPr>
              <w:t>QSIV</w:t>
            </w:r>
            <w:r w:rsidRPr="00630129">
              <w:rPr>
                <w:sz w:val="22"/>
                <w:szCs w:val="22"/>
                <w:vertAlign w:val="superscript"/>
              </w:rPr>
              <w:t>t</w:t>
            </w:r>
            <w:r w:rsidRPr="00630129">
              <w:rPr>
                <w:sz w:val="22"/>
                <w:szCs w:val="22"/>
                <w:vertAlign w:val="subscript"/>
              </w:rPr>
              <w:t>j</w:t>
            </w:r>
            <w:proofErr w:type="spellEnd"/>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3D1D29FB" w14:textId="77777777" w:rsidR="00FA6F10" w:rsidRPr="00630129" w:rsidRDefault="00FA6F10">
            <w:pPr>
              <w:rPr>
                <w:sz w:val="22"/>
                <w:szCs w:val="22"/>
              </w:rPr>
            </w:pPr>
            <w:r w:rsidRPr="00630129">
              <w:rPr>
                <w:sz w:val="22"/>
                <w:szCs w:val="22"/>
              </w:rPr>
              <w:t>MWh</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22E04C5D" w14:textId="77777777" w:rsidR="00FA6F10" w:rsidRPr="00630129" w:rsidRDefault="00FA6F10">
            <w:pPr>
              <w:rPr>
                <w:sz w:val="22"/>
                <w:szCs w:val="22"/>
              </w:rPr>
            </w:pPr>
            <w:r w:rsidRPr="00630129">
              <w:rPr>
                <w:sz w:val="22"/>
                <w:szCs w:val="22"/>
              </w:rPr>
              <w:t>STOR Instructed Volume</w:t>
            </w:r>
          </w:p>
        </w:tc>
      </w:tr>
      <w:tr w:rsidR="00FA6F10" w:rsidRPr="00630129" w14:paraId="613CEF1D"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1AEAC870" w14:textId="77777777" w:rsidR="00FA6F10" w:rsidRPr="00630129" w:rsidRDefault="00FA6F10">
            <w:pPr>
              <w:rPr>
                <w:sz w:val="22"/>
                <w:szCs w:val="22"/>
              </w:rPr>
            </w:pPr>
            <w:proofErr w:type="spellStart"/>
            <w:r w:rsidRPr="00630129">
              <w:rPr>
                <w:sz w:val="22"/>
                <w:szCs w:val="22"/>
              </w:rPr>
              <w:t>QSND</w:t>
            </w:r>
            <w:r w:rsidRPr="00630129">
              <w:rPr>
                <w:sz w:val="22"/>
                <w:szCs w:val="22"/>
                <w:vertAlign w:val="subscript"/>
              </w:rPr>
              <w:t>ij</w:t>
            </w:r>
            <w:proofErr w:type="spellEnd"/>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3C183D57" w14:textId="77777777" w:rsidR="00FA6F10" w:rsidRPr="00630129" w:rsidRDefault="00FA6F10">
            <w:pPr>
              <w:rPr>
                <w:sz w:val="22"/>
                <w:szCs w:val="22"/>
              </w:rPr>
            </w:pPr>
            <w:r w:rsidRPr="00630129">
              <w:rPr>
                <w:sz w:val="22"/>
                <w:szCs w:val="22"/>
              </w:rPr>
              <w:t>MWh</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08F6057B" w14:textId="77777777" w:rsidR="00FA6F10" w:rsidRPr="00630129" w:rsidRDefault="00FA6F10">
            <w:pPr>
              <w:rPr>
                <w:sz w:val="22"/>
                <w:szCs w:val="22"/>
              </w:rPr>
            </w:pPr>
            <w:r w:rsidRPr="00630129">
              <w:rPr>
                <w:sz w:val="22"/>
                <w:szCs w:val="22"/>
              </w:rPr>
              <w:t>Period Secondary BM Unit Non-Delivered Volume</w:t>
            </w:r>
          </w:p>
        </w:tc>
      </w:tr>
      <w:tr w:rsidR="00FA6F10" w:rsidRPr="00630129" w14:paraId="74A1C41D" w14:textId="77777777">
        <w:tc>
          <w:tcPr>
            <w:tcW w:w="1566" w:type="pct"/>
            <w:tcMar>
              <w:top w:w="68" w:type="dxa"/>
              <w:left w:w="68" w:type="dxa"/>
              <w:bottom w:w="68" w:type="dxa"/>
              <w:right w:w="68" w:type="dxa"/>
            </w:tcMar>
          </w:tcPr>
          <w:p w14:paraId="79AE048C" w14:textId="77777777" w:rsidR="00FA6F10" w:rsidRPr="00630129" w:rsidRDefault="00FA6F10">
            <w:pPr>
              <w:rPr>
                <w:sz w:val="22"/>
                <w:szCs w:val="22"/>
              </w:rPr>
            </w:pPr>
            <w:proofErr w:type="spellStart"/>
            <w:r w:rsidRPr="00630129">
              <w:rPr>
                <w:sz w:val="22"/>
                <w:szCs w:val="22"/>
              </w:rPr>
              <w:lastRenderedPageBreak/>
              <w:t>QSS</w:t>
            </w:r>
            <w:r w:rsidRPr="00630129">
              <w:rPr>
                <w:sz w:val="22"/>
                <w:szCs w:val="22"/>
                <w:vertAlign w:val="superscript"/>
              </w:rPr>
              <w:t>w</w:t>
            </w:r>
            <w:r w:rsidRPr="00630129">
              <w:rPr>
                <w:sz w:val="22"/>
                <w:szCs w:val="22"/>
                <w:vertAlign w:val="subscript"/>
              </w:rPr>
              <w:t>j</w:t>
            </w:r>
            <w:proofErr w:type="spellEnd"/>
          </w:p>
        </w:tc>
        <w:tc>
          <w:tcPr>
            <w:tcW w:w="808" w:type="pct"/>
            <w:tcMar>
              <w:top w:w="68" w:type="dxa"/>
              <w:left w:w="68" w:type="dxa"/>
              <w:bottom w:w="68" w:type="dxa"/>
              <w:right w:w="68" w:type="dxa"/>
            </w:tcMar>
          </w:tcPr>
          <w:p w14:paraId="23F166F9" w14:textId="77777777" w:rsidR="00FA6F10" w:rsidRPr="00630129" w:rsidRDefault="00FA6F10">
            <w:pPr>
              <w:rPr>
                <w:sz w:val="22"/>
                <w:szCs w:val="22"/>
              </w:rPr>
            </w:pPr>
          </w:p>
        </w:tc>
        <w:tc>
          <w:tcPr>
            <w:tcW w:w="2626" w:type="pct"/>
            <w:tcMar>
              <w:top w:w="68" w:type="dxa"/>
              <w:left w:w="68" w:type="dxa"/>
              <w:bottom w:w="68" w:type="dxa"/>
              <w:right w:w="68" w:type="dxa"/>
            </w:tcMar>
          </w:tcPr>
          <w:p w14:paraId="7F081886" w14:textId="77777777" w:rsidR="00FA6F10" w:rsidRPr="00630129" w:rsidRDefault="00FA6F10">
            <w:pPr>
              <w:rPr>
                <w:sz w:val="22"/>
                <w:szCs w:val="22"/>
              </w:rPr>
            </w:pPr>
            <w:r w:rsidRPr="00630129">
              <w:rPr>
                <w:sz w:val="22"/>
                <w:szCs w:val="22"/>
              </w:rPr>
              <w:t>System Sell Action</w:t>
            </w:r>
          </w:p>
        </w:tc>
      </w:tr>
      <w:tr w:rsidR="00FA6F10" w:rsidRPr="00630129" w14:paraId="1C7AFD34" w14:textId="77777777">
        <w:tc>
          <w:tcPr>
            <w:tcW w:w="1566" w:type="pct"/>
            <w:tcMar>
              <w:top w:w="68" w:type="dxa"/>
              <w:left w:w="68" w:type="dxa"/>
              <w:bottom w:w="68" w:type="dxa"/>
              <w:right w:w="68" w:type="dxa"/>
            </w:tcMar>
          </w:tcPr>
          <w:p w14:paraId="7CED7B0D" w14:textId="77777777" w:rsidR="00FA6F10" w:rsidRPr="00630129" w:rsidRDefault="00FA6F10">
            <w:pPr>
              <w:rPr>
                <w:sz w:val="22"/>
                <w:szCs w:val="22"/>
              </w:rPr>
            </w:pPr>
            <w:proofErr w:type="spellStart"/>
            <w:r w:rsidRPr="00630129">
              <w:rPr>
                <w:sz w:val="22"/>
                <w:szCs w:val="22"/>
              </w:rPr>
              <w:t>QTUE</w:t>
            </w:r>
            <w:r w:rsidRPr="00630129">
              <w:rPr>
                <w:sz w:val="22"/>
                <w:szCs w:val="22"/>
                <w:vertAlign w:val="subscript"/>
              </w:rPr>
              <w:t>rj</w:t>
            </w:r>
            <w:proofErr w:type="spellEnd"/>
          </w:p>
        </w:tc>
        <w:tc>
          <w:tcPr>
            <w:tcW w:w="808" w:type="pct"/>
            <w:tcMar>
              <w:top w:w="68" w:type="dxa"/>
              <w:left w:w="68" w:type="dxa"/>
              <w:bottom w:w="68" w:type="dxa"/>
              <w:right w:w="68" w:type="dxa"/>
            </w:tcMar>
          </w:tcPr>
          <w:p w14:paraId="3D969EEE"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565BD804" w14:textId="77777777" w:rsidR="00FA6F10" w:rsidRPr="00630129" w:rsidRDefault="00FA6F10">
            <w:pPr>
              <w:rPr>
                <w:sz w:val="22"/>
                <w:szCs w:val="22"/>
              </w:rPr>
            </w:pPr>
            <w:r w:rsidRPr="00630129">
              <w:rPr>
                <w:sz w:val="22"/>
                <w:szCs w:val="22"/>
              </w:rPr>
              <w:t>Trading Unit Export Volume</w:t>
            </w:r>
          </w:p>
        </w:tc>
      </w:tr>
      <w:tr w:rsidR="00FA6F10" w:rsidRPr="00630129" w14:paraId="1C62A51F" w14:textId="77777777">
        <w:tc>
          <w:tcPr>
            <w:tcW w:w="1566" w:type="pct"/>
            <w:tcMar>
              <w:top w:w="68" w:type="dxa"/>
              <w:left w:w="68" w:type="dxa"/>
              <w:bottom w:w="68" w:type="dxa"/>
              <w:right w:w="68" w:type="dxa"/>
            </w:tcMar>
          </w:tcPr>
          <w:p w14:paraId="35506F03" w14:textId="77777777" w:rsidR="00FA6F10" w:rsidRPr="00630129" w:rsidRDefault="00FA6F10">
            <w:pPr>
              <w:rPr>
                <w:sz w:val="22"/>
                <w:szCs w:val="22"/>
              </w:rPr>
            </w:pPr>
            <w:proofErr w:type="spellStart"/>
            <w:r w:rsidRPr="00630129">
              <w:rPr>
                <w:sz w:val="22"/>
                <w:szCs w:val="22"/>
              </w:rPr>
              <w:t>QTUI</w:t>
            </w:r>
            <w:r w:rsidRPr="00630129">
              <w:rPr>
                <w:sz w:val="22"/>
                <w:szCs w:val="22"/>
                <w:vertAlign w:val="subscript"/>
              </w:rPr>
              <w:t>rj</w:t>
            </w:r>
            <w:proofErr w:type="spellEnd"/>
          </w:p>
        </w:tc>
        <w:tc>
          <w:tcPr>
            <w:tcW w:w="808" w:type="pct"/>
            <w:tcMar>
              <w:top w:w="68" w:type="dxa"/>
              <w:left w:w="68" w:type="dxa"/>
              <w:bottom w:w="68" w:type="dxa"/>
              <w:right w:w="68" w:type="dxa"/>
            </w:tcMar>
          </w:tcPr>
          <w:p w14:paraId="69BF85A0"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73764C86" w14:textId="77777777" w:rsidR="00FA6F10" w:rsidRPr="00630129" w:rsidRDefault="00FA6F10">
            <w:pPr>
              <w:rPr>
                <w:sz w:val="22"/>
                <w:szCs w:val="22"/>
              </w:rPr>
            </w:pPr>
            <w:r w:rsidRPr="00630129">
              <w:rPr>
                <w:sz w:val="22"/>
                <w:szCs w:val="22"/>
              </w:rPr>
              <w:t>Trading Unit Import Volume</w:t>
            </w:r>
          </w:p>
        </w:tc>
      </w:tr>
      <w:tr w:rsidR="00FA6F10" w:rsidRPr="00630129" w14:paraId="354630AE" w14:textId="77777777">
        <w:tc>
          <w:tcPr>
            <w:tcW w:w="1566" w:type="pct"/>
            <w:tcMar>
              <w:top w:w="68" w:type="dxa"/>
              <w:left w:w="68" w:type="dxa"/>
              <w:bottom w:w="68" w:type="dxa"/>
              <w:right w:w="68" w:type="dxa"/>
            </w:tcMar>
          </w:tcPr>
          <w:p w14:paraId="0F65543B" w14:textId="77777777" w:rsidR="00FA6F10" w:rsidRPr="00630129" w:rsidRDefault="00FA6F10">
            <w:pPr>
              <w:rPr>
                <w:sz w:val="22"/>
                <w:szCs w:val="22"/>
              </w:rPr>
            </w:pPr>
            <w:r w:rsidRPr="00630129">
              <w:rPr>
                <w:sz w:val="22"/>
                <w:szCs w:val="22"/>
              </w:rPr>
              <w:t>QVBMD</w:t>
            </w:r>
            <w:r w:rsidRPr="00630129">
              <w:rPr>
                <w:sz w:val="22"/>
                <w:szCs w:val="22"/>
                <w:vertAlign w:val="subscript"/>
              </w:rPr>
              <w:t>i2NKij</w:t>
            </w:r>
          </w:p>
        </w:tc>
        <w:tc>
          <w:tcPr>
            <w:tcW w:w="808" w:type="pct"/>
            <w:tcMar>
              <w:top w:w="68" w:type="dxa"/>
              <w:left w:w="68" w:type="dxa"/>
              <w:bottom w:w="68" w:type="dxa"/>
              <w:right w:w="68" w:type="dxa"/>
            </w:tcMar>
          </w:tcPr>
          <w:p w14:paraId="3D5D173A"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3750E3F6" w14:textId="77777777" w:rsidR="00FA6F10" w:rsidRPr="00630129" w:rsidRDefault="00FA6F10">
            <w:pPr>
              <w:rPr>
                <w:sz w:val="22"/>
                <w:szCs w:val="22"/>
              </w:rPr>
            </w:pPr>
            <w:r w:rsidRPr="00630129">
              <w:rPr>
                <w:sz w:val="22"/>
                <w:szCs w:val="22"/>
              </w:rPr>
              <w:t>Secondary BM Unit Delivered Volume</w:t>
            </w:r>
          </w:p>
        </w:tc>
      </w:tr>
      <w:tr w:rsidR="00FA6F10" w:rsidRPr="00630129" w14:paraId="0F131E26" w14:textId="77777777">
        <w:tc>
          <w:tcPr>
            <w:tcW w:w="1566" w:type="pct"/>
            <w:tcMar>
              <w:top w:w="68" w:type="dxa"/>
              <w:left w:w="68" w:type="dxa"/>
              <w:bottom w:w="68" w:type="dxa"/>
              <w:right w:w="68" w:type="dxa"/>
            </w:tcMar>
          </w:tcPr>
          <w:p w14:paraId="60C654A8" w14:textId="77777777" w:rsidR="00FA6F10" w:rsidRPr="00630129" w:rsidRDefault="00FA6F10">
            <w:pPr>
              <w:rPr>
                <w:sz w:val="22"/>
                <w:szCs w:val="22"/>
              </w:rPr>
            </w:pPr>
            <w:proofErr w:type="spellStart"/>
            <w:r w:rsidRPr="00630129">
              <w:rPr>
                <w:sz w:val="22"/>
                <w:szCs w:val="22"/>
              </w:rPr>
              <w:t>QXP</w:t>
            </w:r>
            <w:r w:rsidRPr="00630129">
              <w:rPr>
                <w:sz w:val="22"/>
                <w:szCs w:val="22"/>
                <w:vertAlign w:val="subscript"/>
              </w:rPr>
              <w:t>sj</w:t>
            </w:r>
            <w:proofErr w:type="spellEnd"/>
          </w:p>
        </w:tc>
        <w:tc>
          <w:tcPr>
            <w:tcW w:w="808" w:type="pct"/>
            <w:tcMar>
              <w:top w:w="68" w:type="dxa"/>
              <w:left w:w="68" w:type="dxa"/>
              <w:bottom w:w="68" w:type="dxa"/>
              <w:right w:w="68" w:type="dxa"/>
            </w:tcMar>
          </w:tcPr>
          <w:p w14:paraId="33AA9BE1"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332AE154" w14:textId="77777777" w:rsidR="00FA6F10" w:rsidRPr="00630129" w:rsidRDefault="00FA6F10">
            <w:pPr>
              <w:rPr>
                <w:sz w:val="22"/>
                <w:szCs w:val="22"/>
              </w:rPr>
            </w:pPr>
            <w:r w:rsidRPr="00630129">
              <w:rPr>
                <w:sz w:val="22"/>
                <w:szCs w:val="22"/>
              </w:rPr>
              <w:t>Market Index Volume</w:t>
            </w:r>
          </w:p>
        </w:tc>
      </w:tr>
      <w:tr w:rsidR="00FA6F10" w:rsidRPr="00630129" w14:paraId="4596EAD4" w14:textId="77777777">
        <w:tc>
          <w:tcPr>
            <w:tcW w:w="1566" w:type="pct"/>
            <w:tcMar>
              <w:top w:w="68" w:type="dxa"/>
              <w:left w:w="68" w:type="dxa"/>
              <w:bottom w:w="68" w:type="dxa"/>
              <w:right w:w="68" w:type="dxa"/>
            </w:tcMar>
          </w:tcPr>
          <w:p w14:paraId="6B7847FB" w14:textId="77777777" w:rsidR="00FA6F10" w:rsidRPr="00630129" w:rsidRDefault="00FA6F10">
            <w:pPr>
              <w:rPr>
                <w:sz w:val="22"/>
                <w:szCs w:val="22"/>
              </w:rPr>
            </w:pPr>
            <w:proofErr w:type="spellStart"/>
            <w:r w:rsidRPr="00630129">
              <w:rPr>
                <w:sz w:val="22"/>
                <w:szCs w:val="22"/>
              </w:rPr>
              <w:t>RBP</w:t>
            </w:r>
            <w:r w:rsidRPr="00630129">
              <w:rPr>
                <w:sz w:val="22"/>
                <w:szCs w:val="22"/>
                <w:vertAlign w:val="subscript"/>
              </w:rPr>
              <w:t>j</w:t>
            </w:r>
            <w:proofErr w:type="spellEnd"/>
          </w:p>
        </w:tc>
        <w:tc>
          <w:tcPr>
            <w:tcW w:w="808" w:type="pct"/>
            <w:tcMar>
              <w:top w:w="68" w:type="dxa"/>
              <w:left w:w="68" w:type="dxa"/>
              <w:bottom w:w="68" w:type="dxa"/>
              <w:right w:w="68" w:type="dxa"/>
            </w:tcMar>
          </w:tcPr>
          <w:p w14:paraId="006E6086"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25799D5E" w14:textId="77777777" w:rsidR="00FA6F10" w:rsidRPr="00630129" w:rsidRDefault="00FA6F10">
            <w:pPr>
              <w:rPr>
                <w:sz w:val="22"/>
                <w:szCs w:val="22"/>
              </w:rPr>
            </w:pPr>
            <w:r w:rsidRPr="00630129">
              <w:rPr>
                <w:sz w:val="22"/>
                <w:szCs w:val="22"/>
              </w:rPr>
              <w:t>Replacement Buy Price</w:t>
            </w:r>
          </w:p>
        </w:tc>
      </w:tr>
      <w:tr w:rsidR="00FA6F10" w:rsidRPr="00630129" w14:paraId="1189AB95" w14:textId="77777777">
        <w:tc>
          <w:tcPr>
            <w:tcW w:w="1566" w:type="pct"/>
            <w:tcMar>
              <w:top w:w="68" w:type="dxa"/>
              <w:left w:w="68" w:type="dxa"/>
              <w:bottom w:w="68" w:type="dxa"/>
              <w:right w:w="68" w:type="dxa"/>
            </w:tcMar>
          </w:tcPr>
          <w:p w14:paraId="49BB9787" w14:textId="77777777" w:rsidR="00FA6F10" w:rsidRPr="00630129" w:rsidRDefault="00FA6F10">
            <w:pPr>
              <w:rPr>
                <w:sz w:val="22"/>
                <w:szCs w:val="22"/>
              </w:rPr>
            </w:pPr>
            <w:proofErr w:type="spellStart"/>
            <w:r w:rsidRPr="00630129">
              <w:rPr>
                <w:sz w:val="22"/>
                <w:szCs w:val="22"/>
              </w:rPr>
              <w:t>RCRC</w:t>
            </w:r>
            <w:r w:rsidRPr="00630129">
              <w:rPr>
                <w:sz w:val="22"/>
                <w:szCs w:val="22"/>
                <w:vertAlign w:val="subscript"/>
              </w:rPr>
              <w:t>aj</w:t>
            </w:r>
            <w:proofErr w:type="spellEnd"/>
          </w:p>
        </w:tc>
        <w:tc>
          <w:tcPr>
            <w:tcW w:w="808" w:type="pct"/>
            <w:tcMar>
              <w:top w:w="68" w:type="dxa"/>
              <w:left w:w="68" w:type="dxa"/>
              <w:bottom w:w="68" w:type="dxa"/>
              <w:right w:w="68" w:type="dxa"/>
            </w:tcMar>
          </w:tcPr>
          <w:p w14:paraId="3CB0E35F"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690F785E" w14:textId="77777777" w:rsidR="00FA6F10" w:rsidRPr="00630129" w:rsidRDefault="00FA6F10">
            <w:pPr>
              <w:rPr>
                <w:sz w:val="22"/>
                <w:szCs w:val="22"/>
              </w:rPr>
            </w:pPr>
            <w:r w:rsidRPr="00630129">
              <w:rPr>
                <w:sz w:val="22"/>
                <w:szCs w:val="22"/>
              </w:rPr>
              <w:t xml:space="preserve">Residual </w:t>
            </w:r>
            <w:proofErr w:type="spellStart"/>
            <w:r w:rsidRPr="00630129">
              <w:rPr>
                <w:sz w:val="22"/>
                <w:szCs w:val="22"/>
              </w:rPr>
              <w:t>Cashflow</w:t>
            </w:r>
            <w:proofErr w:type="spellEnd"/>
            <w:r w:rsidRPr="00630129">
              <w:rPr>
                <w:sz w:val="22"/>
                <w:szCs w:val="22"/>
              </w:rPr>
              <w:t xml:space="preserve"> Reallocation </w:t>
            </w:r>
            <w:proofErr w:type="spellStart"/>
            <w:r w:rsidRPr="00630129">
              <w:rPr>
                <w:sz w:val="22"/>
                <w:szCs w:val="22"/>
              </w:rPr>
              <w:t>Cashflow</w:t>
            </w:r>
            <w:proofErr w:type="spellEnd"/>
          </w:p>
        </w:tc>
      </w:tr>
      <w:tr w:rsidR="00FA6F10" w:rsidRPr="00630129" w14:paraId="49E2BB85" w14:textId="77777777">
        <w:tc>
          <w:tcPr>
            <w:tcW w:w="1566" w:type="pct"/>
            <w:tcMar>
              <w:top w:w="68" w:type="dxa"/>
              <w:left w:w="68" w:type="dxa"/>
              <w:bottom w:w="68" w:type="dxa"/>
              <w:right w:w="68" w:type="dxa"/>
            </w:tcMar>
          </w:tcPr>
          <w:p w14:paraId="69882926" w14:textId="77777777" w:rsidR="00FA6F10" w:rsidRPr="00630129" w:rsidRDefault="00FA6F10">
            <w:pPr>
              <w:rPr>
                <w:sz w:val="22"/>
                <w:szCs w:val="22"/>
              </w:rPr>
            </w:pPr>
            <w:proofErr w:type="spellStart"/>
            <w:r w:rsidRPr="00630129">
              <w:rPr>
                <w:sz w:val="22"/>
                <w:szCs w:val="22"/>
              </w:rPr>
              <w:t>RCRC</w:t>
            </w:r>
            <w:r w:rsidRPr="00630129">
              <w:rPr>
                <w:sz w:val="22"/>
                <w:szCs w:val="22"/>
                <w:vertAlign w:val="subscript"/>
              </w:rPr>
              <w:t>p</w:t>
            </w:r>
            <w:proofErr w:type="spellEnd"/>
          </w:p>
        </w:tc>
        <w:tc>
          <w:tcPr>
            <w:tcW w:w="808" w:type="pct"/>
            <w:tcMar>
              <w:top w:w="68" w:type="dxa"/>
              <w:left w:w="68" w:type="dxa"/>
              <w:bottom w:w="68" w:type="dxa"/>
              <w:right w:w="68" w:type="dxa"/>
            </w:tcMar>
          </w:tcPr>
          <w:p w14:paraId="279F9596" w14:textId="77777777" w:rsidR="00FA6F10" w:rsidRPr="00630129" w:rsidRDefault="00FA6F10">
            <w:pPr>
              <w:rPr>
                <w:sz w:val="22"/>
                <w:szCs w:val="22"/>
              </w:rPr>
            </w:pPr>
            <w:r w:rsidRPr="00630129">
              <w:rPr>
                <w:sz w:val="22"/>
                <w:szCs w:val="22"/>
              </w:rPr>
              <w:t>£</w:t>
            </w:r>
          </w:p>
        </w:tc>
        <w:tc>
          <w:tcPr>
            <w:tcW w:w="2626" w:type="pct"/>
            <w:tcMar>
              <w:top w:w="68" w:type="dxa"/>
              <w:left w:w="68" w:type="dxa"/>
              <w:bottom w:w="68" w:type="dxa"/>
              <w:right w:w="68" w:type="dxa"/>
            </w:tcMar>
          </w:tcPr>
          <w:p w14:paraId="303A5BDB" w14:textId="77777777" w:rsidR="00FA6F10" w:rsidRPr="00630129" w:rsidRDefault="00FA6F10">
            <w:pPr>
              <w:rPr>
                <w:sz w:val="22"/>
                <w:szCs w:val="22"/>
              </w:rPr>
            </w:pPr>
            <w:r w:rsidRPr="00630129">
              <w:rPr>
                <w:sz w:val="22"/>
                <w:szCs w:val="22"/>
              </w:rPr>
              <w:t xml:space="preserve">Daily Party Residual Settlement </w:t>
            </w:r>
            <w:proofErr w:type="spellStart"/>
            <w:r w:rsidRPr="00630129">
              <w:rPr>
                <w:sz w:val="22"/>
                <w:szCs w:val="22"/>
              </w:rPr>
              <w:t>Cashflow</w:t>
            </w:r>
            <w:proofErr w:type="spellEnd"/>
          </w:p>
        </w:tc>
      </w:tr>
      <w:tr w:rsidR="00FA6F10" w:rsidRPr="00630129" w14:paraId="1E9A2482" w14:textId="77777777">
        <w:tc>
          <w:tcPr>
            <w:tcW w:w="1566" w:type="pct"/>
            <w:tcMar>
              <w:top w:w="68" w:type="dxa"/>
              <w:left w:w="68" w:type="dxa"/>
              <w:bottom w:w="68" w:type="dxa"/>
              <w:right w:w="68" w:type="dxa"/>
            </w:tcMar>
          </w:tcPr>
          <w:p w14:paraId="1A40CACA" w14:textId="77777777" w:rsidR="00FA6F10" w:rsidRPr="00630129" w:rsidRDefault="00FA6F10">
            <w:pPr>
              <w:rPr>
                <w:sz w:val="22"/>
                <w:szCs w:val="22"/>
              </w:rPr>
            </w:pPr>
            <w:proofErr w:type="spellStart"/>
            <w:r w:rsidRPr="00630129">
              <w:rPr>
                <w:sz w:val="22"/>
                <w:szCs w:val="22"/>
              </w:rPr>
              <w:t>RCRP</w:t>
            </w:r>
            <w:r w:rsidRPr="00630129">
              <w:rPr>
                <w:sz w:val="22"/>
                <w:szCs w:val="22"/>
                <w:vertAlign w:val="subscript"/>
              </w:rPr>
              <w:t>aj</w:t>
            </w:r>
            <w:proofErr w:type="spellEnd"/>
          </w:p>
        </w:tc>
        <w:tc>
          <w:tcPr>
            <w:tcW w:w="808" w:type="pct"/>
            <w:tcMar>
              <w:top w:w="68" w:type="dxa"/>
              <w:left w:w="68" w:type="dxa"/>
              <w:bottom w:w="68" w:type="dxa"/>
              <w:right w:w="68" w:type="dxa"/>
            </w:tcMar>
          </w:tcPr>
          <w:p w14:paraId="42B06952" w14:textId="77777777" w:rsidR="00FA6F10" w:rsidRPr="00630129" w:rsidRDefault="00FA6F10">
            <w:pPr>
              <w:rPr>
                <w:sz w:val="22"/>
                <w:szCs w:val="22"/>
              </w:rPr>
            </w:pPr>
            <w:r w:rsidRPr="00630129">
              <w:rPr>
                <w:sz w:val="22"/>
                <w:szCs w:val="22"/>
              </w:rPr>
              <w:t>No Units</w:t>
            </w:r>
          </w:p>
        </w:tc>
        <w:tc>
          <w:tcPr>
            <w:tcW w:w="2626" w:type="pct"/>
            <w:tcMar>
              <w:top w:w="68" w:type="dxa"/>
              <w:left w:w="68" w:type="dxa"/>
              <w:bottom w:w="68" w:type="dxa"/>
              <w:right w:w="68" w:type="dxa"/>
            </w:tcMar>
          </w:tcPr>
          <w:p w14:paraId="04C542A3" w14:textId="77777777" w:rsidR="00FA6F10" w:rsidRPr="00630129" w:rsidRDefault="00FA6F10">
            <w:pPr>
              <w:rPr>
                <w:sz w:val="22"/>
                <w:szCs w:val="22"/>
              </w:rPr>
            </w:pPr>
            <w:r w:rsidRPr="00630129">
              <w:rPr>
                <w:sz w:val="22"/>
                <w:szCs w:val="22"/>
              </w:rPr>
              <w:t xml:space="preserve">Residual </w:t>
            </w:r>
            <w:proofErr w:type="spellStart"/>
            <w:r w:rsidRPr="00630129">
              <w:rPr>
                <w:sz w:val="22"/>
                <w:szCs w:val="22"/>
              </w:rPr>
              <w:t>Cashflow</w:t>
            </w:r>
            <w:proofErr w:type="spellEnd"/>
            <w:r w:rsidRPr="00630129">
              <w:rPr>
                <w:sz w:val="22"/>
                <w:szCs w:val="22"/>
              </w:rPr>
              <w:t xml:space="preserve"> Reallocation Proportion</w:t>
            </w:r>
          </w:p>
        </w:tc>
      </w:tr>
      <w:tr w:rsidR="00FA6F10" w:rsidRPr="00630129" w14:paraId="47CF859D" w14:textId="77777777">
        <w:tc>
          <w:tcPr>
            <w:tcW w:w="1566" w:type="pct"/>
            <w:tcMar>
              <w:top w:w="68" w:type="dxa"/>
              <w:left w:w="68" w:type="dxa"/>
              <w:bottom w:w="68" w:type="dxa"/>
              <w:right w:w="68" w:type="dxa"/>
            </w:tcMar>
          </w:tcPr>
          <w:p w14:paraId="1A775909" w14:textId="77777777" w:rsidR="00FA6F10" w:rsidRPr="00630129" w:rsidRDefault="00FA6F10">
            <w:pPr>
              <w:rPr>
                <w:sz w:val="22"/>
                <w:szCs w:val="22"/>
                <w:vertAlign w:val="subscript"/>
              </w:rPr>
            </w:pPr>
            <w:proofErr w:type="spellStart"/>
            <w:r w:rsidRPr="00630129">
              <w:rPr>
                <w:sz w:val="22"/>
                <w:szCs w:val="22"/>
              </w:rPr>
              <w:t>REJ</w:t>
            </w:r>
            <w:r w:rsidRPr="00630129">
              <w:rPr>
                <w:sz w:val="22"/>
                <w:szCs w:val="22"/>
                <w:vertAlign w:val="subscript"/>
              </w:rPr>
              <w:t>aj</w:t>
            </w:r>
            <w:proofErr w:type="spellEnd"/>
          </w:p>
        </w:tc>
        <w:tc>
          <w:tcPr>
            <w:tcW w:w="808" w:type="pct"/>
            <w:tcMar>
              <w:top w:w="68" w:type="dxa"/>
              <w:left w:w="68" w:type="dxa"/>
              <w:bottom w:w="68" w:type="dxa"/>
              <w:right w:w="68" w:type="dxa"/>
            </w:tcMar>
          </w:tcPr>
          <w:p w14:paraId="6F9F5E85"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FFA139E" w14:textId="77777777" w:rsidR="00FA6F10" w:rsidRPr="00630129" w:rsidRDefault="00FA6F10">
            <w:pPr>
              <w:rPr>
                <w:sz w:val="22"/>
                <w:szCs w:val="22"/>
              </w:rPr>
            </w:pPr>
            <w:r w:rsidRPr="00630129">
              <w:rPr>
                <w:sz w:val="22"/>
                <w:szCs w:val="22"/>
              </w:rPr>
              <w:t>Credit Cover Error Rejection Volume</w:t>
            </w:r>
          </w:p>
        </w:tc>
      </w:tr>
      <w:tr w:rsidR="00FA6F10" w:rsidRPr="00630129" w14:paraId="6831347E" w14:textId="77777777">
        <w:tc>
          <w:tcPr>
            <w:tcW w:w="1566" w:type="pct"/>
            <w:tcMar>
              <w:top w:w="68" w:type="dxa"/>
              <w:left w:w="68" w:type="dxa"/>
              <w:bottom w:w="68" w:type="dxa"/>
              <w:right w:w="68" w:type="dxa"/>
            </w:tcMar>
          </w:tcPr>
          <w:p w14:paraId="7F45C37B" w14:textId="77777777" w:rsidR="00FA6F10" w:rsidRPr="00630129" w:rsidRDefault="00FA6F10">
            <w:pPr>
              <w:rPr>
                <w:sz w:val="22"/>
                <w:szCs w:val="22"/>
              </w:rPr>
            </w:pPr>
            <w:r w:rsidRPr="00630129">
              <w:rPr>
                <w:sz w:val="22"/>
                <w:szCs w:val="22"/>
              </w:rPr>
              <w:t>RPAR</w:t>
            </w:r>
          </w:p>
        </w:tc>
        <w:tc>
          <w:tcPr>
            <w:tcW w:w="808" w:type="pct"/>
            <w:tcMar>
              <w:top w:w="68" w:type="dxa"/>
              <w:left w:w="68" w:type="dxa"/>
              <w:bottom w:w="68" w:type="dxa"/>
              <w:right w:w="68" w:type="dxa"/>
            </w:tcMar>
          </w:tcPr>
          <w:p w14:paraId="326931A8" w14:textId="77777777" w:rsidR="00FA6F10" w:rsidRPr="00630129" w:rsidRDefault="00FA6F10">
            <w:pPr>
              <w:rPr>
                <w:sz w:val="22"/>
                <w:szCs w:val="22"/>
              </w:rPr>
            </w:pPr>
          </w:p>
        </w:tc>
        <w:tc>
          <w:tcPr>
            <w:tcW w:w="2626" w:type="pct"/>
            <w:tcMar>
              <w:top w:w="68" w:type="dxa"/>
              <w:left w:w="68" w:type="dxa"/>
              <w:bottom w:w="68" w:type="dxa"/>
              <w:right w:w="68" w:type="dxa"/>
            </w:tcMar>
          </w:tcPr>
          <w:p w14:paraId="08A2CA22" w14:textId="77777777" w:rsidR="00FA6F10" w:rsidRPr="00630129" w:rsidRDefault="00FA6F10">
            <w:pPr>
              <w:rPr>
                <w:sz w:val="22"/>
                <w:szCs w:val="22"/>
              </w:rPr>
            </w:pPr>
            <w:r w:rsidRPr="00630129">
              <w:rPr>
                <w:sz w:val="22"/>
                <w:szCs w:val="22"/>
              </w:rPr>
              <w:t>Replacement Price Average Reference Volume</w:t>
            </w:r>
          </w:p>
        </w:tc>
      </w:tr>
      <w:tr w:rsidR="00FA6F10" w:rsidRPr="00630129" w14:paraId="4C55E49E" w14:textId="77777777">
        <w:tc>
          <w:tcPr>
            <w:tcW w:w="1566" w:type="pct"/>
            <w:tcMar>
              <w:top w:w="68" w:type="dxa"/>
              <w:left w:w="68" w:type="dxa"/>
              <w:bottom w:w="68" w:type="dxa"/>
              <w:right w:w="68" w:type="dxa"/>
            </w:tcMar>
          </w:tcPr>
          <w:p w14:paraId="42B7C42D" w14:textId="77777777" w:rsidR="00FA6F10" w:rsidRPr="00630129" w:rsidRDefault="00FA6F10">
            <w:pPr>
              <w:rPr>
                <w:sz w:val="22"/>
                <w:szCs w:val="22"/>
              </w:rPr>
            </w:pPr>
            <w:proofErr w:type="spellStart"/>
            <w:r w:rsidRPr="00630129">
              <w:rPr>
                <w:sz w:val="22"/>
                <w:szCs w:val="22"/>
              </w:rPr>
              <w:t>RP</w:t>
            </w:r>
            <w:r w:rsidRPr="00630129">
              <w:rPr>
                <w:sz w:val="22"/>
                <w:szCs w:val="22"/>
                <w:vertAlign w:val="subscript"/>
              </w:rPr>
              <w:t>j</w:t>
            </w:r>
            <w:proofErr w:type="spellEnd"/>
          </w:p>
        </w:tc>
        <w:tc>
          <w:tcPr>
            <w:tcW w:w="808" w:type="pct"/>
            <w:tcMar>
              <w:top w:w="68" w:type="dxa"/>
              <w:left w:w="68" w:type="dxa"/>
              <w:bottom w:w="68" w:type="dxa"/>
              <w:right w:w="68" w:type="dxa"/>
            </w:tcMar>
          </w:tcPr>
          <w:p w14:paraId="1EEDDC99"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2634A2CA" w14:textId="77777777" w:rsidR="00FA6F10" w:rsidRPr="00630129" w:rsidRDefault="00FA6F10">
            <w:pPr>
              <w:rPr>
                <w:sz w:val="22"/>
                <w:szCs w:val="22"/>
              </w:rPr>
            </w:pPr>
            <w:r w:rsidRPr="00630129">
              <w:rPr>
                <w:sz w:val="22"/>
                <w:szCs w:val="22"/>
              </w:rPr>
              <w:t>Replacement Price</w:t>
            </w:r>
          </w:p>
        </w:tc>
      </w:tr>
      <w:tr w:rsidR="00FA6F10" w:rsidRPr="00630129" w14:paraId="06A35AC3" w14:textId="77777777">
        <w:tc>
          <w:tcPr>
            <w:tcW w:w="1566" w:type="pct"/>
            <w:tcMar>
              <w:top w:w="68" w:type="dxa"/>
              <w:left w:w="68" w:type="dxa"/>
              <w:bottom w:w="68" w:type="dxa"/>
              <w:right w:w="68" w:type="dxa"/>
            </w:tcMar>
          </w:tcPr>
          <w:p w14:paraId="163054F2" w14:textId="77777777" w:rsidR="00FA6F10" w:rsidRPr="00630129" w:rsidRDefault="00FA6F10">
            <w:pPr>
              <w:rPr>
                <w:sz w:val="22"/>
                <w:szCs w:val="22"/>
              </w:rPr>
            </w:pPr>
            <w:proofErr w:type="spellStart"/>
            <w:r w:rsidRPr="00630129">
              <w:rPr>
                <w:sz w:val="22"/>
                <w:szCs w:val="22"/>
              </w:rPr>
              <w:t>RQNDB</w:t>
            </w:r>
            <w:r w:rsidRPr="00630129">
              <w:rPr>
                <w:sz w:val="22"/>
                <w:szCs w:val="22"/>
                <w:vertAlign w:val="superscript"/>
              </w:rPr>
              <w:t>u</w:t>
            </w:r>
            <w:r w:rsidRPr="00630129">
              <w:rPr>
                <w:sz w:val="22"/>
                <w:szCs w:val="22"/>
                <w:vertAlign w:val="subscript"/>
              </w:rPr>
              <w:t>ij</w:t>
            </w:r>
            <w:proofErr w:type="spellEnd"/>
          </w:p>
        </w:tc>
        <w:tc>
          <w:tcPr>
            <w:tcW w:w="808" w:type="pct"/>
            <w:tcMar>
              <w:top w:w="68" w:type="dxa"/>
              <w:left w:w="68" w:type="dxa"/>
              <w:bottom w:w="68" w:type="dxa"/>
              <w:right w:w="68" w:type="dxa"/>
            </w:tcMar>
          </w:tcPr>
          <w:p w14:paraId="57378FB2"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099079F5" w14:textId="77777777" w:rsidR="00FA6F10" w:rsidRPr="00630129" w:rsidRDefault="00FA6F10">
            <w:pPr>
              <w:rPr>
                <w:sz w:val="22"/>
                <w:szCs w:val="22"/>
              </w:rPr>
            </w:pPr>
            <w:r w:rsidRPr="00630129">
              <w:rPr>
                <w:sz w:val="22"/>
                <w:szCs w:val="22"/>
              </w:rPr>
              <w:t>Remaining Period BM Unit Non-Delivered Bid Volume</w:t>
            </w:r>
          </w:p>
        </w:tc>
      </w:tr>
      <w:tr w:rsidR="00FA6F10" w:rsidRPr="00630129" w14:paraId="5A6ABEDE" w14:textId="77777777">
        <w:tc>
          <w:tcPr>
            <w:tcW w:w="1566" w:type="pct"/>
            <w:tcMar>
              <w:top w:w="68" w:type="dxa"/>
              <w:left w:w="68" w:type="dxa"/>
              <w:bottom w:w="68" w:type="dxa"/>
              <w:right w:w="68" w:type="dxa"/>
            </w:tcMar>
          </w:tcPr>
          <w:p w14:paraId="43DDAB81" w14:textId="77777777" w:rsidR="00FA6F10" w:rsidRPr="00630129" w:rsidRDefault="00FA6F10">
            <w:pPr>
              <w:rPr>
                <w:sz w:val="22"/>
                <w:szCs w:val="22"/>
              </w:rPr>
            </w:pPr>
            <w:proofErr w:type="spellStart"/>
            <w:r w:rsidRPr="00630129">
              <w:rPr>
                <w:sz w:val="22"/>
                <w:szCs w:val="22"/>
              </w:rPr>
              <w:t>RQNDO</w:t>
            </w:r>
            <w:r w:rsidRPr="00630129">
              <w:rPr>
                <w:sz w:val="22"/>
                <w:szCs w:val="22"/>
                <w:vertAlign w:val="superscript"/>
              </w:rPr>
              <w:t>u</w:t>
            </w:r>
            <w:r w:rsidRPr="00630129">
              <w:rPr>
                <w:sz w:val="22"/>
                <w:szCs w:val="22"/>
                <w:vertAlign w:val="subscript"/>
              </w:rPr>
              <w:t>ij</w:t>
            </w:r>
            <w:proofErr w:type="spellEnd"/>
          </w:p>
        </w:tc>
        <w:tc>
          <w:tcPr>
            <w:tcW w:w="808" w:type="pct"/>
            <w:tcMar>
              <w:top w:w="68" w:type="dxa"/>
              <w:left w:w="68" w:type="dxa"/>
              <w:bottom w:w="68" w:type="dxa"/>
              <w:right w:w="68" w:type="dxa"/>
            </w:tcMar>
          </w:tcPr>
          <w:p w14:paraId="2A094457"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08F743A" w14:textId="77777777" w:rsidR="00FA6F10" w:rsidRPr="00630129" w:rsidRDefault="00FA6F10">
            <w:pPr>
              <w:rPr>
                <w:sz w:val="22"/>
                <w:szCs w:val="22"/>
              </w:rPr>
            </w:pPr>
            <w:r w:rsidRPr="00630129">
              <w:rPr>
                <w:sz w:val="22"/>
                <w:szCs w:val="22"/>
              </w:rPr>
              <w:t>Remaining Period BM Unit Non-Delivered Offer Volume</w:t>
            </w:r>
          </w:p>
        </w:tc>
      </w:tr>
      <w:tr w:rsidR="00FA6F10" w:rsidRPr="00630129" w14:paraId="0B400B85" w14:textId="77777777">
        <w:tc>
          <w:tcPr>
            <w:tcW w:w="1566" w:type="pct"/>
            <w:tcMar>
              <w:top w:w="68" w:type="dxa"/>
              <w:left w:w="68" w:type="dxa"/>
              <w:bottom w:w="68" w:type="dxa"/>
              <w:right w:w="68" w:type="dxa"/>
            </w:tcMar>
          </w:tcPr>
          <w:p w14:paraId="4C2936C5" w14:textId="77777777" w:rsidR="00FA6F10" w:rsidRPr="00630129" w:rsidRDefault="00FA6F10">
            <w:pPr>
              <w:rPr>
                <w:sz w:val="22"/>
                <w:szCs w:val="22"/>
              </w:rPr>
            </w:pPr>
            <w:proofErr w:type="spellStart"/>
            <w:r w:rsidRPr="00630129">
              <w:rPr>
                <w:sz w:val="22"/>
                <w:szCs w:val="22"/>
              </w:rPr>
              <w:t>RRAB</w:t>
            </w:r>
            <w:r w:rsidRPr="00630129">
              <w:rPr>
                <w:sz w:val="22"/>
                <w:szCs w:val="22"/>
                <w:vertAlign w:val="superscript"/>
              </w:rPr>
              <w:t>kn</w:t>
            </w:r>
            <w:r w:rsidRPr="00630129">
              <w:rPr>
                <w:sz w:val="22"/>
                <w:szCs w:val="22"/>
                <w:vertAlign w:val="subscript"/>
              </w:rPr>
              <w:t>ij</w:t>
            </w:r>
            <w:proofErr w:type="spellEnd"/>
          </w:p>
        </w:tc>
        <w:tc>
          <w:tcPr>
            <w:tcW w:w="808" w:type="pct"/>
            <w:tcMar>
              <w:top w:w="68" w:type="dxa"/>
              <w:left w:w="68" w:type="dxa"/>
              <w:bottom w:w="68" w:type="dxa"/>
              <w:right w:w="68" w:type="dxa"/>
            </w:tcMar>
          </w:tcPr>
          <w:p w14:paraId="64270186"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47726957" w14:textId="77777777" w:rsidR="00FA6F10" w:rsidRPr="00630129" w:rsidRDefault="00FA6F10">
            <w:pPr>
              <w:rPr>
                <w:sz w:val="22"/>
                <w:szCs w:val="22"/>
              </w:rPr>
            </w:pPr>
            <w:r w:rsidRPr="00630129">
              <w:rPr>
                <w:sz w:val="22"/>
                <w:szCs w:val="22"/>
              </w:rPr>
              <w:t>Period RR Accepted Bid Volume</w:t>
            </w:r>
          </w:p>
        </w:tc>
      </w:tr>
      <w:tr w:rsidR="00FA6F10" w:rsidRPr="00630129" w14:paraId="1A038FE6" w14:textId="77777777">
        <w:tc>
          <w:tcPr>
            <w:tcW w:w="1566" w:type="pct"/>
            <w:tcMar>
              <w:top w:w="68" w:type="dxa"/>
              <w:left w:w="68" w:type="dxa"/>
              <w:bottom w:w="68" w:type="dxa"/>
              <w:right w:w="68" w:type="dxa"/>
            </w:tcMar>
          </w:tcPr>
          <w:p w14:paraId="3306A9C9" w14:textId="77777777" w:rsidR="00FA6F10" w:rsidRPr="00630129" w:rsidRDefault="00FA6F10">
            <w:pPr>
              <w:rPr>
                <w:sz w:val="22"/>
                <w:szCs w:val="22"/>
              </w:rPr>
            </w:pPr>
            <w:proofErr w:type="spellStart"/>
            <w:r w:rsidRPr="00630129">
              <w:rPr>
                <w:sz w:val="22"/>
                <w:szCs w:val="22"/>
              </w:rPr>
              <w:t>RRAB</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21AC4DE7"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6A354E23" w14:textId="77777777" w:rsidR="00FA6F10" w:rsidRPr="00630129" w:rsidRDefault="00FA6F10">
            <w:pPr>
              <w:rPr>
                <w:sz w:val="22"/>
                <w:szCs w:val="22"/>
              </w:rPr>
            </w:pPr>
            <w:r w:rsidRPr="00630129">
              <w:rPr>
                <w:sz w:val="22"/>
                <w:szCs w:val="22"/>
              </w:rPr>
              <w:t>Period RR Total Accepted Bid Volume</w:t>
            </w:r>
          </w:p>
        </w:tc>
      </w:tr>
      <w:tr w:rsidR="00FA6F10" w:rsidRPr="00630129" w14:paraId="2CF311D5" w14:textId="77777777">
        <w:tc>
          <w:tcPr>
            <w:tcW w:w="1566" w:type="pct"/>
            <w:tcMar>
              <w:top w:w="68" w:type="dxa"/>
              <w:left w:w="68" w:type="dxa"/>
              <w:bottom w:w="68" w:type="dxa"/>
              <w:right w:w="68" w:type="dxa"/>
            </w:tcMar>
          </w:tcPr>
          <w:p w14:paraId="15B435B6" w14:textId="77777777" w:rsidR="00FA6F10" w:rsidRPr="00630129" w:rsidRDefault="00FA6F10">
            <w:pPr>
              <w:rPr>
                <w:sz w:val="22"/>
                <w:szCs w:val="22"/>
              </w:rPr>
            </w:pPr>
            <w:proofErr w:type="spellStart"/>
            <w:r w:rsidRPr="00630129">
              <w:rPr>
                <w:sz w:val="22"/>
                <w:szCs w:val="22"/>
              </w:rPr>
              <w:t>RRAO</w:t>
            </w:r>
            <w:r w:rsidRPr="00630129">
              <w:rPr>
                <w:sz w:val="22"/>
                <w:szCs w:val="22"/>
                <w:vertAlign w:val="superscript"/>
              </w:rPr>
              <w:t>kn</w:t>
            </w:r>
            <w:r w:rsidRPr="00630129">
              <w:rPr>
                <w:sz w:val="22"/>
                <w:szCs w:val="22"/>
                <w:vertAlign w:val="subscript"/>
              </w:rPr>
              <w:t>ij</w:t>
            </w:r>
            <w:proofErr w:type="spellEnd"/>
          </w:p>
        </w:tc>
        <w:tc>
          <w:tcPr>
            <w:tcW w:w="808" w:type="pct"/>
            <w:tcMar>
              <w:top w:w="68" w:type="dxa"/>
              <w:left w:w="68" w:type="dxa"/>
              <w:bottom w:w="68" w:type="dxa"/>
              <w:right w:w="68" w:type="dxa"/>
            </w:tcMar>
          </w:tcPr>
          <w:p w14:paraId="3D7D41B6"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094EBE9C" w14:textId="77777777" w:rsidR="00FA6F10" w:rsidRPr="00630129" w:rsidRDefault="00FA6F10">
            <w:pPr>
              <w:rPr>
                <w:sz w:val="22"/>
                <w:szCs w:val="22"/>
              </w:rPr>
            </w:pPr>
            <w:r w:rsidRPr="00630129">
              <w:rPr>
                <w:sz w:val="22"/>
                <w:szCs w:val="22"/>
              </w:rPr>
              <w:t>Period RR Accepted Offer Volume</w:t>
            </w:r>
          </w:p>
        </w:tc>
      </w:tr>
      <w:tr w:rsidR="00FA6F10" w:rsidRPr="00630129" w14:paraId="2A548FC4" w14:textId="77777777">
        <w:tc>
          <w:tcPr>
            <w:tcW w:w="1566" w:type="pct"/>
            <w:tcMar>
              <w:top w:w="68" w:type="dxa"/>
              <w:left w:w="68" w:type="dxa"/>
              <w:bottom w:w="68" w:type="dxa"/>
              <w:right w:w="68" w:type="dxa"/>
            </w:tcMar>
          </w:tcPr>
          <w:p w14:paraId="03FFE3D6" w14:textId="77777777" w:rsidR="00FA6F10" w:rsidRPr="00630129" w:rsidRDefault="00FA6F10">
            <w:pPr>
              <w:rPr>
                <w:sz w:val="22"/>
                <w:szCs w:val="22"/>
              </w:rPr>
            </w:pPr>
            <w:proofErr w:type="spellStart"/>
            <w:r w:rsidRPr="00630129">
              <w:rPr>
                <w:sz w:val="22"/>
                <w:szCs w:val="22"/>
              </w:rPr>
              <w:t>RRAO</w:t>
            </w:r>
            <w:r w:rsidRPr="00630129">
              <w:rPr>
                <w:sz w:val="22"/>
                <w:szCs w:val="22"/>
                <w:vertAlign w:val="superscript"/>
              </w:rPr>
              <w:t>n</w:t>
            </w:r>
            <w:r w:rsidRPr="00630129">
              <w:rPr>
                <w:sz w:val="22"/>
                <w:szCs w:val="22"/>
                <w:vertAlign w:val="subscript"/>
              </w:rPr>
              <w:t>ij</w:t>
            </w:r>
            <w:proofErr w:type="spellEnd"/>
          </w:p>
        </w:tc>
        <w:tc>
          <w:tcPr>
            <w:tcW w:w="808" w:type="pct"/>
            <w:tcMar>
              <w:top w:w="68" w:type="dxa"/>
              <w:left w:w="68" w:type="dxa"/>
              <w:bottom w:w="68" w:type="dxa"/>
              <w:right w:w="68" w:type="dxa"/>
            </w:tcMar>
          </w:tcPr>
          <w:p w14:paraId="0AD438DA"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0A95A7D7" w14:textId="77777777" w:rsidR="00FA6F10" w:rsidRPr="00630129" w:rsidRDefault="00FA6F10">
            <w:pPr>
              <w:rPr>
                <w:sz w:val="22"/>
                <w:szCs w:val="22"/>
              </w:rPr>
            </w:pPr>
            <w:r w:rsidRPr="00630129">
              <w:rPr>
                <w:sz w:val="22"/>
                <w:szCs w:val="22"/>
              </w:rPr>
              <w:t>Period RR Total Accepted Offer Volume</w:t>
            </w:r>
          </w:p>
        </w:tc>
      </w:tr>
      <w:tr w:rsidR="00FA6F10" w:rsidRPr="00630129" w14:paraId="71ECA2C3" w14:textId="77777777">
        <w:tc>
          <w:tcPr>
            <w:tcW w:w="1566" w:type="pct"/>
            <w:tcMar>
              <w:top w:w="68" w:type="dxa"/>
              <w:left w:w="68" w:type="dxa"/>
              <w:bottom w:w="68" w:type="dxa"/>
              <w:right w:w="68" w:type="dxa"/>
            </w:tcMar>
          </w:tcPr>
          <w:p w14:paraId="091C0F93" w14:textId="77777777" w:rsidR="00FA6F10" w:rsidRPr="00630129" w:rsidRDefault="00FA6F10" w:rsidP="00993AE7">
            <w:pPr>
              <w:rPr>
                <w:sz w:val="22"/>
                <w:szCs w:val="22"/>
              </w:rPr>
            </w:pPr>
            <w:r w:rsidRPr="00630129">
              <w:rPr>
                <w:sz w:val="22"/>
                <w:szCs w:val="22"/>
              </w:rPr>
              <w:t>RRAP</w:t>
            </w:r>
            <w:r w:rsidRPr="00630129">
              <w:rPr>
                <w:sz w:val="22"/>
                <w:szCs w:val="22"/>
                <w:vertAlign w:val="subscript"/>
              </w:rPr>
              <w:t>J</w:t>
            </w:r>
          </w:p>
        </w:tc>
        <w:tc>
          <w:tcPr>
            <w:tcW w:w="808" w:type="pct"/>
            <w:tcMar>
              <w:top w:w="68" w:type="dxa"/>
              <w:left w:w="68" w:type="dxa"/>
              <w:bottom w:w="68" w:type="dxa"/>
              <w:right w:w="68" w:type="dxa"/>
            </w:tcMar>
          </w:tcPr>
          <w:p w14:paraId="148E24D1" w14:textId="77777777" w:rsidR="00FA6F10" w:rsidRPr="00630129" w:rsidRDefault="00FA6F10" w:rsidP="00993AE7">
            <w:pPr>
              <w:rPr>
                <w:sz w:val="22"/>
                <w:szCs w:val="22"/>
              </w:rPr>
            </w:pPr>
            <w:r w:rsidRPr="00630129">
              <w:rPr>
                <w:sz w:val="22"/>
                <w:szCs w:val="22"/>
              </w:rPr>
              <w:t>£/MWh</w:t>
            </w:r>
          </w:p>
        </w:tc>
        <w:tc>
          <w:tcPr>
            <w:tcW w:w="2626" w:type="pct"/>
            <w:tcMar>
              <w:top w:w="68" w:type="dxa"/>
              <w:left w:w="68" w:type="dxa"/>
              <w:bottom w:w="68" w:type="dxa"/>
              <w:right w:w="68" w:type="dxa"/>
            </w:tcMar>
          </w:tcPr>
          <w:p w14:paraId="2C27120F" w14:textId="77777777" w:rsidR="00FA6F10" w:rsidRPr="00630129" w:rsidRDefault="00FA6F10" w:rsidP="00993AE7">
            <w:pPr>
              <w:rPr>
                <w:sz w:val="22"/>
                <w:szCs w:val="22"/>
              </w:rPr>
            </w:pPr>
            <w:r w:rsidRPr="00630129">
              <w:rPr>
                <w:sz w:val="22"/>
                <w:szCs w:val="22"/>
              </w:rPr>
              <w:t>Replacement Reserve Activation Price</w:t>
            </w:r>
          </w:p>
        </w:tc>
      </w:tr>
      <w:tr w:rsidR="00FA6F10" w:rsidRPr="00630129" w14:paraId="1658EA6C" w14:textId="77777777">
        <w:tc>
          <w:tcPr>
            <w:tcW w:w="1566" w:type="pct"/>
            <w:tcMar>
              <w:top w:w="68" w:type="dxa"/>
              <w:left w:w="68" w:type="dxa"/>
              <w:bottom w:w="68" w:type="dxa"/>
              <w:right w:w="68" w:type="dxa"/>
            </w:tcMar>
          </w:tcPr>
          <w:p w14:paraId="1E2D0076" w14:textId="77777777" w:rsidR="00FA6F10" w:rsidRPr="00630129" w:rsidRDefault="00FA6F10" w:rsidP="00993AE7">
            <w:pPr>
              <w:rPr>
                <w:sz w:val="22"/>
                <w:szCs w:val="22"/>
              </w:rPr>
            </w:pPr>
            <w:proofErr w:type="spellStart"/>
            <w:r w:rsidRPr="00630129">
              <w:rPr>
                <w:sz w:val="22"/>
                <w:szCs w:val="22"/>
              </w:rPr>
              <w:t>RRAUSB</w:t>
            </w:r>
            <w:r w:rsidRPr="00630129">
              <w:rPr>
                <w:sz w:val="22"/>
                <w:szCs w:val="22"/>
                <w:vertAlign w:val="subscript"/>
              </w:rPr>
              <w:t>j</w:t>
            </w:r>
            <w:proofErr w:type="spellEnd"/>
          </w:p>
        </w:tc>
        <w:tc>
          <w:tcPr>
            <w:tcW w:w="808" w:type="pct"/>
            <w:tcMar>
              <w:top w:w="68" w:type="dxa"/>
              <w:left w:w="68" w:type="dxa"/>
              <w:bottom w:w="68" w:type="dxa"/>
              <w:right w:w="68" w:type="dxa"/>
            </w:tcMar>
          </w:tcPr>
          <w:p w14:paraId="3F777ED1" w14:textId="77777777" w:rsidR="00FA6F10" w:rsidRPr="00630129" w:rsidRDefault="00FA6F10" w:rsidP="00993AE7">
            <w:pPr>
              <w:rPr>
                <w:sz w:val="22"/>
                <w:szCs w:val="22"/>
              </w:rPr>
            </w:pPr>
          </w:p>
        </w:tc>
        <w:tc>
          <w:tcPr>
            <w:tcW w:w="2626" w:type="pct"/>
            <w:tcMar>
              <w:top w:w="68" w:type="dxa"/>
              <w:left w:w="68" w:type="dxa"/>
              <w:bottom w:w="68" w:type="dxa"/>
              <w:right w:w="68" w:type="dxa"/>
            </w:tcMar>
          </w:tcPr>
          <w:p w14:paraId="6648EA7F" w14:textId="77777777" w:rsidR="00FA6F10" w:rsidRPr="00630129" w:rsidRDefault="00FA6F10" w:rsidP="00993AE7">
            <w:pPr>
              <w:rPr>
                <w:sz w:val="22"/>
                <w:szCs w:val="22"/>
              </w:rPr>
            </w:pPr>
            <w:r w:rsidRPr="00630129">
              <w:rPr>
                <w:sz w:val="22"/>
                <w:szCs w:val="22"/>
              </w:rPr>
              <w:t>Replacement Reserve Aggregated Unpriced System Buy Action</w:t>
            </w:r>
          </w:p>
        </w:tc>
      </w:tr>
      <w:tr w:rsidR="00FA6F10" w:rsidRPr="00630129" w14:paraId="48EB3D67" w14:textId="77777777">
        <w:tc>
          <w:tcPr>
            <w:tcW w:w="1566" w:type="pct"/>
            <w:tcMar>
              <w:top w:w="68" w:type="dxa"/>
              <w:left w:w="68" w:type="dxa"/>
              <w:bottom w:w="68" w:type="dxa"/>
              <w:right w:w="68" w:type="dxa"/>
            </w:tcMar>
          </w:tcPr>
          <w:p w14:paraId="6C25F45E" w14:textId="77777777" w:rsidR="00FA6F10" w:rsidRPr="00630129" w:rsidRDefault="00FA6F10" w:rsidP="00993AE7">
            <w:pPr>
              <w:rPr>
                <w:sz w:val="22"/>
                <w:szCs w:val="22"/>
              </w:rPr>
            </w:pPr>
            <w:proofErr w:type="spellStart"/>
            <w:r w:rsidRPr="00630129">
              <w:rPr>
                <w:sz w:val="22"/>
                <w:szCs w:val="22"/>
              </w:rPr>
              <w:t>RRAUSS</w:t>
            </w:r>
            <w:r w:rsidRPr="00630129">
              <w:rPr>
                <w:sz w:val="22"/>
                <w:szCs w:val="22"/>
                <w:vertAlign w:val="subscript"/>
              </w:rPr>
              <w:t>j</w:t>
            </w:r>
            <w:proofErr w:type="spellEnd"/>
          </w:p>
        </w:tc>
        <w:tc>
          <w:tcPr>
            <w:tcW w:w="808" w:type="pct"/>
            <w:tcMar>
              <w:top w:w="68" w:type="dxa"/>
              <w:left w:w="68" w:type="dxa"/>
              <w:bottom w:w="68" w:type="dxa"/>
              <w:right w:w="68" w:type="dxa"/>
            </w:tcMar>
          </w:tcPr>
          <w:p w14:paraId="071CB0C4" w14:textId="77777777" w:rsidR="00FA6F10" w:rsidRPr="00630129" w:rsidRDefault="00FA6F10" w:rsidP="00993AE7">
            <w:pPr>
              <w:rPr>
                <w:sz w:val="22"/>
                <w:szCs w:val="22"/>
              </w:rPr>
            </w:pPr>
          </w:p>
        </w:tc>
        <w:tc>
          <w:tcPr>
            <w:tcW w:w="2626" w:type="pct"/>
            <w:tcMar>
              <w:top w:w="68" w:type="dxa"/>
              <w:left w:w="68" w:type="dxa"/>
              <w:bottom w:w="68" w:type="dxa"/>
              <w:right w:w="68" w:type="dxa"/>
            </w:tcMar>
          </w:tcPr>
          <w:p w14:paraId="72B5F0FE" w14:textId="77777777" w:rsidR="00FA6F10" w:rsidRPr="00630129" w:rsidRDefault="00FA6F10" w:rsidP="00993AE7">
            <w:pPr>
              <w:rPr>
                <w:sz w:val="22"/>
                <w:szCs w:val="22"/>
              </w:rPr>
            </w:pPr>
            <w:r w:rsidRPr="00630129">
              <w:rPr>
                <w:sz w:val="22"/>
                <w:szCs w:val="22"/>
              </w:rPr>
              <w:t>Replacement Reserve Aggregated Unpriced System Sell Action</w:t>
            </w:r>
          </w:p>
        </w:tc>
      </w:tr>
      <w:tr w:rsidR="00FA6F10" w:rsidRPr="00630129" w14:paraId="026B2A95" w14:textId="77777777">
        <w:tc>
          <w:tcPr>
            <w:tcW w:w="1566" w:type="pct"/>
            <w:tcMar>
              <w:top w:w="68" w:type="dxa"/>
              <w:left w:w="68" w:type="dxa"/>
              <w:bottom w:w="68" w:type="dxa"/>
              <w:right w:w="68" w:type="dxa"/>
            </w:tcMar>
          </w:tcPr>
          <w:p w14:paraId="039F7F73" w14:textId="77777777" w:rsidR="00FA6F10" w:rsidRPr="00630129" w:rsidRDefault="00FA6F10">
            <w:pPr>
              <w:rPr>
                <w:sz w:val="22"/>
                <w:szCs w:val="22"/>
              </w:rPr>
            </w:pPr>
            <w:proofErr w:type="spellStart"/>
            <w:r w:rsidRPr="00630129">
              <w:rPr>
                <w:sz w:val="22"/>
                <w:szCs w:val="22"/>
              </w:rPr>
              <w:t>RRAV</w:t>
            </w:r>
            <w:r w:rsidRPr="00630129">
              <w:rPr>
                <w:sz w:val="22"/>
                <w:szCs w:val="22"/>
                <w:vertAlign w:val="subscript"/>
              </w:rPr>
              <w:t>iJ</w:t>
            </w:r>
            <w:proofErr w:type="spellEnd"/>
          </w:p>
        </w:tc>
        <w:tc>
          <w:tcPr>
            <w:tcW w:w="808" w:type="pct"/>
            <w:tcMar>
              <w:top w:w="68" w:type="dxa"/>
              <w:left w:w="68" w:type="dxa"/>
              <w:bottom w:w="68" w:type="dxa"/>
              <w:right w:w="68" w:type="dxa"/>
            </w:tcMar>
          </w:tcPr>
          <w:p w14:paraId="18E908E4" w14:textId="77777777" w:rsidR="00FA6F10" w:rsidRPr="00630129" w:rsidRDefault="00FA6F10">
            <w:pPr>
              <w:rPr>
                <w:sz w:val="22"/>
                <w:szCs w:val="22"/>
              </w:rPr>
            </w:pPr>
            <w:r w:rsidRPr="00630129">
              <w:rPr>
                <w:sz w:val="22"/>
                <w:szCs w:val="22"/>
              </w:rPr>
              <w:t>MWh</w:t>
            </w:r>
          </w:p>
        </w:tc>
        <w:tc>
          <w:tcPr>
            <w:tcW w:w="2626" w:type="pct"/>
            <w:tcMar>
              <w:top w:w="68" w:type="dxa"/>
              <w:left w:w="68" w:type="dxa"/>
              <w:bottom w:w="68" w:type="dxa"/>
              <w:right w:w="68" w:type="dxa"/>
            </w:tcMar>
          </w:tcPr>
          <w:p w14:paraId="3F06C974" w14:textId="77777777" w:rsidR="00FA6F10" w:rsidRPr="00630129" w:rsidRDefault="00FA6F10">
            <w:pPr>
              <w:rPr>
                <w:sz w:val="22"/>
                <w:szCs w:val="22"/>
              </w:rPr>
            </w:pPr>
            <w:r w:rsidRPr="00630129">
              <w:rPr>
                <w:sz w:val="22"/>
                <w:szCs w:val="22"/>
              </w:rPr>
              <w:t>Quarter Hour RR Activated Volume</w:t>
            </w:r>
          </w:p>
        </w:tc>
      </w:tr>
      <w:tr w:rsidR="00FA6F10" w:rsidRPr="00630129" w14:paraId="2B804596" w14:textId="77777777">
        <w:tc>
          <w:tcPr>
            <w:tcW w:w="1566" w:type="pct"/>
            <w:tcMar>
              <w:top w:w="68" w:type="dxa"/>
              <w:left w:w="68" w:type="dxa"/>
              <w:bottom w:w="68" w:type="dxa"/>
              <w:right w:w="68" w:type="dxa"/>
            </w:tcMar>
          </w:tcPr>
          <w:p w14:paraId="644D3586" w14:textId="77777777" w:rsidR="00FA6F10" w:rsidRPr="00630129" w:rsidRDefault="00FA6F10" w:rsidP="00993AE7">
            <w:pPr>
              <w:rPr>
                <w:sz w:val="22"/>
                <w:szCs w:val="22"/>
              </w:rPr>
            </w:pPr>
            <w:proofErr w:type="spellStart"/>
            <w:r w:rsidRPr="00630129">
              <w:rPr>
                <w:sz w:val="22"/>
                <w:szCs w:val="22"/>
              </w:rPr>
              <w:t>RSP</w:t>
            </w:r>
            <w:r w:rsidRPr="00630129">
              <w:rPr>
                <w:sz w:val="22"/>
                <w:szCs w:val="22"/>
                <w:vertAlign w:val="subscript"/>
              </w:rPr>
              <w:t>j</w:t>
            </w:r>
            <w:proofErr w:type="spellEnd"/>
          </w:p>
        </w:tc>
        <w:tc>
          <w:tcPr>
            <w:tcW w:w="808" w:type="pct"/>
            <w:tcMar>
              <w:top w:w="68" w:type="dxa"/>
              <w:left w:w="68" w:type="dxa"/>
              <w:bottom w:w="68" w:type="dxa"/>
              <w:right w:w="68" w:type="dxa"/>
            </w:tcMar>
          </w:tcPr>
          <w:p w14:paraId="010B33A5" w14:textId="77777777" w:rsidR="00FA6F10" w:rsidRPr="00630129" w:rsidRDefault="00FA6F10" w:rsidP="00993AE7">
            <w:pPr>
              <w:rPr>
                <w:sz w:val="22"/>
                <w:szCs w:val="22"/>
              </w:rPr>
            </w:pPr>
            <w:r w:rsidRPr="00630129">
              <w:rPr>
                <w:sz w:val="22"/>
                <w:szCs w:val="22"/>
              </w:rPr>
              <w:t>£/MWh</w:t>
            </w:r>
          </w:p>
        </w:tc>
        <w:tc>
          <w:tcPr>
            <w:tcW w:w="2626" w:type="pct"/>
            <w:tcMar>
              <w:top w:w="68" w:type="dxa"/>
              <w:left w:w="68" w:type="dxa"/>
              <w:bottom w:w="68" w:type="dxa"/>
              <w:right w:w="68" w:type="dxa"/>
            </w:tcMar>
          </w:tcPr>
          <w:p w14:paraId="25C902E1" w14:textId="77777777" w:rsidR="00FA6F10" w:rsidRPr="00630129" w:rsidRDefault="00FA6F10" w:rsidP="00993AE7">
            <w:pPr>
              <w:rPr>
                <w:sz w:val="22"/>
                <w:szCs w:val="22"/>
              </w:rPr>
            </w:pPr>
            <w:r w:rsidRPr="00630129">
              <w:rPr>
                <w:sz w:val="22"/>
                <w:szCs w:val="22"/>
              </w:rPr>
              <w:t>Replacement Sell Price</w:t>
            </w:r>
          </w:p>
        </w:tc>
      </w:tr>
      <w:tr w:rsidR="00FA6F10" w:rsidRPr="00630129" w14:paraId="06FDA7F1"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72FA5448" w14:textId="77777777" w:rsidR="00FA6F10" w:rsidRPr="00630129" w:rsidRDefault="00FA6F10" w:rsidP="00993AE7">
            <w:pPr>
              <w:rPr>
                <w:sz w:val="22"/>
                <w:szCs w:val="22"/>
              </w:rPr>
            </w:pPr>
            <w:proofErr w:type="spellStart"/>
            <w:r w:rsidRPr="00630129">
              <w:rPr>
                <w:sz w:val="22"/>
                <w:szCs w:val="22"/>
              </w:rPr>
              <w:t>RSVP</w:t>
            </w:r>
            <w:r w:rsidRPr="00630129">
              <w:rPr>
                <w:sz w:val="22"/>
                <w:szCs w:val="22"/>
                <w:vertAlign w:val="subscript"/>
              </w:rPr>
              <w:t>j</w:t>
            </w:r>
            <w:proofErr w:type="spellEnd"/>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08804CFA" w14:textId="77777777" w:rsidR="00FA6F10" w:rsidRPr="00630129" w:rsidRDefault="00FA6F10" w:rsidP="00993AE7">
            <w:pPr>
              <w:rPr>
                <w:sz w:val="22"/>
                <w:szCs w:val="22"/>
              </w:rPr>
            </w:pPr>
            <w:r w:rsidRPr="00630129">
              <w:rPr>
                <w:sz w:val="22"/>
                <w:szCs w:val="22"/>
              </w:rPr>
              <w:t>£/MWh</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3D15C399" w14:textId="77777777" w:rsidR="00FA6F10" w:rsidRPr="00630129" w:rsidRDefault="00FA6F10" w:rsidP="00993AE7">
            <w:pPr>
              <w:rPr>
                <w:sz w:val="22"/>
                <w:szCs w:val="22"/>
              </w:rPr>
            </w:pPr>
            <w:r w:rsidRPr="00630129">
              <w:rPr>
                <w:sz w:val="22"/>
                <w:szCs w:val="22"/>
              </w:rPr>
              <w:t>Reserve Scarcity Price</w:t>
            </w:r>
          </w:p>
        </w:tc>
      </w:tr>
      <w:tr w:rsidR="00FA6F10" w:rsidRPr="00630129" w14:paraId="4D6AF0BB" w14:textId="77777777">
        <w:tc>
          <w:tcPr>
            <w:tcW w:w="1566" w:type="pct"/>
            <w:tcMar>
              <w:top w:w="68" w:type="dxa"/>
              <w:left w:w="68" w:type="dxa"/>
              <w:bottom w:w="68" w:type="dxa"/>
              <w:right w:w="68" w:type="dxa"/>
            </w:tcMar>
          </w:tcPr>
          <w:p w14:paraId="4C20767B" w14:textId="77777777" w:rsidR="00FA6F10" w:rsidRPr="00630129" w:rsidRDefault="00FA6F10" w:rsidP="00993AE7">
            <w:pPr>
              <w:rPr>
                <w:sz w:val="22"/>
                <w:szCs w:val="22"/>
              </w:rPr>
            </w:pPr>
            <w:proofErr w:type="spellStart"/>
            <w:r w:rsidRPr="00630129">
              <w:rPr>
                <w:sz w:val="22"/>
                <w:szCs w:val="22"/>
              </w:rPr>
              <w:t>SAP</w:t>
            </w:r>
            <w:r w:rsidRPr="00630129">
              <w:rPr>
                <w:sz w:val="22"/>
                <w:szCs w:val="22"/>
                <w:vertAlign w:val="superscript"/>
              </w:rPr>
              <w:t>w</w:t>
            </w:r>
            <w:r w:rsidRPr="00630129">
              <w:rPr>
                <w:sz w:val="22"/>
                <w:szCs w:val="22"/>
                <w:vertAlign w:val="subscript"/>
              </w:rPr>
              <w:t>j</w:t>
            </w:r>
            <w:proofErr w:type="spellEnd"/>
          </w:p>
        </w:tc>
        <w:tc>
          <w:tcPr>
            <w:tcW w:w="808" w:type="pct"/>
            <w:tcMar>
              <w:top w:w="68" w:type="dxa"/>
              <w:left w:w="68" w:type="dxa"/>
              <w:bottom w:w="68" w:type="dxa"/>
              <w:right w:w="68" w:type="dxa"/>
            </w:tcMar>
          </w:tcPr>
          <w:p w14:paraId="146E33CA" w14:textId="77777777" w:rsidR="00FA6F10" w:rsidRPr="00630129" w:rsidRDefault="00FA6F10" w:rsidP="00993AE7">
            <w:pPr>
              <w:rPr>
                <w:sz w:val="22"/>
                <w:szCs w:val="22"/>
              </w:rPr>
            </w:pPr>
          </w:p>
        </w:tc>
        <w:tc>
          <w:tcPr>
            <w:tcW w:w="2626" w:type="pct"/>
            <w:tcMar>
              <w:top w:w="68" w:type="dxa"/>
              <w:left w:w="68" w:type="dxa"/>
              <w:bottom w:w="68" w:type="dxa"/>
              <w:right w:w="68" w:type="dxa"/>
            </w:tcMar>
          </w:tcPr>
          <w:p w14:paraId="62C57D76" w14:textId="77777777" w:rsidR="00FA6F10" w:rsidRPr="00630129" w:rsidRDefault="00FA6F10" w:rsidP="00993AE7">
            <w:pPr>
              <w:rPr>
                <w:sz w:val="22"/>
                <w:szCs w:val="22"/>
              </w:rPr>
            </w:pPr>
            <w:r w:rsidRPr="00630129">
              <w:rPr>
                <w:sz w:val="22"/>
                <w:szCs w:val="22"/>
              </w:rPr>
              <w:t>System Action Price</w:t>
            </w:r>
          </w:p>
        </w:tc>
      </w:tr>
      <w:tr w:rsidR="00FA6F10" w:rsidRPr="00630129" w14:paraId="0ED886AC" w14:textId="77777777">
        <w:tc>
          <w:tcPr>
            <w:tcW w:w="1566" w:type="pct"/>
            <w:tcMar>
              <w:top w:w="68" w:type="dxa"/>
              <w:left w:w="68" w:type="dxa"/>
              <w:bottom w:w="68" w:type="dxa"/>
              <w:right w:w="68" w:type="dxa"/>
            </w:tcMar>
          </w:tcPr>
          <w:p w14:paraId="1AA2201C" w14:textId="77777777" w:rsidR="00FA6F10" w:rsidRPr="00630129" w:rsidRDefault="00FA6F10" w:rsidP="00993AE7">
            <w:pPr>
              <w:rPr>
                <w:sz w:val="22"/>
                <w:szCs w:val="22"/>
              </w:rPr>
            </w:pPr>
            <w:proofErr w:type="spellStart"/>
            <w:r w:rsidRPr="00630129">
              <w:rPr>
                <w:sz w:val="22"/>
                <w:szCs w:val="22"/>
              </w:rPr>
              <w:t>SBP</w:t>
            </w:r>
            <w:r w:rsidRPr="00630129">
              <w:rPr>
                <w:sz w:val="22"/>
                <w:szCs w:val="22"/>
                <w:vertAlign w:val="subscript"/>
              </w:rPr>
              <w:t>j</w:t>
            </w:r>
            <w:proofErr w:type="spellEnd"/>
          </w:p>
        </w:tc>
        <w:tc>
          <w:tcPr>
            <w:tcW w:w="808" w:type="pct"/>
            <w:tcMar>
              <w:top w:w="68" w:type="dxa"/>
              <w:left w:w="68" w:type="dxa"/>
              <w:bottom w:w="68" w:type="dxa"/>
              <w:right w:w="68" w:type="dxa"/>
            </w:tcMar>
          </w:tcPr>
          <w:p w14:paraId="58B69468" w14:textId="77777777" w:rsidR="00FA6F10" w:rsidRPr="00630129" w:rsidRDefault="00FA6F10" w:rsidP="00993AE7">
            <w:pPr>
              <w:rPr>
                <w:sz w:val="22"/>
                <w:szCs w:val="22"/>
              </w:rPr>
            </w:pPr>
            <w:r w:rsidRPr="00630129">
              <w:rPr>
                <w:sz w:val="22"/>
                <w:szCs w:val="22"/>
              </w:rPr>
              <w:t>£/MWh</w:t>
            </w:r>
          </w:p>
        </w:tc>
        <w:tc>
          <w:tcPr>
            <w:tcW w:w="2626" w:type="pct"/>
            <w:tcMar>
              <w:top w:w="68" w:type="dxa"/>
              <w:left w:w="68" w:type="dxa"/>
              <w:bottom w:w="68" w:type="dxa"/>
              <w:right w:w="68" w:type="dxa"/>
            </w:tcMar>
          </w:tcPr>
          <w:p w14:paraId="6F68497F" w14:textId="77777777" w:rsidR="00FA6F10" w:rsidRPr="00630129" w:rsidRDefault="00FA6F10" w:rsidP="00993AE7">
            <w:pPr>
              <w:rPr>
                <w:sz w:val="22"/>
                <w:szCs w:val="22"/>
              </w:rPr>
            </w:pPr>
            <w:r w:rsidRPr="00630129">
              <w:rPr>
                <w:sz w:val="22"/>
                <w:szCs w:val="22"/>
              </w:rPr>
              <w:t>System Buy Price</w:t>
            </w:r>
          </w:p>
        </w:tc>
      </w:tr>
      <w:tr w:rsidR="00FA6F10" w:rsidRPr="00630129" w14:paraId="170B744B" w14:textId="77777777" w:rsidTr="00FC0D03">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23B33FF0" w14:textId="77777777" w:rsidR="00FA6F10" w:rsidRPr="00FA6F10" w:rsidRDefault="00FA6F10" w:rsidP="00FA6F10">
            <w:pPr>
              <w:rPr>
                <w:sz w:val="22"/>
                <w:szCs w:val="22"/>
              </w:rPr>
            </w:pPr>
            <w:proofErr w:type="spellStart"/>
            <w:r w:rsidRPr="00FC0D03">
              <w:rPr>
                <w:sz w:val="22"/>
                <w:szCs w:val="22"/>
              </w:rPr>
              <w:t>SNBABSVD</w:t>
            </w:r>
            <w:r w:rsidRPr="00FC0D03">
              <w:rPr>
                <w:sz w:val="22"/>
                <w:szCs w:val="22"/>
                <w:vertAlign w:val="subscript"/>
              </w:rPr>
              <w:t>ij</w:t>
            </w:r>
            <w:proofErr w:type="spellEnd"/>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2EA8B0A8" w14:textId="77777777" w:rsidR="00FA6F10" w:rsidRPr="00FA6F10" w:rsidRDefault="00FA6F10" w:rsidP="00FA6F10">
            <w:pPr>
              <w:rPr>
                <w:sz w:val="22"/>
                <w:szCs w:val="22"/>
              </w:rPr>
            </w:pPr>
            <w:r w:rsidRPr="00FC0D03">
              <w:rPr>
                <w:sz w:val="22"/>
                <w:szCs w:val="22"/>
              </w:rPr>
              <w:t>MWh</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188DE80A" w14:textId="77777777" w:rsidR="00FA6F10" w:rsidRPr="00FA6F10" w:rsidRDefault="00FA6F10" w:rsidP="00FA6F10">
            <w:pPr>
              <w:rPr>
                <w:sz w:val="22"/>
                <w:szCs w:val="22"/>
              </w:rPr>
            </w:pPr>
            <w:r w:rsidRPr="00FC0D03">
              <w:rPr>
                <w:sz w:val="22"/>
                <w:szCs w:val="22"/>
              </w:rPr>
              <w:t>Supplier BM Unit Non BM ABSVD</w:t>
            </w:r>
          </w:p>
        </w:tc>
      </w:tr>
      <w:tr w:rsidR="00FA6F10" w:rsidRPr="00630129" w14:paraId="458F85FB" w14:textId="77777777">
        <w:tc>
          <w:tcPr>
            <w:tcW w:w="1566" w:type="pct"/>
            <w:tcMar>
              <w:top w:w="68" w:type="dxa"/>
              <w:left w:w="68" w:type="dxa"/>
              <w:bottom w:w="68" w:type="dxa"/>
              <w:right w:w="68" w:type="dxa"/>
            </w:tcMar>
          </w:tcPr>
          <w:p w14:paraId="2D791E9D" w14:textId="77777777" w:rsidR="00FA6F10" w:rsidRPr="00630129" w:rsidRDefault="00FA6F10" w:rsidP="00993AE7">
            <w:pPr>
              <w:rPr>
                <w:sz w:val="22"/>
                <w:szCs w:val="22"/>
              </w:rPr>
            </w:pPr>
            <w:proofErr w:type="spellStart"/>
            <w:r w:rsidRPr="00630129">
              <w:rPr>
                <w:sz w:val="22"/>
                <w:szCs w:val="22"/>
              </w:rPr>
              <w:t>SPA</w:t>
            </w:r>
            <w:r w:rsidRPr="00630129">
              <w:rPr>
                <w:sz w:val="22"/>
                <w:szCs w:val="22"/>
                <w:vertAlign w:val="subscript"/>
              </w:rPr>
              <w:t>j</w:t>
            </w:r>
            <w:proofErr w:type="spellEnd"/>
          </w:p>
        </w:tc>
        <w:tc>
          <w:tcPr>
            <w:tcW w:w="808" w:type="pct"/>
            <w:tcMar>
              <w:top w:w="68" w:type="dxa"/>
              <w:left w:w="68" w:type="dxa"/>
              <w:bottom w:w="68" w:type="dxa"/>
              <w:right w:w="68" w:type="dxa"/>
            </w:tcMar>
          </w:tcPr>
          <w:p w14:paraId="1A983DCF" w14:textId="77777777" w:rsidR="00FA6F10" w:rsidRPr="00630129" w:rsidRDefault="00FA6F10" w:rsidP="00993AE7">
            <w:pPr>
              <w:rPr>
                <w:sz w:val="22"/>
                <w:szCs w:val="22"/>
              </w:rPr>
            </w:pPr>
            <w:r w:rsidRPr="00630129">
              <w:rPr>
                <w:sz w:val="22"/>
                <w:szCs w:val="22"/>
              </w:rPr>
              <w:t>£/MWh</w:t>
            </w:r>
          </w:p>
        </w:tc>
        <w:tc>
          <w:tcPr>
            <w:tcW w:w="2626" w:type="pct"/>
            <w:tcMar>
              <w:top w:w="68" w:type="dxa"/>
              <w:left w:w="68" w:type="dxa"/>
              <w:bottom w:w="68" w:type="dxa"/>
              <w:right w:w="68" w:type="dxa"/>
            </w:tcMar>
          </w:tcPr>
          <w:p w14:paraId="5D8800B2" w14:textId="77777777" w:rsidR="00FA6F10" w:rsidRPr="00630129" w:rsidRDefault="00FA6F10" w:rsidP="00993AE7">
            <w:pPr>
              <w:rPr>
                <w:sz w:val="22"/>
                <w:szCs w:val="22"/>
              </w:rPr>
            </w:pPr>
            <w:r w:rsidRPr="00630129">
              <w:rPr>
                <w:sz w:val="22"/>
                <w:szCs w:val="22"/>
              </w:rPr>
              <w:t xml:space="preserve">Sell Price </w:t>
            </w:r>
            <w:proofErr w:type="spellStart"/>
            <w:r w:rsidRPr="00630129">
              <w:rPr>
                <w:sz w:val="22"/>
                <w:szCs w:val="22"/>
              </w:rPr>
              <w:t>Price</w:t>
            </w:r>
            <w:proofErr w:type="spellEnd"/>
            <w:r w:rsidRPr="00630129">
              <w:rPr>
                <w:sz w:val="22"/>
                <w:szCs w:val="22"/>
              </w:rPr>
              <w:t xml:space="preserve"> Adjustment</w:t>
            </w:r>
          </w:p>
        </w:tc>
      </w:tr>
      <w:tr w:rsidR="00FA6F10" w:rsidRPr="00630129" w14:paraId="23D9216F" w14:textId="77777777">
        <w:tc>
          <w:tcPr>
            <w:tcW w:w="1566" w:type="pct"/>
            <w:tcMar>
              <w:top w:w="68" w:type="dxa"/>
              <w:left w:w="68" w:type="dxa"/>
              <w:bottom w:w="68" w:type="dxa"/>
              <w:right w:w="68" w:type="dxa"/>
            </w:tcMar>
          </w:tcPr>
          <w:p w14:paraId="2E13B571" w14:textId="77777777" w:rsidR="00FA6F10" w:rsidRPr="00630129" w:rsidRDefault="00FA6F10" w:rsidP="00993AE7">
            <w:pPr>
              <w:rPr>
                <w:sz w:val="22"/>
                <w:szCs w:val="22"/>
              </w:rPr>
            </w:pPr>
            <w:proofErr w:type="spellStart"/>
            <w:r w:rsidRPr="00630129">
              <w:rPr>
                <w:sz w:val="22"/>
                <w:szCs w:val="22"/>
              </w:rPr>
              <w:t>SPBMEI</w:t>
            </w:r>
            <w:r w:rsidRPr="00630129">
              <w:rPr>
                <w:sz w:val="22"/>
                <w:szCs w:val="22"/>
                <w:vertAlign w:val="subscript"/>
              </w:rPr>
              <w:t>aij</w:t>
            </w:r>
            <w:proofErr w:type="spellEnd"/>
          </w:p>
        </w:tc>
        <w:tc>
          <w:tcPr>
            <w:tcW w:w="808" w:type="pct"/>
            <w:tcMar>
              <w:top w:w="68" w:type="dxa"/>
              <w:left w:w="68" w:type="dxa"/>
              <w:bottom w:w="68" w:type="dxa"/>
              <w:right w:w="68" w:type="dxa"/>
            </w:tcMar>
          </w:tcPr>
          <w:p w14:paraId="45247FED" w14:textId="77777777" w:rsidR="00FA6F10" w:rsidRPr="00630129" w:rsidRDefault="00FA6F10" w:rsidP="00993AE7">
            <w:pPr>
              <w:rPr>
                <w:sz w:val="22"/>
                <w:szCs w:val="22"/>
              </w:rPr>
            </w:pPr>
            <w:r w:rsidRPr="00630129">
              <w:rPr>
                <w:sz w:val="22"/>
                <w:szCs w:val="22"/>
              </w:rPr>
              <w:t>MWh</w:t>
            </w:r>
          </w:p>
        </w:tc>
        <w:tc>
          <w:tcPr>
            <w:tcW w:w="2626" w:type="pct"/>
            <w:tcMar>
              <w:top w:w="68" w:type="dxa"/>
              <w:left w:w="68" w:type="dxa"/>
              <w:bottom w:w="68" w:type="dxa"/>
              <w:right w:w="68" w:type="dxa"/>
            </w:tcMar>
          </w:tcPr>
          <w:p w14:paraId="244C72B4" w14:textId="77777777" w:rsidR="00FA6F10" w:rsidRPr="00630129" w:rsidRDefault="00FA6F10" w:rsidP="00993AE7">
            <w:pPr>
              <w:rPr>
                <w:sz w:val="22"/>
                <w:szCs w:val="22"/>
              </w:rPr>
            </w:pPr>
            <w:r w:rsidRPr="00630129">
              <w:rPr>
                <w:sz w:val="22"/>
                <w:szCs w:val="22"/>
              </w:rPr>
              <w:t>Settlement Period BM Unit Energy Indebtedness</w:t>
            </w:r>
          </w:p>
        </w:tc>
      </w:tr>
      <w:tr w:rsidR="00FA6F10" w:rsidRPr="00630129" w14:paraId="7E19EAF7" w14:textId="77777777">
        <w:tc>
          <w:tcPr>
            <w:tcW w:w="1566" w:type="pct"/>
            <w:tcMar>
              <w:top w:w="68" w:type="dxa"/>
              <w:left w:w="68" w:type="dxa"/>
              <w:bottom w:w="68" w:type="dxa"/>
              <w:right w:w="68" w:type="dxa"/>
            </w:tcMar>
          </w:tcPr>
          <w:p w14:paraId="5BE46215" w14:textId="77777777" w:rsidR="00FA6F10" w:rsidRPr="00630129" w:rsidRDefault="00FA6F10" w:rsidP="00993AE7">
            <w:pPr>
              <w:rPr>
                <w:sz w:val="22"/>
                <w:szCs w:val="22"/>
              </w:rPr>
            </w:pPr>
            <w:r w:rsidRPr="00630129">
              <w:rPr>
                <w:sz w:val="22"/>
                <w:szCs w:val="22"/>
              </w:rPr>
              <w:t>SPD</w:t>
            </w:r>
          </w:p>
        </w:tc>
        <w:tc>
          <w:tcPr>
            <w:tcW w:w="808" w:type="pct"/>
            <w:tcMar>
              <w:top w:w="68" w:type="dxa"/>
              <w:left w:w="68" w:type="dxa"/>
              <w:bottom w:w="68" w:type="dxa"/>
              <w:right w:w="68" w:type="dxa"/>
            </w:tcMar>
          </w:tcPr>
          <w:p w14:paraId="6393B9C3" w14:textId="77777777" w:rsidR="00FA6F10" w:rsidRPr="00630129" w:rsidRDefault="00FA6F10" w:rsidP="00993AE7">
            <w:pPr>
              <w:rPr>
                <w:sz w:val="22"/>
                <w:szCs w:val="22"/>
              </w:rPr>
            </w:pPr>
            <w:r w:rsidRPr="00630129">
              <w:rPr>
                <w:sz w:val="22"/>
                <w:szCs w:val="22"/>
              </w:rPr>
              <w:t>h</w:t>
            </w:r>
          </w:p>
        </w:tc>
        <w:tc>
          <w:tcPr>
            <w:tcW w:w="2626" w:type="pct"/>
            <w:tcMar>
              <w:top w:w="68" w:type="dxa"/>
              <w:left w:w="68" w:type="dxa"/>
              <w:bottom w:w="68" w:type="dxa"/>
              <w:right w:w="68" w:type="dxa"/>
            </w:tcMar>
          </w:tcPr>
          <w:p w14:paraId="354A4A87" w14:textId="77777777" w:rsidR="00FA6F10" w:rsidRPr="00630129" w:rsidRDefault="00FA6F10" w:rsidP="00993AE7">
            <w:pPr>
              <w:rPr>
                <w:sz w:val="22"/>
                <w:szCs w:val="22"/>
              </w:rPr>
            </w:pPr>
            <w:r w:rsidRPr="00630129">
              <w:rPr>
                <w:sz w:val="22"/>
                <w:szCs w:val="22"/>
              </w:rPr>
              <w:t>Settlement Period Duration</w:t>
            </w:r>
          </w:p>
        </w:tc>
      </w:tr>
      <w:tr w:rsidR="00FA6F10" w:rsidRPr="00630129" w14:paraId="537C716D" w14:textId="77777777">
        <w:tc>
          <w:tcPr>
            <w:tcW w:w="1566" w:type="pct"/>
            <w:tcMar>
              <w:top w:w="68" w:type="dxa"/>
              <w:left w:w="68" w:type="dxa"/>
              <w:bottom w:w="68" w:type="dxa"/>
              <w:right w:w="68" w:type="dxa"/>
            </w:tcMar>
          </w:tcPr>
          <w:p w14:paraId="43580256" w14:textId="77777777" w:rsidR="00FA6F10" w:rsidRPr="00630129" w:rsidRDefault="00FA6F10" w:rsidP="00993AE7">
            <w:pPr>
              <w:rPr>
                <w:sz w:val="22"/>
                <w:szCs w:val="22"/>
              </w:rPr>
            </w:pPr>
            <w:r w:rsidRPr="00630129">
              <w:rPr>
                <w:sz w:val="22"/>
                <w:szCs w:val="22"/>
              </w:rPr>
              <w:t>SP</w:t>
            </w:r>
            <w:r w:rsidRPr="00630129">
              <w:rPr>
                <w:sz w:val="22"/>
                <w:szCs w:val="22"/>
                <w:vertAlign w:val="subscript"/>
              </w:rPr>
              <w:t>iji2</w:t>
            </w:r>
          </w:p>
        </w:tc>
        <w:tc>
          <w:tcPr>
            <w:tcW w:w="808" w:type="pct"/>
            <w:tcMar>
              <w:top w:w="68" w:type="dxa"/>
              <w:left w:w="68" w:type="dxa"/>
              <w:bottom w:w="68" w:type="dxa"/>
              <w:right w:w="68" w:type="dxa"/>
            </w:tcMar>
          </w:tcPr>
          <w:p w14:paraId="225E79C8" w14:textId="77777777" w:rsidR="00FA6F10" w:rsidRPr="00630129" w:rsidRDefault="00FA6F10" w:rsidP="00993AE7">
            <w:pPr>
              <w:rPr>
                <w:sz w:val="22"/>
                <w:szCs w:val="22"/>
              </w:rPr>
            </w:pPr>
            <w:r w:rsidRPr="00630129">
              <w:rPr>
                <w:sz w:val="22"/>
                <w:szCs w:val="22"/>
              </w:rPr>
              <w:t>MWh</w:t>
            </w:r>
          </w:p>
        </w:tc>
        <w:tc>
          <w:tcPr>
            <w:tcW w:w="2626" w:type="pct"/>
            <w:tcMar>
              <w:top w:w="68" w:type="dxa"/>
              <w:left w:w="68" w:type="dxa"/>
              <w:bottom w:w="68" w:type="dxa"/>
              <w:right w:w="68" w:type="dxa"/>
            </w:tcMar>
          </w:tcPr>
          <w:p w14:paraId="1D72ADA6" w14:textId="77777777" w:rsidR="00FA6F10" w:rsidRPr="00630129" w:rsidRDefault="00FA6F10" w:rsidP="00993AE7">
            <w:pPr>
              <w:rPr>
                <w:sz w:val="22"/>
                <w:szCs w:val="22"/>
              </w:rPr>
            </w:pPr>
            <w:r w:rsidRPr="00630129">
              <w:rPr>
                <w:sz w:val="22"/>
                <w:szCs w:val="22"/>
              </w:rPr>
              <w:t>Period Secondary BM Unit Delivered Proportion</w:t>
            </w:r>
          </w:p>
        </w:tc>
      </w:tr>
      <w:tr w:rsidR="00FA6F10" w:rsidRPr="00630129" w14:paraId="30A1BEDC" w14:textId="77777777">
        <w:tc>
          <w:tcPr>
            <w:tcW w:w="1566" w:type="pct"/>
            <w:tcMar>
              <w:top w:w="68" w:type="dxa"/>
              <w:left w:w="68" w:type="dxa"/>
              <w:bottom w:w="68" w:type="dxa"/>
              <w:right w:w="68" w:type="dxa"/>
            </w:tcMar>
          </w:tcPr>
          <w:p w14:paraId="68183E4F" w14:textId="77777777" w:rsidR="00FA6F10" w:rsidRPr="00630129" w:rsidRDefault="00FA6F10" w:rsidP="00993AE7">
            <w:pPr>
              <w:rPr>
                <w:sz w:val="22"/>
                <w:szCs w:val="22"/>
              </w:rPr>
            </w:pPr>
            <w:r w:rsidRPr="00630129">
              <w:rPr>
                <w:sz w:val="22"/>
                <w:szCs w:val="22"/>
              </w:rPr>
              <w:lastRenderedPageBreak/>
              <w:t>SPLD</w:t>
            </w:r>
          </w:p>
        </w:tc>
        <w:tc>
          <w:tcPr>
            <w:tcW w:w="808" w:type="pct"/>
            <w:tcMar>
              <w:top w:w="68" w:type="dxa"/>
              <w:left w:w="68" w:type="dxa"/>
              <w:bottom w:w="68" w:type="dxa"/>
              <w:right w:w="68" w:type="dxa"/>
            </w:tcMar>
          </w:tcPr>
          <w:p w14:paraId="051B4321" w14:textId="77777777" w:rsidR="00FA6F10" w:rsidRPr="00630129" w:rsidRDefault="00FA6F10" w:rsidP="00993AE7">
            <w:pPr>
              <w:rPr>
                <w:sz w:val="22"/>
                <w:szCs w:val="22"/>
              </w:rPr>
            </w:pPr>
            <w:r w:rsidRPr="00630129">
              <w:rPr>
                <w:sz w:val="22"/>
                <w:szCs w:val="22"/>
              </w:rPr>
              <w:t>MW</w:t>
            </w:r>
          </w:p>
        </w:tc>
        <w:tc>
          <w:tcPr>
            <w:tcW w:w="2626" w:type="pct"/>
            <w:tcMar>
              <w:top w:w="68" w:type="dxa"/>
              <w:left w:w="68" w:type="dxa"/>
              <w:bottom w:w="68" w:type="dxa"/>
              <w:right w:w="68" w:type="dxa"/>
            </w:tcMar>
          </w:tcPr>
          <w:p w14:paraId="01EB0815" w14:textId="77777777" w:rsidR="00FA6F10" w:rsidRPr="00630129" w:rsidRDefault="00FA6F10" w:rsidP="00993AE7">
            <w:pPr>
              <w:rPr>
                <w:sz w:val="22"/>
                <w:szCs w:val="22"/>
              </w:rPr>
            </w:pPr>
            <w:r w:rsidRPr="00630129">
              <w:rPr>
                <w:sz w:val="22"/>
                <w:szCs w:val="22"/>
              </w:rPr>
              <w:t>Surplus (daily value)</w:t>
            </w:r>
          </w:p>
        </w:tc>
      </w:tr>
      <w:tr w:rsidR="00FA6F10" w:rsidRPr="00630129" w14:paraId="198C921B" w14:textId="77777777">
        <w:tc>
          <w:tcPr>
            <w:tcW w:w="1566" w:type="pct"/>
            <w:tcMar>
              <w:top w:w="68" w:type="dxa"/>
              <w:left w:w="68" w:type="dxa"/>
              <w:bottom w:w="68" w:type="dxa"/>
              <w:right w:w="68" w:type="dxa"/>
            </w:tcMar>
          </w:tcPr>
          <w:p w14:paraId="4823BE5D" w14:textId="77777777" w:rsidR="00FA6F10" w:rsidRPr="00630129" w:rsidRDefault="00FA6F10" w:rsidP="00993AE7">
            <w:pPr>
              <w:rPr>
                <w:sz w:val="22"/>
                <w:szCs w:val="22"/>
              </w:rPr>
            </w:pPr>
            <w:r w:rsidRPr="00630129">
              <w:rPr>
                <w:sz w:val="22"/>
                <w:szCs w:val="22"/>
              </w:rPr>
              <w:t>SPLW</w:t>
            </w:r>
          </w:p>
        </w:tc>
        <w:tc>
          <w:tcPr>
            <w:tcW w:w="808" w:type="pct"/>
            <w:tcMar>
              <w:top w:w="68" w:type="dxa"/>
              <w:left w:w="68" w:type="dxa"/>
              <w:bottom w:w="68" w:type="dxa"/>
              <w:right w:w="68" w:type="dxa"/>
            </w:tcMar>
          </w:tcPr>
          <w:p w14:paraId="1E4AC85C" w14:textId="77777777" w:rsidR="00FA6F10" w:rsidRPr="00630129" w:rsidRDefault="00FA6F10" w:rsidP="00993AE7">
            <w:pPr>
              <w:rPr>
                <w:sz w:val="22"/>
                <w:szCs w:val="22"/>
              </w:rPr>
            </w:pPr>
            <w:r w:rsidRPr="00630129">
              <w:rPr>
                <w:sz w:val="22"/>
                <w:szCs w:val="22"/>
              </w:rPr>
              <w:t>MW</w:t>
            </w:r>
          </w:p>
        </w:tc>
        <w:tc>
          <w:tcPr>
            <w:tcW w:w="2626" w:type="pct"/>
            <w:tcMar>
              <w:top w:w="68" w:type="dxa"/>
              <w:left w:w="68" w:type="dxa"/>
              <w:bottom w:w="68" w:type="dxa"/>
              <w:right w:w="68" w:type="dxa"/>
            </w:tcMar>
          </w:tcPr>
          <w:p w14:paraId="35F52B58" w14:textId="77777777" w:rsidR="00FA6F10" w:rsidRPr="00630129" w:rsidRDefault="00FA6F10" w:rsidP="00993AE7">
            <w:pPr>
              <w:rPr>
                <w:sz w:val="22"/>
                <w:szCs w:val="22"/>
              </w:rPr>
            </w:pPr>
            <w:r w:rsidRPr="00630129">
              <w:rPr>
                <w:sz w:val="22"/>
                <w:szCs w:val="22"/>
              </w:rPr>
              <w:t>Surplus (weekly value)</w:t>
            </w:r>
          </w:p>
        </w:tc>
      </w:tr>
      <w:tr w:rsidR="00FA6F10" w:rsidRPr="00630129" w14:paraId="25167FE4" w14:textId="77777777">
        <w:tc>
          <w:tcPr>
            <w:tcW w:w="1566" w:type="pct"/>
            <w:tcMar>
              <w:top w:w="68" w:type="dxa"/>
              <w:left w:w="68" w:type="dxa"/>
              <w:bottom w:w="68" w:type="dxa"/>
              <w:right w:w="68" w:type="dxa"/>
            </w:tcMar>
          </w:tcPr>
          <w:p w14:paraId="40CDE60F" w14:textId="77777777" w:rsidR="00FA6F10" w:rsidRPr="00630129" w:rsidRDefault="00FA6F10" w:rsidP="00993AE7">
            <w:pPr>
              <w:rPr>
                <w:sz w:val="22"/>
                <w:szCs w:val="22"/>
              </w:rPr>
            </w:pPr>
            <w:proofErr w:type="spellStart"/>
            <w:r w:rsidRPr="00630129">
              <w:rPr>
                <w:sz w:val="22"/>
                <w:szCs w:val="22"/>
              </w:rPr>
              <w:t>SSP</w:t>
            </w:r>
            <w:r w:rsidRPr="00630129">
              <w:rPr>
                <w:sz w:val="22"/>
                <w:szCs w:val="22"/>
                <w:vertAlign w:val="subscript"/>
              </w:rPr>
              <w:t>j</w:t>
            </w:r>
            <w:proofErr w:type="spellEnd"/>
          </w:p>
        </w:tc>
        <w:tc>
          <w:tcPr>
            <w:tcW w:w="808" w:type="pct"/>
            <w:tcMar>
              <w:top w:w="68" w:type="dxa"/>
              <w:left w:w="68" w:type="dxa"/>
              <w:bottom w:w="68" w:type="dxa"/>
              <w:right w:w="68" w:type="dxa"/>
            </w:tcMar>
          </w:tcPr>
          <w:p w14:paraId="35FF9588" w14:textId="77777777" w:rsidR="00FA6F10" w:rsidRPr="00630129" w:rsidRDefault="00FA6F10" w:rsidP="00993AE7">
            <w:pPr>
              <w:rPr>
                <w:sz w:val="22"/>
                <w:szCs w:val="22"/>
              </w:rPr>
            </w:pPr>
            <w:r w:rsidRPr="00630129">
              <w:rPr>
                <w:sz w:val="22"/>
                <w:szCs w:val="22"/>
              </w:rPr>
              <w:t>£/MWh</w:t>
            </w:r>
          </w:p>
        </w:tc>
        <w:tc>
          <w:tcPr>
            <w:tcW w:w="2626" w:type="pct"/>
            <w:tcMar>
              <w:top w:w="68" w:type="dxa"/>
              <w:left w:w="68" w:type="dxa"/>
              <w:bottom w:w="68" w:type="dxa"/>
              <w:right w:w="68" w:type="dxa"/>
            </w:tcMar>
          </w:tcPr>
          <w:p w14:paraId="29185235" w14:textId="77777777" w:rsidR="00FA6F10" w:rsidRPr="00630129" w:rsidRDefault="00FA6F10" w:rsidP="00993AE7">
            <w:pPr>
              <w:rPr>
                <w:sz w:val="22"/>
                <w:szCs w:val="22"/>
              </w:rPr>
            </w:pPr>
            <w:r w:rsidRPr="00630129">
              <w:rPr>
                <w:sz w:val="22"/>
                <w:szCs w:val="22"/>
              </w:rPr>
              <w:t>System Sell Price</w:t>
            </w:r>
          </w:p>
        </w:tc>
      </w:tr>
      <w:tr w:rsidR="00FA6F10" w:rsidRPr="00630129" w14:paraId="18F859AF" w14:textId="77777777">
        <w:tc>
          <w:tcPr>
            <w:tcW w:w="1566" w:type="pct"/>
            <w:tcMar>
              <w:top w:w="68" w:type="dxa"/>
              <w:left w:w="68" w:type="dxa"/>
              <w:bottom w:w="68" w:type="dxa"/>
              <w:right w:w="68" w:type="dxa"/>
            </w:tcMar>
          </w:tcPr>
          <w:p w14:paraId="6B350FFD" w14:textId="77777777" w:rsidR="00FA6F10" w:rsidRPr="00630129" w:rsidRDefault="00FA6F10" w:rsidP="00993AE7">
            <w:pPr>
              <w:rPr>
                <w:sz w:val="22"/>
                <w:szCs w:val="22"/>
              </w:rPr>
            </w:pPr>
            <w:r w:rsidRPr="00630129">
              <w:rPr>
                <w:sz w:val="22"/>
                <w:szCs w:val="22"/>
              </w:rPr>
              <w:t>SSTPGPL</w:t>
            </w:r>
          </w:p>
        </w:tc>
        <w:tc>
          <w:tcPr>
            <w:tcW w:w="808" w:type="pct"/>
            <w:tcMar>
              <w:top w:w="68" w:type="dxa"/>
              <w:left w:w="68" w:type="dxa"/>
              <w:bottom w:w="68" w:type="dxa"/>
              <w:right w:w="68" w:type="dxa"/>
            </w:tcMar>
          </w:tcPr>
          <w:p w14:paraId="6DB345A8" w14:textId="77777777" w:rsidR="00FA6F10" w:rsidRPr="00630129" w:rsidRDefault="00FA6F10" w:rsidP="00993AE7">
            <w:pPr>
              <w:rPr>
                <w:sz w:val="22"/>
                <w:szCs w:val="22"/>
              </w:rPr>
            </w:pPr>
          </w:p>
        </w:tc>
        <w:tc>
          <w:tcPr>
            <w:tcW w:w="2626" w:type="pct"/>
            <w:tcMar>
              <w:top w:w="68" w:type="dxa"/>
              <w:left w:w="68" w:type="dxa"/>
              <w:bottom w:w="68" w:type="dxa"/>
              <w:right w:w="68" w:type="dxa"/>
            </w:tcMar>
          </w:tcPr>
          <w:p w14:paraId="11843BD7" w14:textId="77777777" w:rsidR="00FA6F10" w:rsidRPr="00630129" w:rsidRDefault="00FA6F10" w:rsidP="00993AE7">
            <w:pPr>
              <w:rPr>
                <w:sz w:val="22"/>
                <w:szCs w:val="22"/>
              </w:rPr>
            </w:pPr>
            <w:r w:rsidRPr="00630129">
              <w:rPr>
                <w:sz w:val="22"/>
                <w:szCs w:val="22"/>
              </w:rPr>
              <w:t>Small Scale Third Party Generating Plant Limit</w:t>
            </w:r>
          </w:p>
        </w:tc>
      </w:tr>
      <w:tr w:rsidR="00FA6F10" w:rsidRPr="00630129" w14:paraId="351E1CEA"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0A95595B" w14:textId="77777777" w:rsidR="00FA6F10" w:rsidRPr="00630129" w:rsidRDefault="00FA6F10" w:rsidP="00993AE7">
            <w:pPr>
              <w:rPr>
                <w:sz w:val="22"/>
                <w:szCs w:val="22"/>
              </w:rPr>
            </w:pPr>
            <w:proofErr w:type="spellStart"/>
            <w:r w:rsidRPr="00630129">
              <w:rPr>
                <w:sz w:val="22"/>
                <w:szCs w:val="22"/>
              </w:rPr>
              <w:t>STAP</w:t>
            </w:r>
            <w:r w:rsidRPr="00630129">
              <w:rPr>
                <w:sz w:val="22"/>
                <w:szCs w:val="22"/>
                <w:vertAlign w:val="superscript"/>
              </w:rPr>
              <w:t>t</w:t>
            </w:r>
            <w:r w:rsidRPr="00630129">
              <w:rPr>
                <w:sz w:val="22"/>
                <w:szCs w:val="22"/>
                <w:vertAlign w:val="subscript"/>
              </w:rPr>
              <w:t>j</w:t>
            </w:r>
            <w:proofErr w:type="spellEnd"/>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1E91B62D" w14:textId="77777777" w:rsidR="00FA6F10" w:rsidRPr="00630129" w:rsidRDefault="00FA6F10" w:rsidP="00993AE7">
            <w:pPr>
              <w:rPr>
                <w:sz w:val="22"/>
                <w:szCs w:val="22"/>
              </w:rPr>
            </w:pPr>
            <w:r w:rsidRPr="00630129">
              <w:rPr>
                <w:sz w:val="22"/>
                <w:szCs w:val="22"/>
              </w:rPr>
              <w:t>£/MWh</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5706A613" w14:textId="77777777" w:rsidR="00FA6F10" w:rsidRPr="00630129" w:rsidRDefault="00FA6F10" w:rsidP="00993AE7">
            <w:pPr>
              <w:rPr>
                <w:sz w:val="22"/>
                <w:szCs w:val="22"/>
              </w:rPr>
            </w:pPr>
            <w:r w:rsidRPr="00630129">
              <w:rPr>
                <w:sz w:val="22"/>
                <w:szCs w:val="22"/>
              </w:rPr>
              <w:t>STOR Action Price</w:t>
            </w:r>
          </w:p>
        </w:tc>
      </w:tr>
      <w:tr w:rsidR="00FA6F10" w:rsidRPr="00630129" w14:paraId="131BAE8F" w14:textId="77777777">
        <w:tc>
          <w:tcPr>
            <w:tcW w:w="1566" w:type="pct"/>
            <w:tcMar>
              <w:top w:w="68" w:type="dxa"/>
              <w:left w:w="68" w:type="dxa"/>
              <w:bottom w:w="68" w:type="dxa"/>
              <w:right w:w="68" w:type="dxa"/>
            </w:tcMar>
          </w:tcPr>
          <w:p w14:paraId="5F481A11" w14:textId="77777777" w:rsidR="00FA6F10" w:rsidRPr="00630129" w:rsidRDefault="00FA6F10" w:rsidP="00993AE7">
            <w:pPr>
              <w:rPr>
                <w:sz w:val="22"/>
                <w:szCs w:val="22"/>
              </w:rPr>
            </w:pPr>
            <w:proofErr w:type="spellStart"/>
            <w:r w:rsidRPr="00630129">
              <w:rPr>
                <w:sz w:val="22"/>
                <w:szCs w:val="22"/>
              </w:rPr>
              <w:t>TCBM</w:t>
            </w:r>
            <w:r w:rsidRPr="00630129">
              <w:rPr>
                <w:sz w:val="22"/>
                <w:szCs w:val="22"/>
                <w:vertAlign w:val="subscript"/>
              </w:rPr>
              <w:t>j</w:t>
            </w:r>
            <w:proofErr w:type="spellEnd"/>
          </w:p>
        </w:tc>
        <w:tc>
          <w:tcPr>
            <w:tcW w:w="808" w:type="pct"/>
            <w:tcMar>
              <w:top w:w="68" w:type="dxa"/>
              <w:left w:w="68" w:type="dxa"/>
              <w:bottom w:w="68" w:type="dxa"/>
              <w:right w:w="68" w:type="dxa"/>
            </w:tcMar>
          </w:tcPr>
          <w:p w14:paraId="6C1CEEF1" w14:textId="77777777" w:rsidR="00FA6F10" w:rsidRPr="00630129" w:rsidRDefault="00FA6F10" w:rsidP="00993AE7">
            <w:pPr>
              <w:rPr>
                <w:sz w:val="22"/>
                <w:szCs w:val="22"/>
              </w:rPr>
            </w:pPr>
            <w:r w:rsidRPr="00630129">
              <w:rPr>
                <w:sz w:val="22"/>
                <w:szCs w:val="22"/>
              </w:rPr>
              <w:t>£</w:t>
            </w:r>
          </w:p>
        </w:tc>
        <w:tc>
          <w:tcPr>
            <w:tcW w:w="2626" w:type="pct"/>
            <w:tcMar>
              <w:top w:w="68" w:type="dxa"/>
              <w:left w:w="68" w:type="dxa"/>
              <w:bottom w:w="68" w:type="dxa"/>
              <w:right w:w="68" w:type="dxa"/>
            </w:tcMar>
          </w:tcPr>
          <w:p w14:paraId="2D077B8D" w14:textId="77777777" w:rsidR="00FA6F10" w:rsidRPr="00630129" w:rsidRDefault="00FA6F10" w:rsidP="00993AE7">
            <w:pPr>
              <w:rPr>
                <w:sz w:val="22"/>
                <w:szCs w:val="22"/>
              </w:rPr>
            </w:pPr>
            <w:r w:rsidRPr="00630129">
              <w:rPr>
                <w:sz w:val="22"/>
                <w:szCs w:val="22"/>
              </w:rPr>
              <w:t xml:space="preserve">Total System BM </w:t>
            </w:r>
            <w:proofErr w:type="spellStart"/>
            <w:r w:rsidRPr="00630129">
              <w:rPr>
                <w:sz w:val="22"/>
                <w:szCs w:val="22"/>
              </w:rPr>
              <w:t>Cashflow</w:t>
            </w:r>
            <w:proofErr w:type="spellEnd"/>
          </w:p>
        </w:tc>
      </w:tr>
      <w:tr w:rsidR="00FA6F10" w:rsidRPr="00630129" w14:paraId="33090FE7" w14:textId="77777777">
        <w:tc>
          <w:tcPr>
            <w:tcW w:w="1566" w:type="pct"/>
            <w:tcMar>
              <w:top w:w="68" w:type="dxa"/>
              <w:left w:w="68" w:type="dxa"/>
              <w:bottom w:w="68" w:type="dxa"/>
              <w:right w:w="68" w:type="dxa"/>
            </w:tcMar>
          </w:tcPr>
          <w:p w14:paraId="280471BA" w14:textId="77777777" w:rsidR="00FA6F10" w:rsidRPr="00630129" w:rsidRDefault="00FA6F10" w:rsidP="00993AE7">
            <w:pPr>
              <w:rPr>
                <w:sz w:val="22"/>
                <w:szCs w:val="22"/>
              </w:rPr>
            </w:pPr>
            <w:proofErr w:type="spellStart"/>
            <w:r w:rsidRPr="00630129">
              <w:rPr>
                <w:sz w:val="22"/>
                <w:szCs w:val="22"/>
              </w:rPr>
              <w:t>TCEI</w:t>
            </w:r>
            <w:r w:rsidRPr="00630129">
              <w:rPr>
                <w:sz w:val="22"/>
                <w:szCs w:val="22"/>
                <w:vertAlign w:val="subscript"/>
              </w:rPr>
              <w:t>j</w:t>
            </w:r>
            <w:proofErr w:type="spellEnd"/>
          </w:p>
        </w:tc>
        <w:tc>
          <w:tcPr>
            <w:tcW w:w="808" w:type="pct"/>
            <w:tcMar>
              <w:top w:w="68" w:type="dxa"/>
              <w:left w:w="68" w:type="dxa"/>
              <w:bottom w:w="68" w:type="dxa"/>
              <w:right w:w="68" w:type="dxa"/>
            </w:tcMar>
          </w:tcPr>
          <w:p w14:paraId="4D8BB4E0" w14:textId="77777777" w:rsidR="00FA6F10" w:rsidRPr="00630129" w:rsidRDefault="00FA6F10" w:rsidP="00993AE7">
            <w:pPr>
              <w:rPr>
                <w:sz w:val="22"/>
                <w:szCs w:val="22"/>
              </w:rPr>
            </w:pPr>
            <w:r w:rsidRPr="00630129">
              <w:rPr>
                <w:sz w:val="22"/>
                <w:szCs w:val="22"/>
              </w:rPr>
              <w:t>£</w:t>
            </w:r>
          </w:p>
        </w:tc>
        <w:tc>
          <w:tcPr>
            <w:tcW w:w="2626" w:type="pct"/>
            <w:tcMar>
              <w:top w:w="68" w:type="dxa"/>
              <w:left w:w="68" w:type="dxa"/>
              <w:bottom w:w="68" w:type="dxa"/>
              <w:right w:w="68" w:type="dxa"/>
            </w:tcMar>
          </w:tcPr>
          <w:p w14:paraId="03A6DA15" w14:textId="77777777" w:rsidR="00FA6F10" w:rsidRPr="00630129" w:rsidRDefault="00FA6F10" w:rsidP="00993AE7">
            <w:pPr>
              <w:rPr>
                <w:sz w:val="22"/>
                <w:szCs w:val="22"/>
              </w:rPr>
            </w:pPr>
            <w:r w:rsidRPr="00630129">
              <w:rPr>
                <w:sz w:val="22"/>
                <w:szCs w:val="22"/>
              </w:rPr>
              <w:t xml:space="preserve">Total System Energy Imbalance </w:t>
            </w:r>
            <w:proofErr w:type="spellStart"/>
            <w:r w:rsidRPr="00630129">
              <w:rPr>
                <w:sz w:val="22"/>
                <w:szCs w:val="22"/>
              </w:rPr>
              <w:t>Cashflow</w:t>
            </w:r>
            <w:proofErr w:type="spellEnd"/>
          </w:p>
        </w:tc>
      </w:tr>
      <w:tr w:rsidR="00FA6F10" w:rsidRPr="00630129" w14:paraId="0F46F44E" w14:textId="77777777">
        <w:tc>
          <w:tcPr>
            <w:tcW w:w="1566" w:type="pct"/>
            <w:tcMar>
              <w:top w:w="68" w:type="dxa"/>
              <w:left w:w="68" w:type="dxa"/>
              <w:bottom w:w="68" w:type="dxa"/>
              <w:right w:w="68" w:type="dxa"/>
            </w:tcMar>
          </w:tcPr>
          <w:p w14:paraId="7DB3D433" w14:textId="77777777" w:rsidR="00FA6F10" w:rsidRPr="00630129" w:rsidRDefault="00FA6F10" w:rsidP="00993AE7">
            <w:pPr>
              <w:rPr>
                <w:sz w:val="22"/>
                <w:szCs w:val="22"/>
              </w:rPr>
            </w:pPr>
            <w:proofErr w:type="spellStart"/>
            <w:r w:rsidRPr="00630129">
              <w:rPr>
                <w:sz w:val="22"/>
                <w:szCs w:val="22"/>
              </w:rPr>
              <w:t>TCII</w:t>
            </w:r>
            <w:r w:rsidRPr="00630129">
              <w:rPr>
                <w:sz w:val="22"/>
                <w:szCs w:val="22"/>
                <w:vertAlign w:val="subscript"/>
              </w:rPr>
              <w:t>j</w:t>
            </w:r>
            <w:proofErr w:type="spellEnd"/>
          </w:p>
        </w:tc>
        <w:tc>
          <w:tcPr>
            <w:tcW w:w="808" w:type="pct"/>
            <w:tcMar>
              <w:top w:w="68" w:type="dxa"/>
              <w:left w:w="68" w:type="dxa"/>
              <w:bottom w:w="68" w:type="dxa"/>
              <w:right w:w="68" w:type="dxa"/>
            </w:tcMar>
          </w:tcPr>
          <w:p w14:paraId="76E0AD13" w14:textId="77777777" w:rsidR="00FA6F10" w:rsidRPr="00630129" w:rsidRDefault="00FA6F10" w:rsidP="00993AE7">
            <w:pPr>
              <w:rPr>
                <w:sz w:val="22"/>
                <w:szCs w:val="22"/>
              </w:rPr>
            </w:pPr>
            <w:r w:rsidRPr="00630129">
              <w:rPr>
                <w:sz w:val="22"/>
                <w:szCs w:val="22"/>
              </w:rPr>
              <w:t>£</w:t>
            </w:r>
          </w:p>
        </w:tc>
        <w:tc>
          <w:tcPr>
            <w:tcW w:w="2626" w:type="pct"/>
            <w:tcMar>
              <w:top w:w="68" w:type="dxa"/>
              <w:left w:w="68" w:type="dxa"/>
              <w:bottom w:w="68" w:type="dxa"/>
              <w:right w:w="68" w:type="dxa"/>
            </w:tcMar>
          </w:tcPr>
          <w:p w14:paraId="245C982E" w14:textId="77777777" w:rsidR="00FA6F10" w:rsidRPr="00630129" w:rsidRDefault="00FA6F10" w:rsidP="00993AE7">
            <w:pPr>
              <w:rPr>
                <w:sz w:val="22"/>
                <w:szCs w:val="22"/>
              </w:rPr>
            </w:pPr>
            <w:r w:rsidRPr="00630129">
              <w:rPr>
                <w:sz w:val="22"/>
                <w:szCs w:val="22"/>
              </w:rPr>
              <w:t xml:space="preserve">Total System Information Imbalance Charge </w:t>
            </w:r>
          </w:p>
        </w:tc>
      </w:tr>
      <w:tr w:rsidR="00FA6F10" w:rsidRPr="00630129" w14:paraId="2FBD15BE" w14:textId="77777777">
        <w:tc>
          <w:tcPr>
            <w:tcW w:w="1566" w:type="pct"/>
            <w:tcMar>
              <w:top w:w="68" w:type="dxa"/>
              <w:left w:w="68" w:type="dxa"/>
              <w:bottom w:w="68" w:type="dxa"/>
              <w:right w:w="68" w:type="dxa"/>
            </w:tcMar>
          </w:tcPr>
          <w:p w14:paraId="301714C7" w14:textId="77777777" w:rsidR="00FA6F10" w:rsidRPr="00630129" w:rsidRDefault="00FA6F10" w:rsidP="00993AE7">
            <w:pPr>
              <w:rPr>
                <w:sz w:val="22"/>
                <w:szCs w:val="22"/>
              </w:rPr>
            </w:pPr>
            <w:proofErr w:type="spellStart"/>
            <w:r w:rsidRPr="00630129">
              <w:rPr>
                <w:sz w:val="22"/>
                <w:szCs w:val="22"/>
              </w:rPr>
              <w:t>TCND</w:t>
            </w:r>
            <w:r w:rsidRPr="00630129">
              <w:rPr>
                <w:sz w:val="22"/>
                <w:szCs w:val="22"/>
                <w:vertAlign w:val="subscript"/>
              </w:rPr>
              <w:t>j</w:t>
            </w:r>
            <w:proofErr w:type="spellEnd"/>
          </w:p>
        </w:tc>
        <w:tc>
          <w:tcPr>
            <w:tcW w:w="808" w:type="pct"/>
            <w:tcMar>
              <w:top w:w="68" w:type="dxa"/>
              <w:left w:w="68" w:type="dxa"/>
              <w:bottom w:w="68" w:type="dxa"/>
              <w:right w:w="68" w:type="dxa"/>
            </w:tcMar>
          </w:tcPr>
          <w:p w14:paraId="0084D1DD" w14:textId="77777777" w:rsidR="00FA6F10" w:rsidRPr="00630129" w:rsidRDefault="00FA6F10" w:rsidP="00993AE7">
            <w:pPr>
              <w:rPr>
                <w:sz w:val="22"/>
                <w:szCs w:val="22"/>
              </w:rPr>
            </w:pPr>
            <w:r w:rsidRPr="00630129">
              <w:rPr>
                <w:sz w:val="22"/>
                <w:szCs w:val="22"/>
              </w:rPr>
              <w:t>£</w:t>
            </w:r>
          </w:p>
        </w:tc>
        <w:tc>
          <w:tcPr>
            <w:tcW w:w="2626" w:type="pct"/>
            <w:tcMar>
              <w:top w:w="68" w:type="dxa"/>
              <w:left w:w="68" w:type="dxa"/>
              <w:bottom w:w="68" w:type="dxa"/>
              <w:right w:w="68" w:type="dxa"/>
            </w:tcMar>
          </w:tcPr>
          <w:p w14:paraId="0273CE46" w14:textId="77777777" w:rsidR="00FA6F10" w:rsidRPr="00630129" w:rsidRDefault="00FA6F10" w:rsidP="00993AE7">
            <w:pPr>
              <w:rPr>
                <w:sz w:val="22"/>
                <w:szCs w:val="22"/>
              </w:rPr>
            </w:pPr>
            <w:r w:rsidRPr="00630129">
              <w:rPr>
                <w:sz w:val="22"/>
                <w:szCs w:val="22"/>
              </w:rPr>
              <w:t>Total System Non-Delivery Charge</w:t>
            </w:r>
          </w:p>
        </w:tc>
      </w:tr>
      <w:tr w:rsidR="00FA6F10" w:rsidRPr="00630129" w14:paraId="54A5F7E5" w14:textId="77777777">
        <w:tc>
          <w:tcPr>
            <w:tcW w:w="1566" w:type="pct"/>
            <w:tcMar>
              <w:top w:w="68" w:type="dxa"/>
              <w:left w:w="68" w:type="dxa"/>
              <w:bottom w:w="68" w:type="dxa"/>
              <w:right w:w="68" w:type="dxa"/>
            </w:tcMar>
          </w:tcPr>
          <w:p w14:paraId="03F7F5DA" w14:textId="77777777" w:rsidR="00FA6F10" w:rsidRPr="00630129" w:rsidRDefault="00FA6F10" w:rsidP="00993AE7">
            <w:pPr>
              <w:rPr>
                <w:sz w:val="22"/>
                <w:szCs w:val="22"/>
              </w:rPr>
            </w:pPr>
            <w:proofErr w:type="spellStart"/>
            <w:r w:rsidRPr="00630129">
              <w:rPr>
                <w:sz w:val="22"/>
                <w:szCs w:val="22"/>
              </w:rPr>
              <w:t>TCRR</w:t>
            </w:r>
            <w:r w:rsidRPr="00630129">
              <w:rPr>
                <w:sz w:val="22"/>
                <w:szCs w:val="22"/>
                <w:vertAlign w:val="subscript"/>
              </w:rPr>
              <w:t>j</w:t>
            </w:r>
            <w:proofErr w:type="spellEnd"/>
          </w:p>
        </w:tc>
        <w:tc>
          <w:tcPr>
            <w:tcW w:w="808" w:type="pct"/>
            <w:tcMar>
              <w:top w:w="68" w:type="dxa"/>
              <w:left w:w="68" w:type="dxa"/>
              <w:bottom w:w="68" w:type="dxa"/>
              <w:right w:w="68" w:type="dxa"/>
            </w:tcMar>
          </w:tcPr>
          <w:p w14:paraId="5A9F4C87" w14:textId="77777777" w:rsidR="00FA6F10" w:rsidRPr="00630129" w:rsidRDefault="00FA6F10" w:rsidP="00993AE7">
            <w:pPr>
              <w:rPr>
                <w:sz w:val="22"/>
                <w:szCs w:val="22"/>
              </w:rPr>
            </w:pPr>
            <w:r w:rsidRPr="00630129">
              <w:rPr>
                <w:sz w:val="22"/>
                <w:szCs w:val="22"/>
              </w:rPr>
              <w:t>£</w:t>
            </w:r>
          </w:p>
        </w:tc>
        <w:tc>
          <w:tcPr>
            <w:tcW w:w="2626" w:type="pct"/>
            <w:tcMar>
              <w:top w:w="68" w:type="dxa"/>
              <w:left w:w="68" w:type="dxa"/>
              <w:bottom w:w="68" w:type="dxa"/>
              <w:right w:w="68" w:type="dxa"/>
            </w:tcMar>
          </w:tcPr>
          <w:p w14:paraId="2C47AC33" w14:textId="77777777" w:rsidR="00FA6F10" w:rsidRPr="00630129" w:rsidRDefault="00FA6F10" w:rsidP="00993AE7">
            <w:pPr>
              <w:rPr>
                <w:sz w:val="22"/>
                <w:szCs w:val="22"/>
              </w:rPr>
            </w:pPr>
            <w:r w:rsidRPr="00630129">
              <w:rPr>
                <w:sz w:val="22"/>
                <w:szCs w:val="22"/>
              </w:rPr>
              <w:t xml:space="preserve">Total System RR </w:t>
            </w:r>
            <w:proofErr w:type="spellStart"/>
            <w:r w:rsidRPr="00630129">
              <w:rPr>
                <w:sz w:val="22"/>
                <w:szCs w:val="22"/>
              </w:rPr>
              <w:t>Cashflow</w:t>
            </w:r>
            <w:proofErr w:type="spellEnd"/>
          </w:p>
        </w:tc>
      </w:tr>
      <w:tr w:rsidR="00FA6F10" w:rsidRPr="00630129" w14:paraId="7395C443" w14:textId="77777777">
        <w:tc>
          <w:tcPr>
            <w:tcW w:w="1566" w:type="pct"/>
            <w:tcMar>
              <w:top w:w="68" w:type="dxa"/>
              <w:left w:w="68" w:type="dxa"/>
              <w:bottom w:w="68" w:type="dxa"/>
              <w:right w:w="68" w:type="dxa"/>
            </w:tcMar>
          </w:tcPr>
          <w:p w14:paraId="7E23DE16" w14:textId="77777777" w:rsidR="00FA6F10" w:rsidRPr="00630129" w:rsidRDefault="00FA6F10" w:rsidP="00993AE7">
            <w:pPr>
              <w:rPr>
                <w:sz w:val="22"/>
                <w:szCs w:val="22"/>
              </w:rPr>
            </w:pPr>
            <w:proofErr w:type="spellStart"/>
            <w:r w:rsidRPr="00630129">
              <w:rPr>
                <w:sz w:val="22"/>
                <w:szCs w:val="22"/>
              </w:rPr>
              <w:t>TDSPB</w:t>
            </w:r>
            <w:r w:rsidRPr="00630129">
              <w:rPr>
                <w:sz w:val="22"/>
                <w:szCs w:val="22"/>
                <w:vertAlign w:val="subscript"/>
              </w:rPr>
              <w:t>ij</w:t>
            </w:r>
            <w:proofErr w:type="spellEnd"/>
          </w:p>
        </w:tc>
        <w:tc>
          <w:tcPr>
            <w:tcW w:w="808" w:type="pct"/>
            <w:tcMar>
              <w:top w:w="68" w:type="dxa"/>
              <w:left w:w="68" w:type="dxa"/>
              <w:bottom w:w="68" w:type="dxa"/>
              <w:right w:w="68" w:type="dxa"/>
            </w:tcMar>
          </w:tcPr>
          <w:p w14:paraId="410BE049" w14:textId="77777777" w:rsidR="00FA6F10" w:rsidRPr="00630129" w:rsidRDefault="00FA6F10" w:rsidP="00993AE7">
            <w:pPr>
              <w:rPr>
                <w:sz w:val="22"/>
                <w:szCs w:val="22"/>
              </w:rPr>
            </w:pPr>
            <w:r w:rsidRPr="00630129">
              <w:rPr>
                <w:sz w:val="22"/>
                <w:szCs w:val="22"/>
              </w:rPr>
              <w:t>MWh</w:t>
            </w:r>
          </w:p>
        </w:tc>
        <w:tc>
          <w:tcPr>
            <w:tcW w:w="2626" w:type="pct"/>
            <w:tcMar>
              <w:top w:w="68" w:type="dxa"/>
              <w:left w:w="68" w:type="dxa"/>
              <w:bottom w:w="68" w:type="dxa"/>
              <w:right w:w="68" w:type="dxa"/>
            </w:tcMar>
          </w:tcPr>
          <w:p w14:paraId="7FA838BE" w14:textId="77777777" w:rsidR="00FA6F10" w:rsidRPr="00630129" w:rsidRDefault="00FA6F10" w:rsidP="00993AE7">
            <w:pPr>
              <w:rPr>
                <w:sz w:val="22"/>
                <w:szCs w:val="22"/>
              </w:rPr>
            </w:pPr>
            <w:r w:rsidRPr="00630129">
              <w:rPr>
                <w:sz w:val="22"/>
                <w:szCs w:val="22"/>
              </w:rPr>
              <w:t>Total Period Deemed Standard Product Bid Volume</w:t>
            </w:r>
          </w:p>
        </w:tc>
      </w:tr>
      <w:tr w:rsidR="00FA6F10" w:rsidRPr="00630129" w14:paraId="733FF482" w14:textId="77777777">
        <w:tc>
          <w:tcPr>
            <w:tcW w:w="1566" w:type="pct"/>
            <w:tcMar>
              <w:top w:w="68" w:type="dxa"/>
              <w:left w:w="68" w:type="dxa"/>
              <w:bottom w:w="68" w:type="dxa"/>
              <w:right w:w="68" w:type="dxa"/>
            </w:tcMar>
          </w:tcPr>
          <w:p w14:paraId="53972644" w14:textId="77777777" w:rsidR="00FA6F10" w:rsidRPr="00630129" w:rsidRDefault="00FA6F10" w:rsidP="00993AE7">
            <w:pPr>
              <w:rPr>
                <w:sz w:val="22"/>
                <w:szCs w:val="22"/>
              </w:rPr>
            </w:pPr>
            <w:proofErr w:type="spellStart"/>
            <w:r w:rsidRPr="00630129">
              <w:rPr>
                <w:sz w:val="22"/>
                <w:szCs w:val="22"/>
              </w:rPr>
              <w:t>TDSPO</w:t>
            </w:r>
            <w:r w:rsidRPr="00630129">
              <w:rPr>
                <w:sz w:val="22"/>
                <w:szCs w:val="22"/>
                <w:vertAlign w:val="subscript"/>
              </w:rPr>
              <w:t>ij</w:t>
            </w:r>
            <w:proofErr w:type="spellEnd"/>
          </w:p>
        </w:tc>
        <w:tc>
          <w:tcPr>
            <w:tcW w:w="808" w:type="pct"/>
            <w:tcMar>
              <w:top w:w="68" w:type="dxa"/>
              <w:left w:w="68" w:type="dxa"/>
              <w:bottom w:w="68" w:type="dxa"/>
              <w:right w:w="68" w:type="dxa"/>
            </w:tcMar>
          </w:tcPr>
          <w:p w14:paraId="68A3D624" w14:textId="77777777" w:rsidR="00FA6F10" w:rsidRPr="00630129" w:rsidRDefault="00FA6F10" w:rsidP="00993AE7">
            <w:pPr>
              <w:rPr>
                <w:sz w:val="22"/>
                <w:szCs w:val="22"/>
              </w:rPr>
            </w:pPr>
            <w:r w:rsidRPr="00630129">
              <w:rPr>
                <w:sz w:val="22"/>
                <w:szCs w:val="22"/>
              </w:rPr>
              <w:t>MWh</w:t>
            </w:r>
          </w:p>
        </w:tc>
        <w:tc>
          <w:tcPr>
            <w:tcW w:w="2626" w:type="pct"/>
            <w:tcMar>
              <w:top w:w="68" w:type="dxa"/>
              <w:left w:w="68" w:type="dxa"/>
              <w:bottom w:w="68" w:type="dxa"/>
              <w:right w:w="68" w:type="dxa"/>
            </w:tcMar>
          </w:tcPr>
          <w:p w14:paraId="705B224E" w14:textId="77777777" w:rsidR="00FA6F10" w:rsidRPr="00630129" w:rsidRDefault="00FA6F10" w:rsidP="00993AE7">
            <w:pPr>
              <w:rPr>
                <w:sz w:val="22"/>
                <w:szCs w:val="22"/>
              </w:rPr>
            </w:pPr>
            <w:r w:rsidRPr="00630129">
              <w:rPr>
                <w:sz w:val="22"/>
                <w:szCs w:val="22"/>
              </w:rPr>
              <w:t>Total Period Deemed Standard Product Offer Volume</w:t>
            </w:r>
          </w:p>
        </w:tc>
      </w:tr>
      <w:tr w:rsidR="00FA6F10" w:rsidRPr="00630129" w14:paraId="56F8B2D7" w14:textId="77777777">
        <w:tc>
          <w:tcPr>
            <w:tcW w:w="1566" w:type="pct"/>
            <w:tcMar>
              <w:top w:w="68" w:type="dxa"/>
              <w:left w:w="68" w:type="dxa"/>
              <w:bottom w:w="68" w:type="dxa"/>
              <w:right w:w="68" w:type="dxa"/>
            </w:tcMar>
          </w:tcPr>
          <w:p w14:paraId="779407E6" w14:textId="77777777" w:rsidR="00FA6F10" w:rsidRPr="00630129" w:rsidRDefault="00FA6F10" w:rsidP="00993AE7">
            <w:pPr>
              <w:rPr>
                <w:sz w:val="22"/>
                <w:szCs w:val="22"/>
              </w:rPr>
            </w:pPr>
            <w:proofErr w:type="spellStart"/>
            <w:r w:rsidRPr="00630129">
              <w:rPr>
                <w:sz w:val="22"/>
                <w:szCs w:val="22"/>
              </w:rPr>
              <w:t>T</w:t>
            </w:r>
            <w:r w:rsidRPr="00630129">
              <w:rPr>
                <w:sz w:val="22"/>
                <w:szCs w:val="22"/>
                <w:vertAlign w:val="superscript"/>
              </w:rPr>
              <w:t>k</w:t>
            </w:r>
            <w:r w:rsidRPr="00630129">
              <w:rPr>
                <w:sz w:val="22"/>
                <w:szCs w:val="22"/>
                <w:vertAlign w:val="subscript"/>
              </w:rPr>
              <w:t>it</w:t>
            </w:r>
            <w:proofErr w:type="spellEnd"/>
          </w:p>
        </w:tc>
        <w:tc>
          <w:tcPr>
            <w:tcW w:w="808" w:type="pct"/>
            <w:tcMar>
              <w:top w:w="68" w:type="dxa"/>
              <w:left w:w="68" w:type="dxa"/>
              <w:bottom w:w="68" w:type="dxa"/>
              <w:right w:w="68" w:type="dxa"/>
            </w:tcMar>
          </w:tcPr>
          <w:p w14:paraId="04FFF952" w14:textId="77777777" w:rsidR="00FA6F10" w:rsidRPr="00630129" w:rsidRDefault="00FA6F10" w:rsidP="00993AE7">
            <w:pPr>
              <w:rPr>
                <w:sz w:val="22"/>
                <w:szCs w:val="22"/>
              </w:rPr>
            </w:pPr>
            <w:r w:rsidRPr="00630129">
              <w:rPr>
                <w:sz w:val="22"/>
                <w:szCs w:val="22"/>
              </w:rPr>
              <w:t>Spot time</w:t>
            </w:r>
          </w:p>
        </w:tc>
        <w:tc>
          <w:tcPr>
            <w:tcW w:w="2626" w:type="pct"/>
            <w:tcMar>
              <w:top w:w="68" w:type="dxa"/>
              <w:left w:w="68" w:type="dxa"/>
              <w:bottom w:w="68" w:type="dxa"/>
              <w:right w:w="68" w:type="dxa"/>
            </w:tcMar>
          </w:tcPr>
          <w:p w14:paraId="6B0C6E84" w14:textId="77777777" w:rsidR="00FA6F10" w:rsidRPr="00630129" w:rsidRDefault="00FA6F10" w:rsidP="00993AE7">
            <w:pPr>
              <w:rPr>
                <w:sz w:val="22"/>
                <w:szCs w:val="22"/>
              </w:rPr>
            </w:pPr>
            <w:r w:rsidRPr="00630129">
              <w:rPr>
                <w:sz w:val="22"/>
                <w:szCs w:val="22"/>
              </w:rPr>
              <w:t>Bid-Offer Acceptance Time</w:t>
            </w:r>
          </w:p>
        </w:tc>
      </w:tr>
      <w:tr w:rsidR="00FA6F10" w:rsidRPr="00630129" w14:paraId="660A9CA2" w14:textId="77777777">
        <w:tc>
          <w:tcPr>
            <w:tcW w:w="1566" w:type="pct"/>
            <w:tcMar>
              <w:top w:w="68" w:type="dxa"/>
              <w:left w:w="68" w:type="dxa"/>
              <w:bottom w:w="68" w:type="dxa"/>
              <w:right w:w="68" w:type="dxa"/>
            </w:tcMar>
          </w:tcPr>
          <w:p w14:paraId="1DF1C9BC" w14:textId="77777777" w:rsidR="00FA6F10" w:rsidRPr="00630129" w:rsidRDefault="00FA6F10" w:rsidP="00993AE7">
            <w:pPr>
              <w:rPr>
                <w:sz w:val="22"/>
                <w:szCs w:val="22"/>
              </w:rPr>
            </w:pPr>
            <w:r w:rsidRPr="00630129">
              <w:rPr>
                <w:sz w:val="22"/>
                <w:szCs w:val="22"/>
              </w:rPr>
              <w:t>TLFA</w:t>
            </w:r>
            <w:r w:rsidRPr="00630129">
              <w:rPr>
                <w:sz w:val="22"/>
                <w:szCs w:val="22"/>
                <w:vertAlign w:val="subscript"/>
              </w:rPr>
              <w:t>S</w:t>
            </w:r>
          </w:p>
        </w:tc>
        <w:tc>
          <w:tcPr>
            <w:tcW w:w="808" w:type="pct"/>
            <w:tcMar>
              <w:top w:w="68" w:type="dxa"/>
              <w:left w:w="68" w:type="dxa"/>
              <w:bottom w:w="68" w:type="dxa"/>
              <w:right w:w="68" w:type="dxa"/>
            </w:tcMar>
          </w:tcPr>
          <w:p w14:paraId="5FD4ECCA" w14:textId="77777777" w:rsidR="00FA6F10" w:rsidRPr="00630129" w:rsidRDefault="00FA6F10" w:rsidP="00993AE7">
            <w:pPr>
              <w:rPr>
                <w:sz w:val="22"/>
                <w:szCs w:val="22"/>
              </w:rPr>
            </w:pPr>
          </w:p>
        </w:tc>
        <w:tc>
          <w:tcPr>
            <w:tcW w:w="2626" w:type="pct"/>
            <w:tcMar>
              <w:top w:w="68" w:type="dxa"/>
              <w:left w:w="68" w:type="dxa"/>
              <w:bottom w:w="68" w:type="dxa"/>
              <w:right w:w="68" w:type="dxa"/>
            </w:tcMar>
          </w:tcPr>
          <w:p w14:paraId="068CE3C4" w14:textId="77777777" w:rsidR="00FA6F10" w:rsidRPr="00630129" w:rsidRDefault="00FA6F10" w:rsidP="00993AE7">
            <w:pPr>
              <w:rPr>
                <w:sz w:val="22"/>
                <w:szCs w:val="22"/>
              </w:rPr>
            </w:pPr>
            <w:r w:rsidRPr="00630129">
              <w:rPr>
                <w:sz w:val="22"/>
                <w:szCs w:val="22"/>
              </w:rPr>
              <w:t>Transmission Loss Factor Adjustment</w:t>
            </w:r>
          </w:p>
        </w:tc>
      </w:tr>
      <w:tr w:rsidR="00FA6F10" w:rsidRPr="00630129" w14:paraId="1608901C" w14:textId="77777777">
        <w:tc>
          <w:tcPr>
            <w:tcW w:w="1566" w:type="pct"/>
            <w:tcMar>
              <w:top w:w="68" w:type="dxa"/>
              <w:left w:w="68" w:type="dxa"/>
              <w:bottom w:w="68" w:type="dxa"/>
              <w:right w:w="68" w:type="dxa"/>
            </w:tcMar>
          </w:tcPr>
          <w:p w14:paraId="4027E92A" w14:textId="77777777" w:rsidR="00FA6F10" w:rsidRPr="00630129" w:rsidRDefault="00FA6F10" w:rsidP="00993AE7">
            <w:pPr>
              <w:rPr>
                <w:sz w:val="22"/>
                <w:szCs w:val="22"/>
              </w:rPr>
            </w:pPr>
            <w:proofErr w:type="spellStart"/>
            <w:r w:rsidRPr="00630129">
              <w:rPr>
                <w:sz w:val="22"/>
                <w:szCs w:val="22"/>
              </w:rPr>
              <w:t>TLF</w:t>
            </w:r>
            <w:r w:rsidRPr="00630129">
              <w:rPr>
                <w:sz w:val="22"/>
                <w:szCs w:val="22"/>
                <w:vertAlign w:val="subscript"/>
              </w:rPr>
              <w:t>ij</w:t>
            </w:r>
            <w:proofErr w:type="spellEnd"/>
          </w:p>
        </w:tc>
        <w:tc>
          <w:tcPr>
            <w:tcW w:w="808" w:type="pct"/>
            <w:tcMar>
              <w:top w:w="68" w:type="dxa"/>
              <w:left w:w="68" w:type="dxa"/>
              <w:bottom w:w="68" w:type="dxa"/>
              <w:right w:w="68" w:type="dxa"/>
            </w:tcMar>
          </w:tcPr>
          <w:p w14:paraId="5628C2D4" w14:textId="77777777" w:rsidR="00FA6F10" w:rsidRPr="00630129" w:rsidRDefault="00FA6F10" w:rsidP="00993AE7">
            <w:pPr>
              <w:rPr>
                <w:sz w:val="22"/>
                <w:szCs w:val="22"/>
              </w:rPr>
            </w:pPr>
          </w:p>
        </w:tc>
        <w:tc>
          <w:tcPr>
            <w:tcW w:w="2626" w:type="pct"/>
            <w:tcMar>
              <w:top w:w="68" w:type="dxa"/>
              <w:left w:w="68" w:type="dxa"/>
              <w:bottom w:w="68" w:type="dxa"/>
              <w:right w:w="68" w:type="dxa"/>
            </w:tcMar>
          </w:tcPr>
          <w:p w14:paraId="74C71F4C" w14:textId="77777777" w:rsidR="00FA6F10" w:rsidRPr="00630129" w:rsidRDefault="00FA6F10" w:rsidP="00993AE7">
            <w:pPr>
              <w:rPr>
                <w:sz w:val="22"/>
                <w:szCs w:val="22"/>
              </w:rPr>
            </w:pPr>
            <w:r w:rsidRPr="00630129">
              <w:rPr>
                <w:sz w:val="22"/>
                <w:szCs w:val="22"/>
              </w:rPr>
              <w:t>Transmission Loss Factor</w:t>
            </w:r>
          </w:p>
        </w:tc>
      </w:tr>
      <w:tr w:rsidR="00FA6F10" w:rsidRPr="00630129" w14:paraId="022345B5" w14:textId="77777777">
        <w:tc>
          <w:tcPr>
            <w:tcW w:w="1566" w:type="pct"/>
            <w:tcMar>
              <w:top w:w="68" w:type="dxa"/>
              <w:left w:w="68" w:type="dxa"/>
              <w:bottom w:w="68" w:type="dxa"/>
              <w:right w:w="68" w:type="dxa"/>
            </w:tcMar>
          </w:tcPr>
          <w:p w14:paraId="618D526B" w14:textId="77777777" w:rsidR="00FA6F10" w:rsidRPr="00630129" w:rsidRDefault="00FA6F10" w:rsidP="00993AE7">
            <w:pPr>
              <w:rPr>
                <w:sz w:val="22"/>
                <w:szCs w:val="22"/>
              </w:rPr>
            </w:pPr>
            <w:proofErr w:type="spellStart"/>
            <w:r w:rsidRPr="00630129">
              <w:rPr>
                <w:sz w:val="22"/>
                <w:szCs w:val="22"/>
              </w:rPr>
              <w:t>TLM</w:t>
            </w:r>
            <w:r w:rsidRPr="00630129">
              <w:rPr>
                <w:sz w:val="22"/>
                <w:szCs w:val="22"/>
                <w:vertAlign w:val="subscript"/>
              </w:rPr>
              <w:t>ij</w:t>
            </w:r>
            <w:proofErr w:type="spellEnd"/>
          </w:p>
        </w:tc>
        <w:tc>
          <w:tcPr>
            <w:tcW w:w="808" w:type="pct"/>
            <w:tcMar>
              <w:top w:w="68" w:type="dxa"/>
              <w:left w:w="68" w:type="dxa"/>
              <w:bottom w:w="68" w:type="dxa"/>
              <w:right w:w="68" w:type="dxa"/>
            </w:tcMar>
          </w:tcPr>
          <w:p w14:paraId="059FC152" w14:textId="77777777" w:rsidR="00FA6F10" w:rsidRPr="00630129" w:rsidRDefault="00FA6F10" w:rsidP="00993AE7">
            <w:pPr>
              <w:rPr>
                <w:sz w:val="22"/>
                <w:szCs w:val="22"/>
              </w:rPr>
            </w:pPr>
            <w:r w:rsidRPr="00630129">
              <w:rPr>
                <w:sz w:val="22"/>
                <w:szCs w:val="22"/>
              </w:rPr>
              <w:t>No Units</w:t>
            </w:r>
          </w:p>
        </w:tc>
        <w:tc>
          <w:tcPr>
            <w:tcW w:w="2626" w:type="pct"/>
            <w:tcMar>
              <w:top w:w="68" w:type="dxa"/>
              <w:left w:w="68" w:type="dxa"/>
              <w:bottom w:w="68" w:type="dxa"/>
              <w:right w:w="68" w:type="dxa"/>
            </w:tcMar>
          </w:tcPr>
          <w:p w14:paraId="5CC81039" w14:textId="77777777" w:rsidR="00FA6F10" w:rsidRPr="00630129" w:rsidRDefault="00FA6F10" w:rsidP="00993AE7">
            <w:pPr>
              <w:rPr>
                <w:sz w:val="22"/>
                <w:szCs w:val="22"/>
              </w:rPr>
            </w:pPr>
            <w:r w:rsidRPr="00630129">
              <w:rPr>
                <w:sz w:val="22"/>
                <w:szCs w:val="22"/>
              </w:rPr>
              <w:t>Transmission Loss Multiplier</w:t>
            </w:r>
          </w:p>
        </w:tc>
      </w:tr>
      <w:tr w:rsidR="00FA6F10" w:rsidRPr="00630129" w14:paraId="7209A8CA" w14:textId="77777777">
        <w:tc>
          <w:tcPr>
            <w:tcW w:w="1566" w:type="pct"/>
            <w:tcMar>
              <w:top w:w="68" w:type="dxa"/>
              <w:left w:w="68" w:type="dxa"/>
              <w:bottom w:w="68" w:type="dxa"/>
              <w:right w:w="68" w:type="dxa"/>
            </w:tcMar>
          </w:tcPr>
          <w:p w14:paraId="1E35F2EB" w14:textId="77777777" w:rsidR="00FA6F10" w:rsidRPr="00630129" w:rsidRDefault="00FA6F10" w:rsidP="00993AE7">
            <w:pPr>
              <w:rPr>
                <w:sz w:val="22"/>
                <w:szCs w:val="22"/>
              </w:rPr>
            </w:pPr>
            <w:proofErr w:type="spellStart"/>
            <w:r w:rsidRPr="00630129">
              <w:rPr>
                <w:sz w:val="22"/>
                <w:szCs w:val="22"/>
              </w:rPr>
              <w:t>TLMO</w:t>
            </w:r>
            <w:r w:rsidRPr="00630129">
              <w:rPr>
                <w:sz w:val="22"/>
                <w:szCs w:val="22"/>
                <w:vertAlign w:val="superscript"/>
              </w:rPr>
              <w:t>+</w:t>
            </w:r>
            <w:r w:rsidRPr="00630129">
              <w:rPr>
                <w:sz w:val="22"/>
                <w:szCs w:val="22"/>
                <w:vertAlign w:val="subscript"/>
              </w:rPr>
              <w:t>j</w:t>
            </w:r>
            <w:proofErr w:type="spellEnd"/>
          </w:p>
        </w:tc>
        <w:tc>
          <w:tcPr>
            <w:tcW w:w="808" w:type="pct"/>
            <w:tcMar>
              <w:top w:w="68" w:type="dxa"/>
              <w:left w:w="68" w:type="dxa"/>
              <w:bottom w:w="68" w:type="dxa"/>
              <w:right w:w="68" w:type="dxa"/>
            </w:tcMar>
          </w:tcPr>
          <w:p w14:paraId="16B4E3C3" w14:textId="77777777" w:rsidR="00FA6F10" w:rsidRPr="00630129" w:rsidRDefault="00FA6F10" w:rsidP="00993AE7">
            <w:pPr>
              <w:rPr>
                <w:sz w:val="22"/>
                <w:szCs w:val="22"/>
              </w:rPr>
            </w:pPr>
          </w:p>
        </w:tc>
        <w:tc>
          <w:tcPr>
            <w:tcW w:w="2626" w:type="pct"/>
            <w:tcMar>
              <w:top w:w="68" w:type="dxa"/>
              <w:left w:w="68" w:type="dxa"/>
              <w:bottom w:w="68" w:type="dxa"/>
              <w:right w:w="68" w:type="dxa"/>
            </w:tcMar>
          </w:tcPr>
          <w:p w14:paraId="349277C6" w14:textId="77777777" w:rsidR="00FA6F10" w:rsidRPr="00630129" w:rsidRDefault="00FA6F10" w:rsidP="00993AE7">
            <w:pPr>
              <w:rPr>
                <w:sz w:val="22"/>
                <w:szCs w:val="22"/>
              </w:rPr>
            </w:pPr>
            <w:r w:rsidRPr="00630129">
              <w:rPr>
                <w:sz w:val="22"/>
                <w:szCs w:val="22"/>
              </w:rPr>
              <w:t>Delivering Transmission Losses Adjustment.</w:t>
            </w:r>
          </w:p>
        </w:tc>
      </w:tr>
      <w:tr w:rsidR="00FA6F10" w:rsidRPr="00630129" w14:paraId="2D7C701B" w14:textId="77777777">
        <w:tc>
          <w:tcPr>
            <w:tcW w:w="1566" w:type="pct"/>
            <w:tcMar>
              <w:top w:w="68" w:type="dxa"/>
              <w:left w:w="68" w:type="dxa"/>
              <w:bottom w:w="68" w:type="dxa"/>
              <w:right w:w="68" w:type="dxa"/>
            </w:tcMar>
          </w:tcPr>
          <w:p w14:paraId="779D409F" w14:textId="77777777" w:rsidR="00FA6F10" w:rsidRPr="00630129" w:rsidRDefault="00FA6F10" w:rsidP="00993AE7">
            <w:pPr>
              <w:rPr>
                <w:sz w:val="22"/>
                <w:szCs w:val="22"/>
              </w:rPr>
            </w:pPr>
            <w:r w:rsidRPr="00630129">
              <w:rPr>
                <w:sz w:val="22"/>
                <w:szCs w:val="22"/>
              </w:rPr>
              <w:t>TLMO</w:t>
            </w:r>
            <w:r w:rsidRPr="00630129">
              <w:rPr>
                <w:sz w:val="22"/>
                <w:szCs w:val="22"/>
                <w:vertAlign w:val="superscript"/>
              </w:rPr>
              <w:t>-</w:t>
            </w:r>
            <w:r w:rsidRPr="00630129">
              <w:rPr>
                <w:sz w:val="22"/>
                <w:szCs w:val="22"/>
                <w:vertAlign w:val="subscript"/>
              </w:rPr>
              <w:t>j</w:t>
            </w:r>
          </w:p>
        </w:tc>
        <w:tc>
          <w:tcPr>
            <w:tcW w:w="808" w:type="pct"/>
            <w:tcMar>
              <w:top w:w="68" w:type="dxa"/>
              <w:left w:w="68" w:type="dxa"/>
              <w:bottom w:w="68" w:type="dxa"/>
              <w:right w:w="68" w:type="dxa"/>
            </w:tcMar>
          </w:tcPr>
          <w:p w14:paraId="66C4FBAF" w14:textId="77777777" w:rsidR="00FA6F10" w:rsidRPr="00630129" w:rsidRDefault="00FA6F10" w:rsidP="00993AE7">
            <w:pPr>
              <w:rPr>
                <w:sz w:val="22"/>
                <w:szCs w:val="22"/>
              </w:rPr>
            </w:pPr>
          </w:p>
        </w:tc>
        <w:tc>
          <w:tcPr>
            <w:tcW w:w="2626" w:type="pct"/>
            <w:tcMar>
              <w:top w:w="68" w:type="dxa"/>
              <w:left w:w="68" w:type="dxa"/>
              <w:bottom w:w="68" w:type="dxa"/>
              <w:right w:w="68" w:type="dxa"/>
            </w:tcMar>
          </w:tcPr>
          <w:p w14:paraId="2DF86661" w14:textId="77777777" w:rsidR="00FA6F10" w:rsidRPr="00630129" w:rsidRDefault="00FA6F10" w:rsidP="00993AE7">
            <w:pPr>
              <w:rPr>
                <w:sz w:val="22"/>
                <w:szCs w:val="22"/>
              </w:rPr>
            </w:pPr>
            <w:proofErr w:type="spellStart"/>
            <w:r w:rsidRPr="00630129">
              <w:rPr>
                <w:sz w:val="22"/>
                <w:szCs w:val="22"/>
              </w:rPr>
              <w:t>Offtaking</w:t>
            </w:r>
            <w:proofErr w:type="spellEnd"/>
            <w:r w:rsidRPr="00630129">
              <w:rPr>
                <w:sz w:val="22"/>
                <w:szCs w:val="22"/>
              </w:rPr>
              <w:t xml:space="preserve"> Transmission Losses Adjustment</w:t>
            </w:r>
          </w:p>
        </w:tc>
      </w:tr>
      <w:tr w:rsidR="00FA6F10" w:rsidRPr="00630129" w14:paraId="0AC0BC3C" w14:textId="77777777">
        <w:tc>
          <w:tcPr>
            <w:tcW w:w="1566" w:type="pct"/>
            <w:tcMar>
              <w:top w:w="68" w:type="dxa"/>
              <w:left w:w="68" w:type="dxa"/>
              <w:bottom w:w="68" w:type="dxa"/>
              <w:right w:w="68" w:type="dxa"/>
            </w:tcMar>
          </w:tcPr>
          <w:p w14:paraId="19E57F9F" w14:textId="77777777" w:rsidR="00FA6F10" w:rsidRPr="00630129" w:rsidRDefault="00FA6F10" w:rsidP="00993AE7">
            <w:pPr>
              <w:rPr>
                <w:sz w:val="22"/>
                <w:szCs w:val="22"/>
              </w:rPr>
            </w:pPr>
            <w:proofErr w:type="spellStart"/>
            <w:r w:rsidRPr="00630129">
              <w:rPr>
                <w:sz w:val="22"/>
                <w:szCs w:val="22"/>
              </w:rPr>
              <w:t>TQAS</w:t>
            </w:r>
            <w:r w:rsidRPr="00630129">
              <w:rPr>
                <w:sz w:val="22"/>
                <w:szCs w:val="22"/>
                <w:vertAlign w:val="subscript"/>
              </w:rPr>
              <w:t>j</w:t>
            </w:r>
            <w:proofErr w:type="spellEnd"/>
          </w:p>
        </w:tc>
        <w:tc>
          <w:tcPr>
            <w:tcW w:w="808" w:type="pct"/>
            <w:tcMar>
              <w:top w:w="68" w:type="dxa"/>
              <w:left w:w="68" w:type="dxa"/>
              <w:bottom w:w="68" w:type="dxa"/>
              <w:right w:w="68" w:type="dxa"/>
            </w:tcMar>
          </w:tcPr>
          <w:p w14:paraId="145DB900" w14:textId="77777777" w:rsidR="00FA6F10" w:rsidRPr="00630129" w:rsidRDefault="00FA6F10" w:rsidP="00993AE7">
            <w:pPr>
              <w:rPr>
                <w:sz w:val="22"/>
                <w:szCs w:val="22"/>
              </w:rPr>
            </w:pPr>
            <w:r w:rsidRPr="00630129">
              <w:rPr>
                <w:sz w:val="22"/>
                <w:szCs w:val="22"/>
              </w:rPr>
              <w:t>MWh</w:t>
            </w:r>
          </w:p>
        </w:tc>
        <w:tc>
          <w:tcPr>
            <w:tcW w:w="2626" w:type="pct"/>
            <w:tcMar>
              <w:top w:w="68" w:type="dxa"/>
              <w:left w:w="68" w:type="dxa"/>
              <w:bottom w:w="68" w:type="dxa"/>
              <w:right w:w="68" w:type="dxa"/>
            </w:tcMar>
          </w:tcPr>
          <w:p w14:paraId="6A8EFE5A" w14:textId="77777777" w:rsidR="00FA6F10" w:rsidRPr="00630129" w:rsidRDefault="00FA6F10" w:rsidP="00993AE7">
            <w:pPr>
              <w:rPr>
                <w:sz w:val="22"/>
                <w:szCs w:val="22"/>
              </w:rPr>
            </w:pPr>
            <w:r w:rsidRPr="00630129">
              <w:rPr>
                <w:sz w:val="22"/>
                <w:szCs w:val="22"/>
              </w:rPr>
              <w:t>Total Period Applicable Balancing Services Volume</w:t>
            </w:r>
          </w:p>
        </w:tc>
      </w:tr>
      <w:tr w:rsidR="00FA6F10" w:rsidRPr="00630129" w14:paraId="07F316A2" w14:textId="77777777">
        <w:tc>
          <w:tcPr>
            <w:tcW w:w="1566" w:type="pct"/>
            <w:tcMar>
              <w:top w:w="68" w:type="dxa"/>
              <w:left w:w="68" w:type="dxa"/>
              <w:bottom w:w="68" w:type="dxa"/>
              <w:right w:w="68" w:type="dxa"/>
            </w:tcMar>
          </w:tcPr>
          <w:p w14:paraId="1F01EEBD" w14:textId="77777777" w:rsidR="00FA6F10" w:rsidRPr="00630129" w:rsidRDefault="00FA6F10" w:rsidP="00993AE7">
            <w:pPr>
              <w:rPr>
                <w:sz w:val="22"/>
                <w:szCs w:val="22"/>
              </w:rPr>
            </w:pPr>
            <w:proofErr w:type="spellStart"/>
            <w:r w:rsidRPr="00630129">
              <w:rPr>
                <w:sz w:val="22"/>
                <w:szCs w:val="22"/>
              </w:rPr>
              <w:t>TQEI</w:t>
            </w:r>
            <w:r w:rsidRPr="00630129">
              <w:rPr>
                <w:sz w:val="22"/>
                <w:szCs w:val="22"/>
                <w:vertAlign w:val="subscript"/>
              </w:rPr>
              <w:t>j</w:t>
            </w:r>
            <w:proofErr w:type="spellEnd"/>
          </w:p>
        </w:tc>
        <w:tc>
          <w:tcPr>
            <w:tcW w:w="808" w:type="pct"/>
            <w:tcMar>
              <w:top w:w="68" w:type="dxa"/>
              <w:left w:w="68" w:type="dxa"/>
              <w:bottom w:w="68" w:type="dxa"/>
              <w:right w:w="68" w:type="dxa"/>
            </w:tcMar>
          </w:tcPr>
          <w:p w14:paraId="28309131" w14:textId="77777777" w:rsidR="00FA6F10" w:rsidRPr="00630129" w:rsidRDefault="00FA6F10" w:rsidP="00993AE7">
            <w:pPr>
              <w:rPr>
                <w:sz w:val="22"/>
                <w:szCs w:val="22"/>
              </w:rPr>
            </w:pPr>
            <w:r w:rsidRPr="00630129">
              <w:rPr>
                <w:sz w:val="22"/>
                <w:szCs w:val="22"/>
              </w:rPr>
              <w:t>MWh</w:t>
            </w:r>
          </w:p>
        </w:tc>
        <w:tc>
          <w:tcPr>
            <w:tcW w:w="2626" w:type="pct"/>
            <w:tcMar>
              <w:top w:w="68" w:type="dxa"/>
              <w:left w:w="68" w:type="dxa"/>
              <w:bottom w:w="68" w:type="dxa"/>
              <w:right w:w="68" w:type="dxa"/>
            </w:tcMar>
          </w:tcPr>
          <w:p w14:paraId="6A3ED80B" w14:textId="77777777" w:rsidR="00FA6F10" w:rsidRPr="00630129" w:rsidRDefault="00FA6F10" w:rsidP="00993AE7">
            <w:pPr>
              <w:rPr>
                <w:sz w:val="22"/>
                <w:szCs w:val="22"/>
              </w:rPr>
            </w:pPr>
            <w:r w:rsidRPr="00630129">
              <w:rPr>
                <w:sz w:val="22"/>
                <w:szCs w:val="22"/>
              </w:rPr>
              <w:t>Total System Energy Imbalance Volume</w:t>
            </w:r>
          </w:p>
        </w:tc>
      </w:tr>
      <w:tr w:rsidR="00FA6F10" w:rsidRPr="00630129" w14:paraId="79618310" w14:textId="77777777">
        <w:tc>
          <w:tcPr>
            <w:tcW w:w="1566" w:type="pct"/>
            <w:tcMar>
              <w:top w:w="68" w:type="dxa"/>
              <w:left w:w="68" w:type="dxa"/>
              <w:bottom w:w="68" w:type="dxa"/>
              <w:right w:w="68" w:type="dxa"/>
            </w:tcMar>
          </w:tcPr>
          <w:p w14:paraId="13B80944" w14:textId="77777777" w:rsidR="00FA6F10" w:rsidRPr="00630129" w:rsidRDefault="00FA6F10" w:rsidP="00993AE7">
            <w:pPr>
              <w:rPr>
                <w:sz w:val="22"/>
                <w:szCs w:val="22"/>
              </w:rPr>
            </w:pPr>
            <w:proofErr w:type="spellStart"/>
            <w:r w:rsidRPr="00630129">
              <w:rPr>
                <w:sz w:val="22"/>
                <w:szCs w:val="22"/>
              </w:rPr>
              <w:t>TRC</w:t>
            </w:r>
            <w:r w:rsidRPr="00630129">
              <w:rPr>
                <w:sz w:val="22"/>
                <w:szCs w:val="22"/>
                <w:vertAlign w:val="subscript"/>
              </w:rPr>
              <w:t>j</w:t>
            </w:r>
            <w:proofErr w:type="spellEnd"/>
          </w:p>
        </w:tc>
        <w:tc>
          <w:tcPr>
            <w:tcW w:w="808" w:type="pct"/>
            <w:tcMar>
              <w:top w:w="68" w:type="dxa"/>
              <w:left w:w="68" w:type="dxa"/>
              <w:bottom w:w="68" w:type="dxa"/>
              <w:right w:w="68" w:type="dxa"/>
            </w:tcMar>
          </w:tcPr>
          <w:p w14:paraId="164822F6" w14:textId="77777777" w:rsidR="00FA6F10" w:rsidRPr="00630129" w:rsidRDefault="00FA6F10" w:rsidP="00993AE7">
            <w:pPr>
              <w:rPr>
                <w:sz w:val="22"/>
                <w:szCs w:val="22"/>
              </w:rPr>
            </w:pPr>
            <w:r w:rsidRPr="00630129">
              <w:rPr>
                <w:sz w:val="22"/>
                <w:szCs w:val="22"/>
              </w:rPr>
              <w:t>£</w:t>
            </w:r>
          </w:p>
        </w:tc>
        <w:tc>
          <w:tcPr>
            <w:tcW w:w="2626" w:type="pct"/>
            <w:tcMar>
              <w:top w:w="68" w:type="dxa"/>
              <w:left w:w="68" w:type="dxa"/>
              <w:bottom w:w="68" w:type="dxa"/>
              <w:right w:w="68" w:type="dxa"/>
            </w:tcMar>
          </w:tcPr>
          <w:p w14:paraId="6872061D" w14:textId="77777777" w:rsidR="00FA6F10" w:rsidRPr="00630129" w:rsidRDefault="00FA6F10" w:rsidP="00993AE7">
            <w:pPr>
              <w:rPr>
                <w:sz w:val="22"/>
                <w:szCs w:val="22"/>
              </w:rPr>
            </w:pPr>
            <w:r w:rsidRPr="00630129">
              <w:rPr>
                <w:sz w:val="22"/>
                <w:szCs w:val="22"/>
              </w:rPr>
              <w:t xml:space="preserve">Total System Residual </w:t>
            </w:r>
            <w:proofErr w:type="spellStart"/>
            <w:r w:rsidRPr="00630129">
              <w:rPr>
                <w:sz w:val="22"/>
                <w:szCs w:val="22"/>
              </w:rPr>
              <w:t>Cashflow</w:t>
            </w:r>
            <w:proofErr w:type="spellEnd"/>
          </w:p>
        </w:tc>
      </w:tr>
      <w:tr w:rsidR="00FA6F10" w:rsidRPr="00630129" w14:paraId="0DC68AD0" w14:textId="77777777">
        <w:tc>
          <w:tcPr>
            <w:tcW w:w="1566" w:type="pct"/>
            <w:tcMar>
              <w:top w:w="68" w:type="dxa"/>
              <w:left w:w="68" w:type="dxa"/>
              <w:bottom w:w="68" w:type="dxa"/>
              <w:right w:w="68" w:type="dxa"/>
            </w:tcMar>
          </w:tcPr>
          <w:p w14:paraId="2CEDF8AC" w14:textId="77777777" w:rsidR="00FA6F10" w:rsidRPr="00630129" w:rsidRDefault="00FA6F10" w:rsidP="00993AE7">
            <w:pPr>
              <w:rPr>
                <w:sz w:val="22"/>
                <w:szCs w:val="22"/>
              </w:rPr>
            </w:pPr>
            <w:proofErr w:type="spellStart"/>
            <w:r w:rsidRPr="00630129">
              <w:rPr>
                <w:sz w:val="22"/>
                <w:szCs w:val="22"/>
              </w:rPr>
              <w:t>TSC</w:t>
            </w:r>
            <w:r w:rsidRPr="00630129">
              <w:rPr>
                <w:sz w:val="22"/>
                <w:szCs w:val="22"/>
                <w:vertAlign w:val="subscript"/>
              </w:rPr>
              <w:t>pm</w:t>
            </w:r>
            <w:proofErr w:type="spellEnd"/>
          </w:p>
        </w:tc>
        <w:tc>
          <w:tcPr>
            <w:tcW w:w="808" w:type="pct"/>
            <w:tcMar>
              <w:top w:w="68" w:type="dxa"/>
              <w:left w:w="68" w:type="dxa"/>
              <w:bottom w:w="68" w:type="dxa"/>
              <w:right w:w="68" w:type="dxa"/>
            </w:tcMar>
          </w:tcPr>
          <w:p w14:paraId="40699BB3" w14:textId="77777777" w:rsidR="00FA6F10" w:rsidRPr="00630129" w:rsidRDefault="00FA6F10" w:rsidP="00993AE7">
            <w:pPr>
              <w:rPr>
                <w:sz w:val="22"/>
                <w:szCs w:val="22"/>
              </w:rPr>
            </w:pPr>
            <w:r w:rsidRPr="00630129">
              <w:rPr>
                <w:sz w:val="22"/>
                <w:szCs w:val="22"/>
              </w:rPr>
              <w:t>£</w:t>
            </w:r>
          </w:p>
        </w:tc>
        <w:tc>
          <w:tcPr>
            <w:tcW w:w="2626" w:type="pct"/>
            <w:tcMar>
              <w:top w:w="68" w:type="dxa"/>
              <w:left w:w="68" w:type="dxa"/>
              <w:bottom w:w="68" w:type="dxa"/>
              <w:right w:w="68" w:type="dxa"/>
            </w:tcMar>
          </w:tcPr>
          <w:p w14:paraId="2E870B3A" w14:textId="77777777" w:rsidR="00FA6F10" w:rsidRPr="00630129" w:rsidRDefault="00FA6F10" w:rsidP="00993AE7">
            <w:pPr>
              <w:rPr>
                <w:sz w:val="22"/>
                <w:szCs w:val="22"/>
              </w:rPr>
            </w:pPr>
            <w:r w:rsidRPr="00630129">
              <w:rPr>
                <w:sz w:val="22"/>
                <w:szCs w:val="22"/>
              </w:rPr>
              <w:t>Total Specified BSC Charges</w:t>
            </w:r>
          </w:p>
        </w:tc>
      </w:tr>
      <w:tr w:rsidR="00FA6F10" w:rsidRPr="00630129" w14:paraId="1A11BD5A" w14:textId="77777777">
        <w:tc>
          <w:tcPr>
            <w:tcW w:w="1566" w:type="pct"/>
            <w:tcMar>
              <w:top w:w="68" w:type="dxa"/>
              <w:left w:w="68" w:type="dxa"/>
              <w:bottom w:w="68" w:type="dxa"/>
              <w:right w:w="68" w:type="dxa"/>
            </w:tcMar>
          </w:tcPr>
          <w:p w14:paraId="14C7FFC4" w14:textId="77777777" w:rsidR="00FA6F10" w:rsidRPr="00630129" w:rsidRDefault="00FA6F10" w:rsidP="00993AE7">
            <w:pPr>
              <w:rPr>
                <w:sz w:val="22"/>
                <w:szCs w:val="22"/>
              </w:rPr>
            </w:pPr>
            <w:r w:rsidRPr="00630129">
              <w:rPr>
                <w:sz w:val="22"/>
                <w:szCs w:val="22"/>
              </w:rPr>
              <w:t>u</w:t>
            </w:r>
          </w:p>
        </w:tc>
        <w:tc>
          <w:tcPr>
            <w:tcW w:w="808" w:type="pct"/>
            <w:tcMar>
              <w:top w:w="68" w:type="dxa"/>
              <w:left w:w="68" w:type="dxa"/>
              <w:bottom w:w="68" w:type="dxa"/>
              <w:right w:w="68" w:type="dxa"/>
            </w:tcMar>
          </w:tcPr>
          <w:p w14:paraId="57ABD081" w14:textId="77777777" w:rsidR="00FA6F10" w:rsidRPr="00630129" w:rsidRDefault="00FA6F10" w:rsidP="00993AE7">
            <w:pPr>
              <w:rPr>
                <w:sz w:val="22"/>
                <w:szCs w:val="22"/>
              </w:rPr>
            </w:pPr>
          </w:p>
        </w:tc>
        <w:tc>
          <w:tcPr>
            <w:tcW w:w="2626" w:type="pct"/>
            <w:tcMar>
              <w:top w:w="68" w:type="dxa"/>
              <w:left w:w="68" w:type="dxa"/>
              <w:bottom w:w="68" w:type="dxa"/>
              <w:right w:w="68" w:type="dxa"/>
            </w:tcMar>
          </w:tcPr>
          <w:p w14:paraId="756AB795" w14:textId="77777777" w:rsidR="00FA6F10" w:rsidRPr="00630129" w:rsidRDefault="00FA6F10" w:rsidP="00993AE7">
            <w:pPr>
              <w:rPr>
                <w:sz w:val="22"/>
                <w:szCs w:val="22"/>
              </w:rPr>
            </w:pPr>
            <w:r w:rsidRPr="00630129">
              <w:rPr>
                <w:sz w:val="22"/>
                <w:szCs w:val="22"/>
              </w:rPr>
              <w:t>Non-Delivery Order Number</w:t>
            </w:r>
          </w:p>
        </w:tc>
      </w:tr>
      <w:tr w:rsidR="00FA6F10" w:rsidRPr="00630129" w14:paraId="6CEC2DCF" w14:textId="77777777">
        <w:tc>
          <w:tcPr>
            <w:tcW w:w="1566" w:type="pct"/>
            <w:tcMar>
              <w:top w:w="68" w:type="dxa"/>
              <w:left w:w="68" w:type="dxa"/>
              <w:bottom w:w="68" w:type="dxa"/>
              <w:right w:w="68" w:type="dxa"/>
            </w:tcMar>
          </w:tcPr>
          <w:p w14:paraId="3599E0AA" w14:textId="77777777" w:rsidR="00FA6F10" w:rsidRPr="00630129" w:rsidRDefault="00FA6F10" w:rsidP="00993AE7">
            <w:pPr>
              <w:rPr>
                <w:sz w:val="22"/>
                <w:szCs w:val="22"/>
              </w:rPr>
            </w:pPr>
            <w:r w:rsidRPr="00630129">
              <w:rPr>
                <w:sz w:val="22"/>
                <w:szCs w:val="22"/>
              </w:rPr>
              <w:t>VBMUSDV</w:t>
            </w:r>
            <w:r w:rsidRPr="00630129">
              <w:rPr>
                <w:sz w:val="22"/>
                <w:szCs w:val="22"/>
                <w:vertAlign w:val="subscript"/>
              </w:rPr>
              <w:t>i2ij</w:t>
            </w:r>
          </w:p>
        </w:tc>
        <w:tc>
          <w:tcPr>
            <w:tcW w:w="808" w:type="pct"/>
            <w:tcMar>
              <w:top w:w="68" w:type="dxa"/>
              <w:left w:w="68" w:type="dxa"/>
              <w:bottom w:w="68" w:type="dxa"/>
              <w:right w:w="68" w:type="dxa"/>
            </w:tcMar>
          </w:tcPr>
          <w:p w14:paraId="6B4CB1B9" w14:textId="77777777" w:rsidR="00FA6F10" w:rsidRPr="00630129" w:rsidRDefault="00FA6F10" w:rsidP="00993AE7">
            <w:pPr>
              <w:rPr>
                <w:sz w:val="22"/>
                <w:szCs w:val="22"/>
              </w:rPr>
            </w:pPr>
            <w:r w:rsidRPr="00630129">
              <w:rPr>
                <w:sz w:val="22"/>
                <w:szCs w:val="22"/>
              </w:rPr>
              <w:t>MWh</w:t>
            </w:r>
          </w:p>
        </w:tc>
        <w:tc>
          <w:tcPr>
            <w:tcW w:w="2626" w:type="pct"/>
            <w:tcMar>
              <w:top w:w="68" w:type="dxa"/>
              <w:left w:w="68" w:type="dxa"/>
              <w:bottom w:w="68" w:type="dxa"/>
              <w:right w:w="68" w:type="dxa"/>
            </w:tcMar>
          </w:tcPr>
          <w:p w14:paraId="784AE97C" w14:textId="77777777" w:rsidR="00FA6F10" w:rsidRPr="00630129" w:rsidRDefault="00FA6F10" w:rsidP="00993AE7">
            <w:pPr>
              <w:rPr>
                <w:sz w:val="22"/>
                <w:szCs w:val="22"/>
              </w:rPr>
            </w:pPr>
            <w:r w:rsidRPr="00630129">
              <w:rPr>
                <w:sz w:val="22"/>
                <w:szCs w:val="22"/>
              </w:rPr>
              <w:t>Secondary BM Unit Supplier Delivered Volume</w:t>
            </w:r>
          </w:p>
        </w:tc>
      </w:tr>
      <w:tr w:rsidR="00FA6F10" w:rsidRPr="00630129" w14:paraId="25E6AFCA" w14:textId="77777777">
        <w:tc>
          <w:tcPr>
            <w:tcW w:w="156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3BA65077" w14:textId="77777777" w:rsidR="00FA6F10" w:rsidRPr="00630129" w:rsidRDefault="00FA6F10" w:rsidP="00993AE7">
            <w:pPr>
              <w:rPr>
                <w:sz w:val="22"/>
                <w:szCs w:val="22"/>
              </w:rPr>
            </w:pPr>
            <w:proofErr w:type="spellStart"/>
            <w:r w:rsidRPr="00630129">
              <w:rPr>
                <w:sz w:val="22"/>
                <w:szCs w:val="22"/>
              </w:rPr>
              <w:t>VoLL</w:t>
            </w:r>
            <w:proofErr w:type="spellEnd"/>
          </w:p>
        </w:tc>
        <w:tc>
          <w:tcPr>
            <w:tcW w:w="808"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7669BF37" w14:textId="77777777" w:rsidR="00FA6F10" w:rsidRPr="00630129" w:rsidRDefault="00FA6F10" w:rsidP="00993AE7">
            <w:pPr>
              <w:rPr>
                <w:sz w:val="22"/>
                <w:szCs w:val="22"/>
              </w:rPr>
            </w:pPr>
            <w:r w:rsidRPr="00630129">
              <w:rPr>
                <w:sz w:val="22"/>
                <w:szCs w:val="22"/>
              </w:rPr>
              <w:t>£/MWh</w:t>
            </w:r>
          </w:p>
        </w:tc>
        <w:tc>
          <w:tcPr>
            <w:tcW w:w="2626" w:type="pct"/>
            <w:tcBorders>
              <w:top w:val="single" w:sz="6" w:space="0" w:color="000000"/>
              <w:left w:val="single" w:sz="6" w:space="0" w:color="000000"/>
              <w:bottom w:val="single" w:sz="6" w:space="0" w:color="000000"/>
              <w:right w:val="single" w:sz="6" w:space="0" w:color="000000"/>
            </w:tcBorders>
            <w:tcMar>
              <w:top w:w="68" w:type="dxa"/>
              <w:left w:w="68" w:type="dxa"/>
              <w:bottom w:w="68" w:type="dxa"/>
              <w:right w:w="68" w:type="dxa"/>
            </w:tcMar>
          </w:tcPr>
          <w:p w14:paraId="51D9A6F4" w14:textId="77777777" w:rsidR="00FA6F10" w:rsidRPr="00630129" w:rsidRDefault="00FA6F10" w:rsidP="00993AE7">
            <w:pPr>
              <w:rPr>
                <w:sz w:val="22"/>
                <w:szCs w:val="22"/>
              </w:rPr>
            </w:pPr>
            <w:r w:rsidRPr="00630129">
              <w:rPr>
                <w:sz w:val="22"/>
                <w:szCs w:val="22"/>
              </w:rPr>
              <w:t>Value of Lost Load</w:t>
            </w:r>
          </w:p>
        </w:tc>
      </w:tr>
      <w:tr w:rsidR="00FA6F10" w:rsidRPr="00630129" w14:paraId="39E8D150" w14:textId="77777777">
        <w:tc>
          <w:tcPr>
            <w:tcW w:w="1566" w:type="pct"/>
            <w:tcMar>
              <w:top w:w="68" w:type="dxa"/>
              <w:left w:w="68" w:type="dxa"/>
              <w:bottom w:w="68" w:type="dxa"/>
              <w:right w:w="68" w:type="dxa"/>
            </w:tcMar>
          </w:tcPr>
          <w:p w14:paraId="1DF2A75C" w14:textId="77777777" w:rsidR="00FA6F10" w:rsidRPr="00630129" w:rsidRDefault="00FA6F10" w:rsidP="00993AE7">
            <w:pPr>
              <w:rPr>
                <w:sz w:val="22"/>
                <w:szCs w:val="22"/>
              </w:rPr>
            </w:pPr>
            <w:r w:rsidRPr="00630129">
              <w:rPr>
                <w:sz w:val="22"/>
                <w:szCs w:val="22"/>
              </w:rPr>
              <w:t>w</w:t>
            </w:r>
          </w:p>
        </w:tc>
        <w:tc>
          <w:tcPr>
            <w:tcW w:w="808" w:type="pct"/>
            <w:tcMar>
              <w:top w:w="68" w:type="dxa"/>
              <w:left w:w="68" w:type="dxa"/>
              <w:bottom w:w="68" w:type="dxa"/>
              <w:right w:w="68" w:type="dxa"/>
            </w:tcMar>
          </w:tcPr>
          <w:p w14:paraId="010B3923" w14:textId="77777777" w:rsidR="00FA6F10" w:rsidRPr="00630129" w:rsidRDefault="00FA6F10" w:rsidP="00993AE7">
            <w:pPr>
              <w:rPr>
                <w:sz w:val="22"/>
                <w:szCs w:val="22"/>
              </w:rPr>
            </w:pPr>
          </w:p>
        </w:tc>
        <w:tc>
          <w:tcPr>
            <w:tcW w:w="2626" w:type="pct"/>
            <w:tcMar>
              <w:top w:w="68" w:type="dxa"/>
              <w:left w:w="68" w:type="dxa"/>
              <w:bottom w:w="68" w:type="dxa"/>
              <w:right w:w="68" w:type="dxa"/>
            </w:tcMar>
          </w:tcPr>
          <w:p w14:paraId="269B967C" w14:textId="77777777" w:rsidR="00FA6F10" w:rsidRPr="00630129" w:rsidRDefault="00FA6F10" w:rsidP="00993AE7">
            <w:pPr>
              <w:rPr>
                <w:sz w:val="22"/>
                <w:szCs w:val="22"/>
              </w:rPr>
            </w:pPr>
            <w:r w:rsidRPr="00630129">
              <w:rPr>
                <w:sz w:val="22"/>
                <w:szCs w:val="22"/>
              </w:rPr>
              <w:t>System Action</w:t>
            </w:r>
          </w:p>
        </w:tc>
      </w:tr>
      <w:tr w:rsidR="00FA6F10" w:rsidRPr="00630129" w14:paraId="7096537C" w14:textId="77777777">
        <w:tc>
          <w:tcPr>
            <w:tcW w:w="1566" w:type="pct"/>
            <w:tcMar>
              <w:top w:w="68" w:type="dxa"/>
              <w:left w:w="68" w:type="dxa"/>
              <w:bottom w:w="68" w:type="dxa"/>
              <w:right w:w="68" w:type="dxa"/>
            </w:tcMar>
          </w:tcPr>
          <w:p w14:paraId="33B2CD3B" w14:textId="77777777" w:rsidR="00FA6F10" w:rsidRPr="00630129" w:rsidRDefault="00FA6F10" w:rsidP="00993AE7">
            <w:pPr>
              <w:rPr>
                <w:sz w:val="22"/>
                <w:szCs w:val="22"/>
              </w:rPr>
            </w:pPr>
            <w:proofErr w:type="spellStart"/>
            <w:r w:rsidRPr="00630129">
              <w:rPr>
                <w:sz w:val="22"/>
                <w:szCs w:val="22"/>
              </w:rPr>
              <w:t>WDCALF</w:t>
            </w:r>
            <w:r w:rsidRPr="00630129">
              <w:rPr>
                <w:sz w:val="22"/>
                <w:szCs w:val="22"/>
                <w:vertAlign w:val="subscript"/>
              </w:rPr>
              <w:t>i</w:t>
            </w:r>
            <w:proofErr w:type="spellEnd"/>
          </w:p>
        </w:tc>
        <w:tc>
          <w:tcPr>
            <w:tcW w:w="808" w:type="pct"/>
            <w:tcMar>
              <w:top w:w="68" w:type="dxa"/>
              <w:left w:w="68" w:type="dxa"/>
              <w:bottom w:w="68" w:type="dxa"/>
              <w:right w:w="68" w:type="dxa"/>
            </w:tcMar>
          </w:tcPr>
          <w:p w14:paraId="6D782673" w14:textId="77777777" w:rsidR="00FA6F10" w:rsidRPr="00630129" w:rsidRDefault="00FA6F10" w:rsidP="00993AE7">
            <w:pPr>
              <w:rPr>
                <w:sz w:val="22"/>
                <w:szCs w:val="22"/>
              </w:rPr>
            </w:pPr>
          </w:p>
        </w:tc>
        <w:tc>
          <w:tcPr>
            <w:tcW w:w="2626" w:type="pct"/>
            <w:tcMar>
              <w:top w:w="68" w:type="dxa"/>
              <w:left w:w="68" w:type="dxa"/>
              <w:bottom w:w="68" w:type="dxa"/>
              <w:right w:w="68" w:type="dxa"/>
            </w:tcMar>
          </w:tcPr>
          <w:p w14:paraId="3567F7B3" w14:textId="77777777" w:rsidR="00FA6F10" w:rsidRPr="00630129" w:rsidRDefault="00FA6F10" w:rsidP="00993AE7">
            <w:pPr>
              <w:rPr>
                <w:sz w:val="22"/>
                <w:szCs w:val="22"/>
              </w:rPr>
            </w:pPr>
            <w:r w:rsidRPr="00630129">
              <w:rPr>
                <w:sz w:val="22"/>
                <w:szCs w:val="22"/>
              </w:rPr>
              <w:t>Working Day Credit Assessment Load Factor</w:t>
            </w:r>
          </w:p>
        </w:tc>
      </w:tr>
    </w:tbl>
    <w:p w14:paraId="520DA47F" w14:textId="77777777" w:rsidR="002A68CF" w:rsidRPr="00630129" w:rsidRDefault="002A68CF">
      <w:pPr>
        <w:spacing w:after="220"/>
        <w:rPr>
          <w:sz w:val="22"/>
          <w:szCs w:val="22"/>
        </w:rPr>
      </w:pPr>
    </w:p>
    <w:p w14:paraId="706C7E11" w14:textId="77777777" w:rsidR="002A68CF" w:rsidRPr="00630129" w:rsidRDefault="002A68CF">
      <w:pPr>
        <w:spacing w:after="220"/>
        <w:rPr>
          <w:sz w:val="22"/>
          <w:szCs w:val="22"/>
        </w:rPr>
      </w:pPr>
    </w:p>
    <w:p w14:paraId="0D2D3B87" w14:textId="77777777" w:rsidR="002A68CF" w:rsidRPr="00630129" w:rsidRDefault="002A68CF">
      <w:pPr>
        <w:spacing w:after="220"/>
        <w:rPr>
          <w:sz w:val="22"/>
          <w:szCs w:val="22"/>
        </w:rPr>
      </w:pPr>
    </w:p>
    <w:p w14:paraId="1B516C82" w14:textId="77777777" w:rsidR="002A68CF" w:rsidRPr="00630129" w:rsidRDefault="001C7564">
      <w:pPr>
        <w:pageBreakBefore/>
        <w:spacing w:after="220"/>
        <w:jc w:val="center"/>
        <w:rPr>
          <w:b/>
          <w:sz w:val="22"/>
          <w:szCs w:val="22"/>
        </w:rPr>
      </w:pPr>
      <w:r w:rsidRPr="00630129">
        <w:rPr>
          <w:b/>
          <w:sz w:val="22"/>
          <w:szCs w:val="22"/>
        </w:rPr>
        <w:lastRenderedPageBreak/>
        <w:t>Table X–4</w:t>
      </w:r>
    </w:p>
    <w:p w14:paraId="1DBC6F20" w14:textId="77777777" w:rsidR="002A68CF" w:rsidRPr="00630129" w:rsidRDefault="001C7564">
      <w:pPr>
        <w:spacing w:after="220"/>
        <w:jc w:val="center"/>
        <w:rPr>
          <w:b/>
          <w:sz w:val="22"/>
          <w:szCs w:val="22"/>
        </w:rPr>
      </w:pPr>
      <w:r w:rsidRPr="00630129">
        <w:rPr>
          <w:b/>
          <w:sz w:val="22"/>
          <w:szCs w:val="22"/>
        </w:rPr>
        <w:t>Use of Subscripts and Superscripts Applying to Section S</w:t>
      </w:r>
    </w:p>
    <w:p w14:paraId="60FFE56E" w14:textId="77777777" w:rsidR="002A68CF" w:rsidRPr="00630129" w:rsidRDefault="001C7564">
      <w:pPr>
        <w:spacing w:after="220"/>
        <w:jc w:val="both"/>
        <w:rPr>
          <w:sz w:val="22"/>
          <w:szCs w:val="22"/>
        </w:rPr>
      </w:pPr>
      <w:r w:rsidRPr="00630129">
        <w:rPr>
          <w:sz w:val="22"/>
          <w:szCs w:val="22"/>
        </w:rPr>
        <w:t>The following subscripts used in the formulae and other algebraic expressions contained in the Code shall bear the following respective meanings for Section S of the Code:</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
        <w:gridCol w:w="7859"/>
      </w:tblGrid>
      <w:tr w:rsidR="00630129" w:rsidRPr="00630129" w14:paraId="4DA77A6C" w14:textId="77777777">
        <w:trPr>
          <w:cantSplit/>
        </w:trPr>
        <w:tc>
          <w:tcPr>
            <w:tcW w:w="0" w:type="auto"/>
            <w:tcMar>
              <w:top w:w="85" w:type="dxa"/>
              <w:left w:w="85" w:type="dxa"/>
              <w:bottom w:w="85" w:type="dxa"/>
              <w:right w:w="85" w:type="dxa"/>
            </w:tcMar>
          </w:tcPr>
          <w:p w14:paraId="54119FC0" w14:textId="77777777" w:rsidR="002A68CF" w:rsidRPr="00630129" w:rsidRDefault="001C7564">
            <w:pPr>
              <w:pStyle w:val="BodyText2"/>
              <w:tabs>
                <w:tab w:val="clear" w:pos="-720"/>
                <w:tab w:val="clear" w:pos="142"/>
                <w:tab w:val="clear" w:pos="720"/>
                <w:tab w:val="clear" w:pos="1440"/>
                <w:tab w:val="clear" w:pos="2268"/>
                <w:tab w:val="clear" w:pos="2835"/>
              </w:tabs>
              <w:suppressAutoHyphens w:val="0"/>
              <w:ind w:left="0" w:firstLine="0"/>
              <w:rPr>
                <w:rFonts w:ascii="Times New Roman" w:hAnsi="Times New Roman"/>
                <w:sz w:val="22"/>
                <w:szCs w:val="22"/>
              </w:rPr>
            </w:pPr>
            <w:r w:rsidRPr="00630129">
              <w:rPr>
                <w:rFonts w:ascii="Times New Roman" w:hAnsi="Times New Roman"/>
                <w:sz w:val="22"/>
                <w:szCs w:val="22"/>
              </w:rPr>
              <w:t>a</w:t>
            </w:r>
          </w:p>
        </w:tc>
        <w:tc>
          <w:tcPr>
            <w:tcW w:w="0" w:type="auto"/>
            <w:tcMar>
              <w:top w:w="85" w:type="dxa"/>
              <w:left w:w="85" w:type="dxa"/>
              <w:bottom w:w="85" w:type="dxa"/>
              <w:right w:w="85" w:type="dxa"/>
            </w:tcMar>
          </w:tcPr>
          <w:p w14:paraId="432A6D14" w14:textId="77777777" w:rsidR="002A68CF" w:rsidRPr="00630129" w:rsidRDefault="001C7564">
            <w:pPr>
              <w:pStyle w:val="BodyText2"/>
              <w:tabs>
                <w:tab w:val="clear" w:pos="-720"/>
                <w:tab w:val="clear" w:pos="142"/>
                <w:tab w:val="clear" w:pos="720"/>
                <w:tab w:val="clear" w:pos="1440"/>
                <w:tab w:val="clear" w:pos="2268"/>
                <w:tab w:val="clear" w:pos="2835"/>
              </w:tabs>
              <w:suppressAutoHyphens w:val="0"/>
              <w:ind w:left="0" w:firstLine="0"/>
              <w:rPr>
                <w:rFonts w:ascii="Times New Roman" w:hAnsi="Times New Roman"/>
                <w:sz w:val="22"/>
                <w:szCs w:val="22"/>
              </w:rPr>
            </w:pPr>
            <w:r w:rsidRPr="00630129">
              <w:rPr>
                <w:rFonts w:ascii="Times New Roman" w:hAnsi="Times New Roman"/>
                <w:sz w:val="22"/>
                <w:szCs w:val="22"/>
              </w:rPr>
              <w:t>refers to a Data Aggregator or, as the context may require in paragraph 3.5 of Annex S-2, to a Data Aggregator appointed by a Primary Supplier against a Primary SVA Metering System Number and a Data Aggregator appointed by an associated Secondary Supplier against a Secondary SVA Metering System Number;</w:t>
            </w:r>
          </w:p>
        </w:tc>
      </w:tr>
      <w:tr w:rsidR="00630129" w:rsidRPr="00630129" w14:paraId="69EF54A2" w14:textId="77777777">
        <w:trPr>
          <w:cantSplit/>
        </w:trPr>
        <w:tc>
          <w:tcPr>
            <w:tcW w:w="0" w:type="auto"/>
            <w:tcMar>
              <w:top w:w="85" w:type="dxa"/>
              <w:left w:w="85" w:type="dxa"/>
              <w:bottom w:w="85" w:type="dxa"/>
              <w:right w:w="85" w:type="dxa"/>
            </w:tcMar>
          </w:tcPr>
          <w:p w14:paraId="2D105920" w14:textId="77777777" w:rsidR="002A68CF" w:rsidRPr="00630129" w:rsidRDefault="001C7564">
            <w:pPr>
              <w:pStyle w:val="BodyTextIndent2"/>
              <w:tabs>
                <w:tab w:val="clear" w:pos="-720"/>
                <w:tab w:val="clear" w:pos="142"/>
                <w:tab w:val="clear" w:pos="720"/>
                <w:tab w:val="clear" w:pos="1440"/>
                <w:tab w:val="clear" w:pos="2160"/>
                <w:tab w:val="clear" w:pos="2880"/>
              </w:tabs>
              <w:suppressAutoHyphens w:val="0"/>
              <w:ind w:left="0" w:firstLine="0"/>
              <w:rPr>
                <w:rFonts w:ascii="Times New Roman" w:hAnsi="Times New Roman"/>
                <w:sz w:val="22"/>
                <w:szCs w:val="22"/>
              </w:rPr>
            </w:pPr>
            <w:r w:rsidRPr="00630129">
              <w:rPr>
                <w:rFonts w:ascii="Times New Roman" w:hAnsi="Times New Roman"/>
                <w:sz w:val="22"/>
                <w:szCs w:val="22"/>
              </w:rPr>
              <w:t>a1</w:t>
            </w:r>
          </w:p>
        </w:tc>
        <w:tc>
          <w:tcPr>
            <w:tcW w:w="0" w:type="auto"/>
            <w:tcMar>
              <w:top w:w="85" w:type="dxa"/>
              <w:left w:w="85" w:type="dxa"/>
              <w:bottom w:w="85" w:type="dxa"/>
              <w:right w:w="85" w:type="dxa"/>
            </w:tcMar>
          </w:tcPr>
          <w:p w14:paraId="6737FCEF" w14:textId="77777777" w:rsidR="002A68CF" w:rsidRPr="00630129" w:rsidRDefault="001C7564">
            <w:pPr>
              <w:pStyle w:val="BodyTextIndent2"/>
              <w:tabs>
                <w:tab w:val="clear" w:pos="-720"/>
                <w:tab w:val="clear" w:pos="142"/>
                <w:tab w:val="clear" w:pos="720"/>
                <w:tab w:val="clear" w:pos="1440"/>
                <w:tab w:val="clear" w:pos="2160"/>
                <w:tab w:val="clear" w:pos="2880"/>
              </w:tabs>
              <w:suppressAutoHyphens w:val="0"/>
              <w:ind w:left="0" w:firstLine="0"/>
              <w:rPr>
                <w:rFonts w:ascii="Times New Roman" w:hAnsi="Times New Roman"/>
                <w:sz w:val="22"/>
                <w:szCs w:val="22"/>
              </w:rPr>
            </w:pPr>
            <w:r w:rsidRPr="00630129">
              <w:rPr>
                <w:rFonts w:ascii="Times New Roman" w:hAnsi="Times New Roman"/>
                <w:sz w:val="22"/>
                <w:szCs w:val="22"/>
              </w:rPr>
              <w:t>refers to a Data Aggregator appointed by a Primary Supplier against a Primary SVA Metering System Number K1;</w:t>
            </w:r>
          </w:p>
        </w:tc>
      </w:tr>
      <w:tr w:rsidR="00630129" w:rsidRPr="00630129" w14:paraId="77E96E06" w14:textId="77777777">
        <w:trPr>
          <w:cantSplit/>
        </w:trPr>
        <w:tc>
          <w:tcPr>
            <w:tcW w:w="0" w:type="auto"/>
            <w:tcMar>
              <w:top w:w="85" w:type="dxa"/>
              <w:left w:w="85" w:type="dxa"/>
              <w:bottom w:w="85" w:type="dxa"/>
              <w:right w:w="85" w:type="dxa"/>
            </w:tcMar>
          </w:tcPr>
          <w:p w14:paraId="1D8EB5B4" w14:textId="77777777" w:rsidR="002A68CF" w:rsidRPr="00630129" w:rsidRDefault="001C7564">
            <w:pPr>
              <w:pStyle w:val="BodyTextIndent2"/>
              <w:tabs>
                <w:tab w:val="clear" w:pos="-720"/>
                <w:tab w:val="clear" w:pos="142"/>
                <w:tab w:val="clear" w:pos="720"/>
                <w:tab w:val="clear" w:pos="1440"/>
                <w:tab w:val="clear" w:pos="2160"/>
                <w:tab w:val="clear" w:pos="2880"/>
              </w:tabs>
              <w:suppressAutoHyphens w:val="0"/>
              <w:ind w:left="0" w:firstLine="0"/>
              <w:rPr>
                <w:rFonts w:ascii="Times New Roman" w:hAnsi="Times New Roman"/>
                <w:sz w:val="22"/>
                <w:szCs w:val="22"/>
              </w:rPr>
            </w:pPr>
            <w:r w:rsidRPr="00630129">
              <w:rPr>
                <w:rFonts w:ascii="Times New Roman" w:hAnsi="Times New Roman"/>
                <w:sz w:val="22"/>
                <w:szCs w:val="22"/>
              </w:rPr>
              <w:t>a1.1</w:t>
            </w:r>
          </w:p>
        </w:tc>
        <w:tc>
          <w:tcPr>
            <w:tcW w:w="0" w:type="auto"/>
            <w:tcMar>
              <w:top w:w="85" w:type="dxa"/>
              <w:left w:w="85" w:type="dxa"/>
              <w:bottom w:w="85" w:type="dxa"/>
              <w:right w:w="85" w:type="dxa"/>
            </w:tcMar>
          </w:tcPr>
          <w:p w14:paraId="06DD6E9F" w14:textId="77777777" w:rsidR="002A68CF" w:rsidRPr="00630129" w:rsidRDefault="001C7564">
            <w:pPr>
              <w:pStyle w:val="BodyTextIndent2"/>
              <w:tabs>
                <w:tab w:val="clear" w:pos="-720"/>
                <w:tab w:val="clear" w:pos="142"/>
                <w:tab w:val="clear" w:pos="720"/>
                <w:tab w:val="clear" w:pos="1440"/>
                <w:tab w:val="clear" w:pos="2160"/>
                <w:tab w:val="clear" w:pos="2880"/>
              </w:tabs>
              <w:suppressAutoHyphens w:val="0"/>
              <w:ind w:left="0" w:firstLine="0"/>
              <w:rPr>
                <w:rFonts w:ascii="Times New Roman" w:hAnsi="Times New Roman"/>
                <w:sz w:val="22"/>
                <w:szCs w:val="22"/>
              </w:rPr>
            </w:pPr>
            <w:r w:rsidRPr="00630129">
              <w:rPr>
                <w:rFonts w:ascii="Times New Roman" w:hAnsi="Times New Roman"/>
                <w:sz w:val="22"/>
                <w:szCs w:val="22"/>
              </w:rPr>
              <w:t>refers to a Data Aggregator appointed by a Primary Supplier against a Primary SVA Metering System Number K1.1;</w:t>
            </w:r>
          </w:p>
        </w:tc>
      </w:tr>
      <w:tr w:rsidR="00630129" w:rsidRPr="00630129" w14:paraId="0F5A9C81" w14:textId="77777777">
        <w:trPr>
          <w:cantSplit/>
        </w:trPr>
        <w:tc>
          <w:tcPr>
            <w:tcW w:w="0" w:type="auto"/>
            <w:tcMar>
              <w:top w:w="85" w:type="dxa"/>
              <w:left w:w="85" w:type="dxa"/>
              <w:bottom w:w="85" w:type="dxa"/>
              <w:right w:w="85" w:type="dxa"/>
            </w:tcMar>
          </w:tcPr>
          <w:p w14:paraId="512ED916" w14:textId="77777777" w:rsidR="002A68CF" w:rsidRPr="00630129" w:rsidRDefault="001C7564">
            <w:pPr>
              <w:pStyle w:val="EndnoteText"/>
              <w:rPr>
                <w:sz w:val="22"/>
                <w:szCs w:val="22"/>
              </w:rPr>
            </w:pPr>
            <w:r w:rsidRPr="00630129">
              <w:rPr>
                <w:sz w:val="22"/>
                <w:szCs w:val="22"/>
              </w:rPr>
              <w:t>an</w:t>
            </w:r>
          </w:p>
        </w:tc>
        <w:tc>
          <w:tcPr>
            <w:tcW w:w="0" w:type="auto"/>
            <w:tcMar>
              <w:top w:w="85" w:type="dxa"/>
              <w:left w:w="85" w:type="dxa"/>
              <w:bottom w:w="85" w:type="dxa"/>
              <w:right w:w="85" w:type="dxa"/>
            </w:tcMar>
          </w:tcPr>
          <w:p w14:paraId="0D4AF30B" w14:textId="77777777" w:rsidR="002A68CF" w:rsidRPr="00630129" w:rsidRDefault="001C7564">
            <w:pPr>
              <w:pStyle w:val="EndnoteText"/>
              <w:rPr>
                <w:sz w:val="22"/>
                <w:szCs w:val="22"/>
              </w:rPr>
            </w:pPr>
            <w:r w:rsidRPr="00630129">
              <w:rPr>
                <w:sz w:val="22"/>
                <w:szCs w:val="22"/>
              </w:rPr>
              <w:t xml:space="preserve">refers to a Data Aggregator appointed by a Secondary Supplier against a Secondary SVA Metering System Number </w:t>
            </w:r>
            <w:proofErr w:type="spellStart"/>
            <w:r w:rsidRPr="00630129">
              <w:rPr>
                <w:sz w:val="22"/>
                <w:szCs w:val="22"/>
              </w:rPr>
              <w:t>Kn</w:t>
            </w:r>
            <w:proofErr w:type="spellEnd"/>
            <w:r w:rsidRPr="00630129">
              <w:rPr>
                <w:sz w:val="22"/>
                <w:szCs w:val="22"/>
              </w:rPr>
              <w:t>;</w:t>
            </w:r>
          </w:p>
        </w:tc>
      </w:tr>
      <w:tr w:rsidR="00630129" w:rsidRPr="00630129" w14:paraId="313F4B38" w14:textId="77777777">
        <w:trPr>
          <w:cantSplit/>
        </w:trPr>
        <w:tc>
          <w:tcPr>
            <w:tcW w:w="0" w:type="auto"/>
            <w:tcMar>
              <w:top w:w="85" w:type="dxa"/>
              <w:left w:w="85" w:type="dxa"/>
              <w:bottom w:w="85" w:type="dxa"/>
              <w:right w:w="85" w:type="dxa"/>
            </w:tcMar>
          </w:tcPr>
          <w:p w14:paraId="2232BA7C" w14:textId="77777777" w:rsidR="002A68CF" w:rsidRPr="00630129" w:rsidRDefault="001C7564">
            <w:pPr>
              <w:pStyle w:val="EndnoteText"/>
              <w:rPr>
                <w:sz w:val="22"/>
                <w:szCs w:val="22"/>
              </w:rPr>
            </w:pPr>
            <w:r w:rsidRPr="00630129">
              <w:rPr>
                <w:sz w:val="22"/>
                <w:szCs w:val="22"/>
              </w:rPr>
              <w:t>an.1</w:t>
            </w:r>
          </w:p>
        </w:tc>
        <w:tc>
          <w:tcPr>
            <w:tcW w:w="0" w:type="auto"/>
            <w:tcMar>
              <w:top w:w="85" w:type="dxa"/>
              <w:left w:w="85" w:type="dxa"/>
              <w:bottom w:w="85" w:type="dxa"/>
              <w:right w:w="85" w:type="dxa"/>
            </w:tcMar>
          </w:tcPr>
          <w:p w14:paraId="0F28F4AD" w14:textId="77777777" w:rsidR="002A68CF" w:rsidRPr="00630129" w:rsidRDefault="001C7564">
            <w:pPr>
              <w:pStyle w:val="EndnoteText"/>
              <w:rPr>
                <w:sz w:val="22"/>
                <w:szCs w:val="22"/>
              </w:rPr>
            </w:pPr>
            <w:r w:rsidRPr="00630129">
              <w:rPr>
                <w:sz w:val="22"/>
                <w:szCs w:val="22"/>
              </w:rPr>
              <w:t>refers to a Data Aggregator appointed by a Secondary Supplier against a Secondary SVA Metering System Number Kn.1;</w:t>
            </w:r>
          </w:p>
        </w:tc>
      </w:tr>
      <w:tr w:rsidR="00630129" w:rsidRPr="00630129" w14:paraId="1DA03BE1" w14:textId="77777777">
        <w:trPr>
          <w:cantSplit/>
        </w:trPr>
        <w:tc>
          <w:tcPr>
            <w:tcW w:w="0" w:type="auto"/>
            <w:tcMar>
              <w:top w:w="85" w:type="dxa"/>
              <w:left w:w="85" w:type="dxa"/>
              <w:bottom w:w="85" w:type="dxa"/>
              <w:right w:w="85" w:type="dxa"/>
            </w:tcMar>
          </w:tcPr>
          <w:p w14:paraId="643569ED" w14:textId="77777777" w:rsidR="002A68CF" w:rsidRPr="00630129" w:rsidRDefault="001C7564">
            <w:pPr>
              <w:rPr>
                <w:sz w:val="22"/>
                <w:szCs w:val="22"/>
              </w:rPr>
            </w:pPr>
            <w:r w:rsidRPr="00630129">
              <w:rPr>
                <w:sz w:val="22"/>
                <w:szCs w:val="22"/>
              </w:rPr>
              <w:t>(aa)</w:t>
            </w:r>
          </w:p>
        </w:tc>
        <w:tc>
          <w:tcPr>
            <w:tcW w:w="0" w:type="auto"/>
            <w:tcMar>
              <w:top w:w="85" w:type="dxa"/>
              <w:left w:w="85" w:type="dxa"/>
              <w:bottom w:w="85" w:type="dxa"/>
              <w:right w:w="85" w:type="dxa"/>
            </w:tcMar>
          </w:tcPr>
          <w:p w14:paraId="702D86FB" w14:textId="77777777" w:rsidR="002A68CF" w:rsidRPr="00630129" w:rsidRDefault="001C7564">
            <w:pPr>
              <w:rPr>
                <w:sz w:val="22"/>
                <w:szCs w:val="22"/>
              </w:rPr>
            </w:pPr>
            <w:r w:rsidRPr="00630129">
              <w:rPr>
                <w:sz w:val="22"/>
                <w:szCs w:val="22"/>
              </w:rPr>
              <w:t>refers to an Analysis Class;</w:t>
            </w:r>
          </w:p>
        </w:tc>
      </w:tr>
      <w:tr w:rsidR="00630129" w:rsidRPr="00630129" w14:paraId="41183290" w14:textId="77777777">
        <w:trPr>
          <w:cantSplit/>
        </w:trPr>
        <w:tc>
          <w:tcPr>
            <w:tcW w:w="0" w:type="auto"/>
            <w:tcMar>
              <w:top w:w="85" w:type="dxa"/>
              <w:left w:w="85" w:type="dxa"/>
              <w:bottom w:w="85" w:type="dxa"/>
              <w:right w:w="85" w:type="dxa"/>
            </w:tcMar>
          </w:tcPr>
          <w:p w14:paraId="2725E169" w14:textId="77777777" w:rsidR="002A68CF" w:rsidRPr="00630129" w:rsidRDefault="001C7564">
            <w:pPr>
              <w:rPr>
                <w:sz w:val="22"/>
                <w:szCs w:val="22"/>
              </w:rPr>
            </w:pPr>
            <w:r w:rsidRPr="00630129">
              <w:rPr>
                <w:sz w:val="22"/>
                <w:szCs w:val="22"/>
              </w:rPr>
              <w:t>(</w:t>
            </w:r>
            <w:proofErr w:type="spellStart"/>
            <w:r w:rsidRPr="00630129">
              <w:rPr>
                <w:sz w:val="22"/>
                <w:szCs w:val="22"/>
              </w:rPr>
              <w:t>ai</w:t>
            </w:r>
            <w:proofErr w:type="spellEnd"/>
            <w:r w:rsidRPr="00630129">
              <w:rPr>
                <w:sz w:val="22"/>
                <w:szCs w:val="22"/>
              </w:rPr>
              <w:t>)</w:t>
            </w:r>
          </w:p>
        </w:tc>
        <w:tc>
          <w:tcPr>
            <w:tcW w:w="0" w:type="auto"/>
            <w:tcMar>
              <w:top w:w="85" w:type="dxa"/>
              <w:left w:w="85" w:type="dxa"/>
              <w:bottom w:w="85" w:type="dxa"/>
              <w:right w:w="85" w:type="dxa"/>
            </w:tcMar>
          </w:tcPr>
          <w:p w14:paraId="7345353C" w14:textId="77777777" w:rsidR="002A68CF" w:rsidRPr="00630129" w:rsidRDefault="001C7564">
            <w:pPr>
              <w:rPr>
                <w:sz w:val="22"/>
                <w:szCs w:val="22"/>
              </w:rPr>
            </w:pPr>
            <w:r w:rsidRPr="00630129">
              <w:rPr>
                <w:sz w:val="22"/>
                <w:szCs w:val="22"/>
              </w:rPr>
              <w:t xml:space="preserve">refers to an Adjusted Interval; </w:t>
            </w:r>
          </w:p>
        </w:tc>
      </w:tr>
      <w:tr w:rsidR="00630129" w:rsidRPr="00630129" w14:paraId="44A8DED5" w14:textId="77777777">
        <w:trPr>
          <w:cantSplit/>
        </w:trPr>
        <w:tc>
          <w:tcPr>
            <w:tcW w:w="0" w:type="auto"/>
            <w:tcMar>
              <w:top w:w="85" w:type="dxa"/>
              <w:left w:w="85" w:type="dxa"/>
              <w:bottom w:w="85" w:type="dxa"/>
              <w:right w:w="85" w:type="dxa"/>
            </w:tcMar>
          </w:tcPr>
          <w:p w14:paraId="58588A37" w14:textId="77777777" w:rsidR="002A68CF" w:rsidRPr="00630129" w:rsidRDefault="001C7564">
            <w:pPr>
              <w:rPr>
                <w:sz w:val="22"/>
                <w:szCs w:val="22"/>
              </w:rPr>
            </w:pPr>
            <w:r w:rsidRPr="00630129">
              <w:rPr>
                <w:sz w:val="22"/>
                <w:szCs w:val="22"/>
              </w:rPr>
              <w:t>j</w:t>
            </w:r>
          </w:p>
        </w:tc>
        <w:tc>
          <w:tcPr>
            <w:tcW w:w="0" w:type="auto"/>
            <w:tcMar>
              <w:top w:w="85" w:type="dxa"/>
              <w:left w:w="85" w:type="dxa"/>
              <w:bottom w:w="85" w:type="dxa"/>
              <w:right w:w="85" w:type="dxa"/>
            </w:tcMar>
          </w:tcPr>
          <w:p w14:paraId="57BB39E5" w14:textId="77777777" w:rsidR="002A68CF" w:rsidRPr="00630129" w:rsidRDefault="001C7564">
            <w:pPr>
              <w:rPr>
                <w:sz w:val="22"/>
                <w:szCs w:val="22"/>
              </w:rPr>
            </w:pPr>
            <w:r w:rsidRPr="00630129">
              <w:rPr>
                <w:sz w:val="22"/>
                <w:szCs w:val="22"/>
              </w:rPr>
              <w:t>refers to a Settlement Period;</w:t>
            </w:r>
          </w:p>
        </w:tc>
      </w:tr>
      <w:tr w:rsidR="00630129" w:rsidRPr="00630129" w14:paraId="6E52D882" w14:textId="77777777">
        <w:trPr>
          <w:cantSplit/>
        </w:trPr>
        <w:tc>
          <w:tcPr>
            <w:tcW w:w="0" w:type="auto"/>
            <w:tcMar>
              <w:top w:w="85" w:type="dxa"/>
              <w:left w:w="85" w:type="dxa"/>
              <w:bottom w:w="85" w:type="dxa"/>
              <w:right w:w="85" w:type="dxa"/>
            </w:tcMar>
          </w:tcPr>
          <w:p w14:paraId="1D7966A6" w14:textId="77777777" w:rsidR="002A68CF" w:rsidRPr="00630129" w:rsidRDefault="001C7564">
            <w:pPr>
              <w:rPr>
                <w:sz w:val="22"/>
                <w:szCs w:val="22"/>
              </w:rPr>
            </w:pPr>
            <w:proofErr w:type="spellStart"/>
            <w:r w:rsidRPr="00630129">
              <w:rPr>
                <w:sz w:val="22"/>
                <w:szCs w:val="22"/>
              </w:rPr>
              <w:t>i</w:t>
            </w:r>
            <w:proofErr w:type="spellEnd"/>
          </w:p>
        </w:tc>
        <w:tc>
          <w:tcPr>
            <w:tcW w:w="0" w:type="auto"/>
            <w:tcMar>
              <w:top w:w="85" w:type="dxa"/>
              <w:left w:w="85" w:type="dxa"/>
              <w:bottom w:w="85" w:type="dxa"/>
              <w:right w:w="85" w:type="dxa"/>
            </w:tcMar>
          </w:tcPr>
          <w:p w14:paraId="5563BCE7" w14:textId="77777777" w:rsidR="002A68CF" w:rsidRPr="00630129" w:rsidRDefault="001C7564">
            <w:pPr>
              <w:rPr>
                <w:sz w:val="22"/>
                <w:szCs w:val="22"/>
              </w:rPr>
            </w:pPr>
            <w:r w:rsidRPr="00630129">
              <w:rPr>
                <w:sz w:val="22"/>
                <w:szCs w:val="22"/>
              </w:rPr>
              <w:t>refers to a BM Unit;</w:t>
            </w:r>
          </w:p>
        </w:tc>
      </w:tr>
      <w:tr w:rsidR="00630129" w:rsidRPr="00630129" w14:paraId="29364681" w14:textId="77777777">
        <w:trPr>
          <w:cantSplit/>
        </w:trPr>
        <w:tc>
          <w:tcPr>
            <w:tcW w:w="0" w:type="auto"/>
            <w:tcMar>
              <w:top w:w="85" w:type="dxa"/>
              <w:left w:w="85" w:type="dxa"/>
              <w:bottom w:w="85" w:type="dxa"/>
              <w:right w:w="85" w:type="dxa"/>
            </w:tcMar>
          </w:tcPr>
          <w:p w14:paraId="7B48F752" w14:textId="77777777" w:rsidR="002A68CF" w:rsidRPr="00630129" w:rsidRDefault="001C7564">
            <w:pPr>
              <w:rPr>
                <w:sz w:val="22"/>
                <w:szCs w:val="22"/>
              </w:rPr>
            </w:pPr>
            <w:r w:rsidRPr="00630129">
              <w:rPr>
                <w:sz w:val="22"/>
                <w:szCs w:val="22"/>
              </w:rPr>
              <w:t>i2</w:t>
            </w:r>
          </w:p>
        </w:tc>
        <w:tc>
          <w:tcPr>
            <w:tcW w:w="0" w:type="auto"/>
            <w:tcMar>
              <w:top w:w="85" w:type="dxa"/>
              <w:left w:w="85" w:type="dxa"/>
              <w:bottom w:w="85" w:type="dxa"/>
              <w:right w:w="85" w:type="dxa"/>
            </w:tcMar>
          </w:tcPr>
          <w:p w14:paraId="39450DFC" w14:textId="77777777" w:rsidR="002A68CF" w:rsidRPr="00630129" w:rsidRDefault="001C7564">
            <w:pPr>
              <w:rPr>
                <w:sz w:val="22"/>
                <w:szCs w:val="22"/>
              </w:rPr>
            </w:pPr>
            <w:r w:rsidRPr="00630129">
              <w:rPr>
                <w:sz w:val="22"/>
                <w:szCs w:val="22"/>
              </w:rPr>
              <w:t>refers to a Secondary BM Unit (where applicable);</w:t>
            </w:r>
          </w:p>
        </w:tc>
      </w:tr>
      <w:tr w:rsidR="00630129" w:rsidRPr="00630129" w14:paraId="3420D88C" w14:textId="77777777">
        <w:trPr>
          <w:cantSplit/>
        </w:trPr>
        <w:tc>
          <w:tcPr>
            <w:tcW w:w="0" w:type="auto"/>
            <w:tcMar>
              <w:top w:w="85" w:type="dxa"/>
              <w:left w:w="85" w:type="dxa"/>
              <w:bottom w:w="85" w:type="dxa"/>
              <w:right w:w="85" w:type="dxa"/>
            </w:tcMar>
          </w:tcPr>
          <w:p w14:paraId="223B810E" w14:textId="77777777" w:rsidR="002A68CF" w:rsidRPr="00630129" w:rsidRDefault="001C7564">
            <w:pPr>
              <w:rPr>
                <w:sz w:val="22"/>
                <w:szCs w:val="22"/>
              </w:rPr>
            </w:pPr>
            <w:r w:rsidRPr="00630129">
              <w:rPr>
                <w:sz w:val="22"/>
                <w:szCs w:val="22"/>
              </w:rPr>
              <w:t>(</w:t>
            </w:r>
            <w:proofErr w:type="spellStart"/>
            <w:r w:rsidRPr="00630129">
              <w:rPr>
                <w:sz w:val="22"/>
                <w:szCs w:val="22"/>
              </w:rPr>
              <w:t>nn</w:t>
            </w:r>
            <w:proofErr w:type="spellEnd"/>
            <w:r w:rsidRPr="00630129">
              <w:rPr>
                <w:sz w:val="22"/>
                <w:szCs w:val="22"/>
              </w:rPr>
              <w:t>)</w:t>
            </w:r>
          </w:p>
        </w:tc>
        <w:tc>
          <w:tcPr>
            <w:tcW w:w="0" w:type="auto"/>
            <w:tcMar>
              <w:top w:w="85" w:type="dxa"/>
              <w:left w:w="85" w:type="dxa"/>
              <w:bottom w:w="85" w:type="dxa"/>
              <w:right w:w="85" w:type="dxa"/>
            </w:tcMar>
          </w:tcPr>
          <w:p w14:paraId="5FD2C6C8" w14:textId="77777777" w:rsidR="002A68CF" w:rsidRPr="00630129" w:rsidRDefault="001C7564">
            <w:pPr>
              <w:rPr>
                <w:sz w:val="22"/>
                <w:szCs w:val="22"/>
              </w:rPr>
            </w:pPr>
            <w:r w:rsidRPr="00630129">
              <w:rPr>
                <w:sz w:val="22"/>
                <w:szCs w:val="22"/>
              </w:rPr>
              <w:t>refers to an individual value of the Regression Coefficient (RC) or of the Matrix of Regression Coefficients (MRC), according to the context;</w:t>
            </w:r>
          </w:p>
        </w:tc>
      </w:tr>
      <w:tr w:rsidR="00630129" w:rsidRPr="00630129" w14:paraId="3091C752" w14:textId="77777777">
        <w:trPr>
          <w:cantSplit/>
        </w:trPr>
        <w:tc>
          <w:tcPr>
            <w:tcW w:w="0" w:type="auto"/>
            <w:tcMar>
              <w:top w:w="85" w:type="dxa"/>
              <w:left w:w="85" w:type="dxa"/>
              <w:bottom w:w="85" w:type="dxa"/>
              <w:right w:w="85" w:type="dxa"/>
            </w:tcMar>
          </w:tcPr>
          <w:p w14:paraId="6B20504B" w14:textId="77777777" w:rsidR="002A68CF" w:rsidRPr="00630129" w:rsidRDefault="001C7564">
            <w:pPr>
              <w:rPr>
                <w:sz w:val="22"/>
                <w:szCs w:val="22"/>
              </w:rPr>
            </w:pPr>
            <w:r w:rsidRPr="00630129">
              <w:rPr>
                <w:sz w:val="22"/>
                <w:szCs w:val="22"/>
              </w:rPr>
              <w:t>(</w:t>
            </w:r>
            <w:proofErr w:type="spellStart"/>
            <w:r w:rsidRPr="00630129">
              <w:rPr>
                <w:sz w:val="22"/>
                <w:szCs w:val="22"/>
              </w:rPr>
              <w:t>vv</w:t>
            </w:r>
            <w:proofErr w:type="spellEnd"/>
            <w:r w:rsidRPr="00630129">
              <w:rPr>
                <w:sz w:val="22"/>
                <w:szCs w:val="22"/>
              </w:rPr>
              <w:t>)</w:t>
            </w:r>
          </w:p>
        </w:tc>
        <w:tc>
          <w:tcPr>
            <w:tcW w:w="0" w:type="auto"/>
            <w:tcMar>
              <w:top w:w="85" w:type="dxa"/>
              <w:left w:w="85" w:type="dxa"/>
              <w:bottom w:w="85" w:type="dxa"/>
              <w:right w:w="85" w:type="dxa"/>
            </w:tcMar>
          </w:tcPr>
          <w:p w14:paraId="51B53A7E" w14:textId="77777777" w:rsidR="002A68CF" w:rsidRPr="00630129" w:rsidRDefault="001C7564">
            <w:pPr>
              <w:rPr>
                <w:sz w:val="22"/>
                <w:szCs w:val="22"/>
              </w:rPr>
            </w:pPr>
            <w:r w:rsidRPr="00630129">
              <w:rPr>
                <w:sz w:val="22"/>
                <w:szCs w:val="22"/>
              </w:rPr>
              <w:t>refers to a Consumption Component Class (not for line losses) associated with Consumption Component Class N;</w:t>
            </w:r>
          </w:p>
        </w:tc>
      </w:tr>
      <w:tr w:rsidR="00630129" w:rsidRPr="00630129" w14:paraId="710596A2" w14:textId="77777777">
        <w:trPr>
          <w:cantSplit/>
        </w:trPr>
        <w:tc>
          <w:tcPr>
            <w:tcW w:w="0" w:type="auto"/>
            <w:tcMar>
              <w:top w:w="85" w:type="dxa"/>
              <w:left w:w="85" w:type="dxa"/>
              <w:bottom w:w="85" w:type="dxa"/>
              <w:right w:w="85" w:type="dxa"/>
            </w:tcMar>
          </w:tcPr>
          <w:p w14:paraId="63985C92" w14:textId="77777777" w:rsidR="002A68CF" w:rsidRPr="00630129" w:rsidRDefault="001C7564">
            <w:pPr>
              <w:rPr>
                <w:sz w:val="22"/>
                <w:szCs w:val="22"/>
              </w:rPr>
            </w:pPr>
            <w:r w:rsidRPr="00630129">
              <w:rPr>
                <w:sz w:val="22"/>
                <w:szCs w:val="22"/>
              </w:rPr>
              <w:t>(</w:t>
            </w:r>
            <w:proofErr w:type="spellStart"/>
            <w:r w:rsidRPr="00630129">
              <w:rPr>
                <w:sz w:val="22"/>
                <w:szCs w:val="22"/>
              </w:rPr>
              <w:t>vvn</w:t>
            </w:r>
            <w:proofErr w:type="spellEnd"/>
            <w:r w:rsidRPr="00630129">
              <w:rPr>
                <w:sz w:val="22"/>
                <w:szCs w:val="22"/>
              </w:rPr>
              <w:t>)</w:t>
            </w:r>
          </w:p>
        </w:tc>
        <w:tc>
          <w:tcPr>
            <w:tcW w:w="0" w:type="auto"/>
            <w:tcMar>
              <w:top w:w="85" w:type="dxa"/>
              <w:left w:w="85" w:type="dxa"/>
              <w:bottom w:w="85" w:type="dxa"/>
              <w:right w:w="85" w:type="dxa"/>
            </w:tcMar>
          </w:tcPr>
          <w:p w14:paraId="67242753" w14:textId="77777777" w:rsidR="002A68CF" w:rsidRPr="00630129" w:rsidRDefault="001C7564">
            <w:pPr>
              <w:rPr>
                <w:sz w:val="22"/>
                <w:szCs w:val="22"/>
              </w:rPr>
            </w:pPr>
            <w:r w:rsidRPr="00630129">
              <w:rPr>
                <w:sz w:val="22"/>
                <w:szCs w:val="22"/>
              </w:rPr>
              <w:t>refers to a Consumption Component Class (not for line losses) associated with Consumption Component Class N for which the data aggregation type is ‘N’;</w:t>
            </w:r>
          </w:p>
        </w:tc>
      </w:tr>
      <w:tr w:rsidR="00630129" w:rsidRPr="00630129" w14:paraId="6CE47F8C" w14:textId="77777777">
        <w:trPr>
          <w:cantSplit/>
        </w:trPr>
        <w:tc>
          <w:tcPr>
            <w:tcW w:w="0" w:type="auto"/>
            <w:tcMar>
              <w:top w:w="85" w:type="dxa"/>
              <w:left w:w="85" w:type="dxa"/>
              <w:bottom w:w="85" w:type="dxa"/>
              <w:right w:w="85" w:type="dxa"/>
            </w:tcMar>
          </w:tcPr>
          <w:p w14:paraId="7E70ABE0" w14:textId="77777777" w:rsidR="002A68CF" w:rsidRPr="00630129" w:rsidRDefault="001C7564">
            <w:pPr>
              <w:rPr>
                <w:sz w:val="22"/>
                <w:szCs w:val="22"/>
              </w:rPr>
            </w:pPr>
            <w:r w:rsidRPr="00630129">
              <w:rPr>
                <w:sz w:val="22"/>
                <w:szCs w:val="22"/>
              </w:rPr>
              <w:t>q</w:t>
            </w:r>
          </w:p>
        </w:tc>
        <w:tc>
          <w:tcPr>
            <w:tcW w:w="0" w:type="auto"/>
            <w:tcMar>
              <w:top w:w="85" w:type="dxa"/>
              <w:left w:w="85" w:type="dxa"/>
              <w:bottom w:w="85" w:type="dxa"/>
              <w:right w:w="85" w:type="dxa"/>
            </w:tcMar>
          </w:tcPr>
          <w:p w14:paraId="437EA749" w14:textId="77777777" w:rsidR="002A68CF" w:rsidRPr="00630129" w:rsidRDefault="001C7564">
            <w:pPr>
              <w:rPr>
                <w:sz w:val="22"/>
                <w:szCs w:val="22"/>
              </w:rPr>
            </w:pPr>
            <w:r w:rsidRPr="00630129">
              <w:rPr>
                <w:sz w:val="22"/>
                <w:szCs w:val="22"/>
              </w:rPr>
              <w:t>refers to a calendar quarter;</w:t>
            </w:r>
          </w:p>
        </w:tc>
      </w:tr>
      <w:tr w:rsidR="00630129" w:rsidRPr="00630129" w14:paraId="3DB7C1B7" w14:textId="77777777">
        <w:trPr>
          <w:cantSplit/>
        </w:trPr>
        <w:tc>
          <w:tcPr>
            <w:tcW w:w="0" w:type="auto"/>
            <w:tcMar>
              <w:top w:w="85" w:type="dxa"/>
              <w:left w:w="85" w:type="dxa"/>
              <w:bottom w:w="85" w:type="dxa"/>
              <w:right w:w="85" w:type="dxa"/>
            </w:tcMar>
          </w:tcPr>
          <w:p w14:paraId="14FE0A82" w14:textId="77777777" w:rsidR="002A68CF" w:rsidRPr="00630129" w:rsidRDefault="001C7564">
            <w:pPr>
              <w:rPr>
                <w:sz w:val="22"/>
                <w:szCs w:val="22"/>
              </w:rPr>
            </w:pPr>
            <w:r w:rsidRPr="00630129">
              <w:rPr>
                <w:sz w:val="22"/>
                <w:szCs w:val="22"/>
              </w:rPr>
              <w:t>d(q)</w:t>
            </w:r>
          </w:p>
        </w:tc>
        <w:tc>
          <w:tcPr>
            <w:tcW w:w="0" w:type="auto"/>
            <w:tcMar>
              <w:top w:w="85" w:type="dxa"/>
              <w:left w:w="85" w:type="dxa"/>
              <w:bottom w:w="85" w:type="dxa"/>
              <w:right w:w="85" w:type="dxa"/>
            </w:tcMar>
          </w:tcPr>
          <w:p w14:paraId="70E5DF63" w14:textId="77777777" w:rsidR="002A68CF" w:rsidRPr="00630129" w:rsidRDefault="001C7564">
            <w:pPr>
              <w:rPr>
                <w:sz w:val="22"/>
                <w:szCs w:val="22"/>
              </w:rPr>
            </w:pPr>
            <w:r w:rsidRPr="00630129">
              <w:rPr>
                <w:sz w:val="22"/>
                <w:szCs w:val="22"/>
              </w:rPr>
              <w:t>refers to the number of days in a calendar quarter;</w:t>
            </w:r>
          </w:p>
        </w:tc>
      </w:tr>
      <w:tr w:rsidR="00630129" w:rsidRPr="00630129" w14:paraId="031DD5C2" w14:textId="77777777">
        <w:trPr>
          <w:cantSplit/>
        </w:trPr>
        <w:tc>
          <w:tcPr>
            <w:tcW w:w="0" w:type="auto"/>
            <w:tcMar>
              <w:top w:w="85" w:type="dxa"/>
              <w:left w:w="85" w:type="dxa"/>
              <w:bottom w:w="85" w:type="dxa"/>
              <w:right w:w="85" w:type="dxa"/>
            </w:tcMar>
          </w:tcPr>
          <w:p w14:paraId="4D8F60EC" w14:textId="77777777" w:rsidR="002A68CF" w:rsidRPr="00630129" w:rsidRDefault="001C7564">
            <w:pPr>
              <w:rPr>
                <w:sz w:val="22"/>
                <w:szCs w:val="22"/>
              </w:rPr>
            </w:pPr>
            <w:r w:rsidRPr="00630129">
              <w:rPr>
                <w:sz w:val="22"/>
                <w:szCs w:val="22"/>
              </w:rPr>
              <w:t>C</w:t>
            </w:r>
          </w:p>
        </w:tc>
        <w:tc>
          <w:tcPr>
            <w:tcW w:w="0" w:type="auto"/>
            <w:tcMar>
              <w:top w:w="85" w:type="dxa"/>
              <w:left w:w="85" w:type="dxa"/>
              <w:bottom w:w="85" w:type="dxa"/>
              <w:right w:w="85" w:type="dxa"/>
            </w:tcMar>
          </w:tcPr>
          <w:p w14:paraId="1086169A" w14:textId="77777777" w:rsidR="002A68CF" w:rsidRPr="00630129" w:rsidRDefault="001C7564">
            <w:pPr>
              <w:rPr>
                <w:sz w:val="22"/>
                <w:szCs w:val="22"/>
              </w:rPr>
            </w:pPr>
            <w:r w:rsidRPr="00630129">
              <w:rPr>
                <w:sz w:val="22"/>
                <w:szCs w:val="22"/>
              </w:rPr>
              <w:t xml:space="preserve">refers to a Standard Settlement Configuration; </w:t>
            </w:r>
          </w:p>
        </w:tc>
      </w:tr>
      <w:tr w:rsidR="00630129" w:rsidRPr="00630129" w14:paraId="3EFED9EA" w14:textId="77777777">
        <w:trPr>
          <w:cantSplit/>
        </w:trPr>
        <w:tc>
          <w:tcPr>
            <w:tcW w:w="0" w:type="auto"/>
            <w:tcMar>
              <w:top w:w="85" w:type="dxa"/>
              <w:left w:w="85" w:type="dxa"/>
              <w:bottom w:w="85" w:type="dxa"/>
              <w:right w:w="85" w:type="dxa"/>
            </w:tcMar>
          </w:tcPr>
          <w:p w14:paraId="2A9E35B7" w14:textId="77777777" w:rsidR="002A68CF" w:rsidRPr="00630129" w:rsidRDefault="001C7564">
            <w:pPr>
              <w:rPr>
                <w:sz w:val="22"/>
                <w:szCs w:val="22"/>
              </w:rPr>
            </w:pPr>
            <w:r w:rsidRPr="00630129">
              <w:rPr>
                <w:sz w:val="22"/>
                <w:szCs w:val="22"/>
              </w:rPr>
              <w:t>G</w:t>
            </w:r>
          </w:p>
        </w:tc>
        <w:tc>
          <w:tcPr>
            <w:tcW w:w="0" w:type="auto"/>
            <w:tcMar>
              <w:top w:w="85" w:type="dxa"/>
              <w:left w:w="85" w:type="dxa"/>
              <w:bottom w:w="85" w:type="dxa"/>
              <w:right w:w="85" w:type="dxa"/>
            </w:tcMar>
          </w:tcPr>
          <w:p w14:paraId="127F76D7" w14:textId="77777777" w:rsidR="002A68CF" w:rsidRPr="00630129" w:rsidRDefault="001C7564">
            <w:pPr>
              <w:rPr>
                <w:i/>
                <w:sz w:val="22"/>
                <w:szCs w:val="22"/>
              </w:rPr>
            </w:pPr>
            <w:r w:rsidRPr="00630129">
              <w:rPr>
                <w:sz w:val="22"/>
                <w:szCs w:val="22"/>
              </w:rPr>
              <w:t>refers to a Supplier Volume Reporting Group;</w:t>
            </w:r>
          </w:p>
        </w:tc>
      </w:tr>
      <w:tr w:rsidR="00630129" w:rsidRPr="00630129" w14:paraId="0F6EDFB7" w14:textId="77777777">
        <w:trPr>
          <w:cantSplit/>
        </w:trPr>
        <w:tc>
          <w:tcPr>
            <w:tcW w:w="0" w:type="auto"/>
            <w:tcMar>
              <w:top w:w="85" w:type="dxa"/>
              <w:left w:w="85" w:type="dxa"/>
              <w:bottom w:w="85" w:type="dxa"/>
              <w:right w:w="85" w:type="dxa"/>
            </w:tcMar>
          </w:tcPr>
          <w:p w14:paraId="51FACE9B" w14:textId="77777777" w:rsidR="002A68CF" w:rsidRPr="00630129" w:rsidRDefault="001C7564">
            <w:pPr>
              <w:rPr>
                <w:sz w:val="22"/>
                <w:szCs w:val="22"/>
              </w:rPr>
            </w:pPr>
            <w:r w:rsidRPr="00630129">
              <w:rPr>
                <w:sz w:val="22"/>
                <w:szCs w:val="22"/>
              </w:rPr>
              <w:t>H</w:t>
            </w:r>
          </w:p>
        </w:tc>
        <w:tc>
          <w:tcPr>
            <w:tcW w:w="0" w:type="auto"/>
            <w:tcMar>
              <w:top w:w="85" w:type="dxa"/>
              <w:left w:w="85" w:type="dxa"/>
              <w:bottom w:w="85" w:type="dxa"/>
              <w:right w:w="85" w:type="dxa"/>
            </w:tcMar>
          </w:tcPr>
          <w:p w14:paraId="1DD50007" w14:textId="77777777" w:rsidR="002A68CF" w:rsidRPr="00630129" w:rsidRDefault="001C7564">
            <w:pPr>
              <w:rPr>
                <w:sz w:val="22"/>
                <w:szCs w:val="22"/>
              </w:rPr>
            </w:pPr>
            <w:r w:rsidRPr="00630129">
              <w:rPr>
                <w:sz w:val="22"/>
                <w:szCs w:val="22"/>
              </w:rPr>
              <w:t>refers to a GSP Group;</w:t>
            </w:r>
          </w:p>
        </w:tc>
      </w:tr>
      <w:tr w:rsidR="00630129" w:rsidRPr="00630129" w14:paraId="1C926978" w14:textId="77777777">
        <w:trPr>
          <w:cantSplit/>
        </w:trPr>
        <w:tc>
          <w:tcPr>
            <w:tcW w:w="0" w:type="auto"/>
            <w:tcMar>
              <w:top w:w="85" w:type="dxa"/>
              <w:left w:w="85" w:type="dxa"/>
              <w:bottom w:w="85" w:type="dxa"/>
              <w:right w:w="85" w:type="dxa"/>
            </w:tcMar>
          </w:tcPr>
          <w:p w14:paraId="2B893AC9" w14:textId="77777777" w:rsidR="002A68CF" w:rsidRPr="00630129" w:rsidRDefault="001C7564">
            <w:pPr>
              <w:rPr>
                <w:sz w:val="22"/>
                <w:szCs w:val="22"/>
              </w:rPr>
            </w:pPr>
            <w:r w:rsidRPr="00630129">
              <w:rPr>
                <w:sz w:val="22"/>
                <w:szCs w:val="22"/>
              </w:rPr>
              <w:t>J</w:t>
            </w:r>
          </w:p>
        </w:tc>
        <w:tc>
          <w:tcPr>
            <w:tcW w:w="0" w:type="auto"/>
            <w:tcMar>
              <w:top w:w="85" w:type="dxa"/>
              <w:left w:w="85" w:type="dxa"/>
              <w:bottom w:w="85" w:type="dxa"/>
              <w:right w:w="85" w:type="dxa"/>
            </w:tcMar>
          </w:tcPr>
          <w:p w14:paraId="4AA0F98D" w14:textId="77777777" w:rsidR="002A68CF" w:rsidRPr="00630129" w:rsidRDefault="001C7564">
            <w:pPr>
              <w:rPr>
                <w:sz w:val="22"/>
                <w:szCs w:val="22"/>
              </w:rPr>
            </w:pPr>
            <w:r w:rsidRPr="00630129">
              <w:rPr>
                <w:sz w:val="22"/>
                <w:szCs w:val="22"/>
              </w:rPr>
              <w:t>refers to a Settlement Register;</w:t>
            </w:r>
          </w:p>
        </w:tc>
      </w:tr>
      <w:tr w:rsidR="00AF3E4D" w:rsidRPr="00630129" w14:paraId="478A5A12" w14:textId="77777777">
        <w:trPr>
          <w:cantSplit/>
        </w:trPr>
        <w:tc>
          <w:tcPr>
            <w:tcW w:w="0" w:type="auto"/>
            <w:tcMar>
              <w:top w:w="85" w:type="dxa"/>
              <w:left w:w="85" w:type="dxa"/>
              <w:bottom w:w="85" w:type="dxa"/>
              <w:right w:w="85" w:type="dxa"/>
            </w:tcMar>
          </w:tcPr>
          <w:p w14:paraId="37E4F2DE" w14:textId="66F18A05" w:rsidR="00AF3E4D" w:rsidRPr="00630129" w:rsidRDefault="00AF3E4D" w:rsidP="00AF3E4D">
            <w:pPr>
              <w:rPr>
                <w:sz w:val="22"/>
                <w:szCs w:val="22"/>
              </w:rPr>
            </w:pPr>
            <w:r>
              <w:rPr>
                <w:sz w:val="22"/>
                <w:szCs w:val="22"/>
              </w:rPr>
              <w:t>K</w:t>
            </w:r>
          </w:p>
        </w:tc>
        <w:tc>
          <w:tcPr>
            <w:tcW w:w="0" w:type="auto"/>
            <w:tcMar>
              <w:top w:w="85" w:type="dxa"/>
              <w:left w:w="85" w:type="dxa"/>
              <w:bottom w:w="85" w:type="dxa"/>
              <w:right w:w="85" w:type="dxa"/>
            </w:tcMar>
          </w:tcPr>
          <w:p w14:paraId="6545F30E" w14:textId="77777777" w:rsidR="00AF3E4D" w:rsidRPr="00630129" w:rsidRDefault="00AF3E4D" w:rsidP="00AF3E4D">
            <w:pPr>
              <w:rPr>
                <w:sz w:val="22"/>
                <w:szCs w:val="22"/>
              </w:rPr>
            </w:pPr>
            <w:r>
              <w:rPr>
                <w:sz w:val="22"/>
                <w:szCs w:val="22"/>
              </w:rPr>
              <w:t>refers to an SVA Metering System Number and/or Asset Metering System</w:t>
            </w:r>
          </w:p>
        </w:tc>
      </w:tr>
      <w:tr w:rsidR="00AF3E4D" w:rsidRPr="00630129" w14:paraId="1A5AEC38" w14:textId="77777777">
        <w:trPr>
          <w:cantSplit/>
        </w:trPr>
        <w:tc>
          <w:tcPr>
            <w:tcW w:w="0" w:type="auto"/>
            <w:tcMar>
              <w:top w:w="85" w:type="dxa"/>
              <w:left w:w="85" w:type="dxa"/>
              <w:bottom w:w="85" w:type="dxa"/>
              <w:right w:w="85" w:type="dxa"/>
            </w:tcMar>
          </w:tcPr>
          <w:p w14:paraId="21AE334A" w14:textId="77777777" w:rsidR="00AF3E4D" w:rsidRPr="00630129" w:rsidRDefault="00AF3E4D" w:rsidP="00AF3E4D">
            <w:pPr>
              <w:pStyle w:val="PropF2"/>
              <w:tabs>
                <w:tab w:val="clear" w:pos="-720"/>
                <w:tab w:val="clear" w:pos="0"/>
                <w:tab w:val="clear" w:pos="720"/>
              </w:tabs>
              <w:suppressAutoHyphens w:val="0"/>
              <w:ind w:left="0" w:firstLine="0"/>
              <w:rPr>
                <w:rFonts w:ascii="Times New Roman" w:hAnsi="Times New Roman"/>
                <w:sz w:val="22"/>
                <w:szCs w:val="22"/>
                <w:lang w:val="en-GB"/>
              </w:rPr>
            </w:pPr>
            <w:r w:rsidRPr="00630129">
              <w:rPr>
                <w:rFonts w:ascii="Times New Roman" w:hAnsi="Times New Roman"/>
                <w:sz w:val="22"/>
                <w:szCs w:val="22"/>
                <w:lang w:val="en-GB"/>
              </w:rPr>
              <w:t>K1</w:t>
            </w:r>
          </w:p>
        </w:tc>
        <w:tc>
          <w:tcPr>
            <w:tcW w:w="0" w:type="auto"/>
            <w:tcMar>
              <w:top w:w="85" w:type="dxa"/>
              <w:left w:w="85" w:type="dxa"/>
              <w:bottom w:w="85" w:type="dxa"/>
              <w:right w:w="85" w:type="dxa"/>
            </w:tcMar>
          </w:tcPr>
          <w:p w14:paraId="32F2740D" w14:textId="77777777" w:rsidR="00AF3E4D" w:rsidRPr="00630129" w:rsidRDefault="00AF3E4D" w:rsidP="00AF3E4D">
            <w:pPr>
              <w:pStyle w:val="PropF2"/>
              <w:tabs>
                <w:tab w:val="clear" w:pos="-720"/>
                <w:tab w:val="clear" w:pos="0"/>
                <w:tab w:val="clear" w:pos="720"/>
              </w:tabs>
              <w:suppressAutoHyphens w:val="0"/>
              <w:ind w:left="0" w:firstLine="0"/>
              <w:rPr>
                <w:rFonts w:ascii="Times New Roman" w:hAnsi="Times New Roman"/>
                <w:sz w:val="22"/>
                <w:szCs w:val="22"/>
                <w:lang w:val="en-GB"/>
              </w:rPr>
            </w:pPr>
            <w:r w:rsidRPr="00630129">
              <w:rPr>
                <w:rFonts w:ascii="Times New Roman" w:hAnsi="Times New Roman"/>
                <w:sz w:val="22"/>
                <w:szCs w:val="22"/>
                <w:lang w:val="en-GB"/>
              </w:rPr>
              <w:t>refers to a Primary SVA Metering System Number;</w:t>
            </w:r>
          </w:p>
        </w:tc>
      </w:tr>
      <w:tr w:rsidR="00AF3E4D" w:rsidRPr="00630129" w14:paraId="2D4A42A7" w14:textId="77777777">
        <w:trPr>
          <w:cantSplit/>
        </w:trPr>
        <w:tc>
          <w:tcPr>
            <w:tcW w:w="0" w:type="auto"/>
            <w:tcMar>
              <w:top w:w="85" w:type="dxa"/>
              <w:left w:w="85" w:type="dxa"/>
              <w:bottom w:w="85" w:type="dxa"/>
              <w:right w:w="85" w:type="dxa"/>
            </w:tcMar>
          </w:tcPr>
          <w:p w14:paraId="2D24DD7D" w14:textId="77777777" w:rsidR="00AF3E4D" w:rsidRPr="00630129" w:rsidRDefault="00AF3E4D" w:rsidP="00AF3E4D">
            <w:pPr>
              <w:pStyle w:val="EndnoteText"/>
              <w:rPr>
                <w:sz w:val="22"/>
                <w:szCs w:val="22"/>
              </w:rPr>
            </w:pPr>
            <w:r w:rsidRPr="00630129">
              <w:rPr>
                <w:sz w:val="22"/>
                <w:szCs w:val="22"/>
              </w:rPr>
              <w:t>K1.1</w:t>
            </w:r>
          </w:p>
        </w:tc>
        <w:tc>
          <w:tcPr>
            <w:tcW w:w="0" w:type="auto"/>
            <w:tcMar>
              <w:top w:w="85" w:type="dxa"/>
              <w:left w:w="85" w:type="dxa"/>
              <w:bottom w:w="85" w:type="dxa"/>
              <w:right w:w="85" w:type="dxa"/>
            </w:tcMar>
          </w:tcPr>
          <w:p w14:paraId="7A51C046" w14:textId="77777777" w:rsidR="00AF3E4D" w:rsidRPr="00630129" w:rsidRDefault="00AF3E4D" w:rsidP="00AF3E4D">
            <w:pPr>
              <w:pStyle w:val="EndnoteText"/>
              <w:rPr>
                <w:sz w:val="22"/>
                <w:szCs w:val="22"/>
              </w:rPr>
            </w:pPr>
            <w:r w:rsidRPr="00630129">
              <w:rPr>
                <w:sz w:val="22"/>
                <w:szCs w:val="22"/>
              </w:rPr>
              <w:t>refers to the "virtual" Primary SVA Metering System Number where Section K2.5.4(c)(ii) applies to the Primary Supplier;</w:t>
            </w:r>
          </w:p>
        </w:tc>
      </w:tr>
      <w:tr w:rsidR="00AF3E4D" w:rsidRPr="00630129" w14:paraId="56D2D121" w14:textId="77777777">
        <w:trPr>
          <w:cantSplit/>
        </w:trPr>
        <w:tc>
          <w:tcPr>
            <w:tcW w:w="0" w:type="auto"/>
            <w:tcMar>
              <w:top w:w="85" w:type="dxa"/>
              <w:left w:w="85" w:type="dxa"/>
              <w:bottom w:w="85" w:type="dxa"/>
              <w:right w:w="85" w:type="dxa"/>
            </w:tcMar>
          </w:tcPr>
          <w:p w14:paraId="14EBD903" w14:textId="77777777" w:rsidR="00AF3E4D" w:rsidRPr="00630129" w:rsidRDefault="00AF3E4D" w:rsidP="00AF3E4D">
            <w:pPr>
              <w:pStyle w:val="RightPar3"/>
              <w:tabs>
                <w:tab w:val="clear" w:pos="-720"/>
                <w:tab w:val="clear" w:pos="0"/>
                <w:tab w:val="clear" w:pos="720"/>
                <w:tab w:val="clear" w:pos="1440"/>
                <w:tab w:val="clear" w:pos="2160"/>
              </w:tabs>
              <w:suppressAutoHyphens w:val="0"/>
              <w:ind w:left="0"/>
              <w:rPr>
                <w:rFonts w:ascii="Times New Roman" w:hAnsi="Times New Roman"/>
                <w:sz w:val="22"/>
                <w:szCs w:val="22"/>
              </w:rPr>
            </w:pPr>
            <w:proofErr w:type="spellStart"/>
            <w:r w:rsidRPr="00630129">
              <w:rPr>
                <w:rFonts w:ascii="Times New Roman" w:hAnsi="Times New Roman"/>
                <w:sz w:val="22"/>
                <w:szCs w:val="22"/>
              </w:rPr>
              <w:lastRenderedPageBreak/>
              <w:t>Kn</w:t>
            </w:r>
            <w:proofErr w:type="spellEnd"/>
          </w:p>
        </w:tc>
        <w:tc>
          <w:tcPr>
            <w:tcW w:w="0" w:type="auto"/>
            <w:tcMar>
              <w:top w:w="85" w:type="dxa"/>
              <w:left w:w="85" w:type="dxa"/>
              <w:bottom w:w="85" w:type="dxa"/>
              <w:right w:w="85" w:type="dxa"/>
            </w:tcMar>
          </w:tcPr>
          <w:p w14:paraId="36F1017C" w14:textId="77777777" w:rsidR="00AF3E4D" w:rsidRPr="00630129" w:rsidRDefault="00AF3E4D" w:rsidP="00AF3E4D">
            <w:pPr>
              <w:pStyle w:val="RightPar3"/>
              <w:tabs>
                <w:tab w:val="clear" w:pos="-720"/>
                <w:tab w:val="clear" w:pos="0"/>
                <w:tab w:val="clear" w:pos="720"/>
                <w:tab w:val="clear" w:pos="1440"/>
                <w:tab w:val="clear" w:pos="2160"/>
              </w:tabs>
              <w:suppressAutoHyphens w:val="0"/>
              <w:ind w:left="0"/>
              <w:rPr>
                <w:rFonts w:ascii="Times New Roman" w:hAnsi="Times New Roman"/>
                <w:sz w:val="22"/>
                <w:szCs w:val="22"/>
              </w:rPr>
            </w:pPr>
            <w:r w:rsidRPr="00630129">
              <w:rPr>
                <w:rFonts w:ascii="Times New Roman" w:hAnsi="Times New Roman"/>
                <w:sz w:val="22"/>
                <w:szCs w:val="22"/>
              </w:rPr>
              <w:t>refers to a Secondary SVA Metering System Number;</w:t>
            </w:r>
          </w:p>
        </w:tc>
      </w:tr>
      <w:tr w:rsidR="00AF3E4D" w:rsidRPr="00630129" w14:paraId="4E8B7D4D" w14:textId="77777777">
        <w:trPr>
          <w:cantSplit/>
        </w:trPr>
        <w:tc>
          <w:tcPr>
            <w:tcW w:w="0" w:type="auto"/>
            <w:tcMar>
              <w:top w:w="85" w:type="dxa"/>
              <w:left w:w="85" w:type="dxa"/>
              <w:bottom w:w="85" w:type="dxa"/>
              <w:right w:w="85" w:type="dxa"/>
            </w:tcMar>
          </w:tcPr>
          <w:p w14:paraId="70ADCC15" w14:textId="77777777" w:rsidR="00AF3E4D" w:rsidRPr="00630129" w:rsidRDefault="00AF3E4D" w:rsidP="00AF3E4D">
            <w:pPr>
              <w:pStyle w:val="RightPar3"/>
              <w:tabs>
                <w:tab w:val="clear" w:pos="-720"/>
                <w:tab w:val="clear" w:pos="0"/>
                <w:tab w:val="clear" w:pos="720"/>
                <w:tab w:val="clear" w:pos="1440"/>
                <w:tab w:val="clear" w:pos="2160"/>
              </w:tabs>
              <w:suppressAutoHyphens w:val="0"/>
              <w:ind w:left="0"/>
              <w:rPr>
                <w:rFonts w:ascii="Times New Roman" w:hAnsi="Times New Roman"/>
                <w:sz w:val="22"/>
                <w:szCs w:val="22"/>
              </w:rPr>
            </w:pPr>
            <w:r w:rsidRPr="00630129">
              <w:rPr>
                <w:rFonts w:ascii="Times New Roman" w:hAnsi="Times New Roman"/>
                <w:sz w:val="22"/>
                <w:szCs w:val="22"/>
              </w:rPr>
              <w:t>Kn.1</w:t>
            </w:r>
          </w:p>
        </w:tc>
        <w:tc>
          <w:tcPr>
            <w:tcW w:w="0" w:type="auto"/>
            <w:tcMar>
              <w:top w:w="85" w:type="dxa"/>
              <w:left w:w="85" w:type="dxa"/>
              <w:bottom w:w="85" w:type="dxa"/>
              <w:right w:w="85" w:type="dxa"/>
            </w:tcMar>
          </w:tcPr>
          <w:p w14:paraId="567B2D73" w14:textId="77777777" w:rsidR="00AF3E4D" w:rsidRPr="00630129" w:rsidRDefault="00AF3E4D" w:rsidP="00AF3E4D">
            <w:pPr>
              <w:pStyle w:val="RightPar3"/>
              <w:tabs>
                <w:tab w:val="clear" w:pos="-720"/>
                <w:tab w:val="clear" w:pos="0"/>
                <w:tab w:val="clear" w:pos="720"/>
                <w:tab w:val="clear" w:pos="1440"/>
                <w:tab w:val="clear" w:pos="2160"/>
              </w:tabs>
              <w:suppressAutoHyphens w:val="0"/>
              <w:ind w:left="0"/>
              <w:rPr>
                <w:rFonts w:ascii="Times New Roman" w:hAnsi="Times New Roman"/>
                <w:sz w:val="22"/>
                <w:szCs w:val="22"/>
              </w:rPr>
            </w:pPr>
            <w:r w:rsidRPr="00630129">
              <w:rPr>
                <w:rFonts w:ascii="Times New Roman" w:hAnsi="Times New Roman"/>
                <w:sz w:val="22"/>
                <w:szCs w:val="22"/>
              </w:rPr>
              <w:t>refers to the "virtual" Secondary SVA Metering System Number where Section K2.5.4(c)(ii) applies to the Secondary Supplier;</w:t>
            </w:r>
          </w:p>
        </w:tc>
      </w:tr>
      <w:tr w:rsidR="00AF3E4D" w:rsidRPr="00630129" w14:paraId="67F93C6D" w14:textId="77777777">
        <w:trPr>
          <w:cantSplit/>
        </w:trPr>
        <w:tc>
          <w:tcPr>
            <w:tcW w:w="0" w:type="auto"/>
            <w:tcMar>
              <w:top w:w="85" w:type="dxa"/>
              <w:left w:w="85" w:type="dxa"/>
              <w:bottom w:w="85" w:type="dxa"/>
              <w:right w:w="85" w:type="dxa"/>
            </w:tcMar>
          </w:tcPr>
          <w:p w14:paraId="5852DBB9" w14:textId="77777777" w:rsidR="00AF3E4D" w:rsidRPr="00630129" w:rsidRDefault="00AF3E4D" w:rsidP="00AF3E4D">
            <w:pPr>
              <w:pStyle w:val="RightPar3"/>
              <w:tabs>
                <w:tab w:val="clear" w:pos="-720"/>
                <w:tab w:val="clear" w:pos="0"/>
                <w:tab w:val="clear" w:pos="720"/>
                <w:tab w:val="clear" w:pos="1440"/>
                <w:tab w:val="clear" w:pos="2160"/>
              </w:tabs>
              <w:suppressAutoHyphens w:val="0"/>
              <w:ind w:left="0"/>
              <w:rPr>
                <w:rFonts w:ascii="Times New Roman" w:hAnsi="Times New Roman"/>
                <w:sz w:val="22"/>
                <w:szCs w:val="22"/>
              </w:rPr>
            </w:pPr>
            <w:r w:rsidRPr="00630129">
              <w:rPr>
                <w:rFonts w:ascii="Times New Roman" w:hAnsi="Times New Roman"/>
                <w:sz w:val="22"/>
                <w:szCs w:val="22"/>
              </w:rPr>
              <w:t>L</w:t>
            </w:r>
          </w:p>
        </w:tc>
        <w:tc>
          <w:tcPr>
            <w:tcW w:w="0" w:type="auto"/>
            <w:tcMar>
              <w:top w:w="85" w:type="dxa"/>
              <w:left w:w="85" w:type="dxa"/>
              <w:bottom w:w="85" w:type="dxa"/>
              <w:right w:w="85" w:type="dxa"/>
            </w:tcMar>
          </w:tcPr>
          <w:p w14:paraId="7DC41F7F" w14:textId="77777777" w:rsidR="00AF3E4D" w:rsidRPr="00630129" w:rsidRDefault="00AF3E4D" w:rsidP="00AF3E4D">
            <w:pPr>
              <w:pStyle w:val="RightPar3"/>
              <w:tabs>
                <w:tab w:val="clear" w:pos="-720"/>
                <w:tab w:val="clear" w:pos="0"/>
                <w:tab w:val="clear" w:pos="720"/>
                <w:tab w:val="clear" w:pos="1440"/>
                <w:tab w:val="clear" w:pos="2160"/>
              </w:tabs>
              <w:suppressAutoHyphens w:val="0"/>
              <w:ind w:left="0"/>
              <w:rPr>
                <w:rFonts w:ascii="Times New Roman" w:hAnsi="Times New Roman"/>
                <w:sz w:val="22"/>
                <w:szCs w:val="22"/>
                <w:lang w:val="en-GB"/>
              </w:rPr>
            </w:pPr>
            <w:r w:rsidRPr="00630129">
              <w:rPr>
                <w:rFonts w:ascii="Times New Roman" w:hAnsi="Times New Roman"/>
                <w:sz w:val="22"/>
                <w:szCs w:val="22"/>
              </w:rPr>
              <w:t>refers to a Line Loss Factor Class;</w:t>
            </w:r>
          </w:p>
        </w:tc>
      </w:tr>
      <w:tr w:rsidR="00AF3E4D" w:rsidRPr="00630129" w14:paraId="3D4A53F3" w14:textId="77777777">
        <w:trPr>
          <w:cantSplit/>
        </w:trPr>
        <w:tc>
          <w:tcPr>
            <w:tcW w:w="0" w:type="auto"/>
            <w:tcMar>
              <w:top w:w="85" w:type="dxa"/>
              <w:left w:w="85" w:type="dxa"/>
              <w:bottom w:w="85" w:type="dxa"/>
              <w:right w:w="85" w:type="dxa"/>
            </w:tcMar>
          </w:tcPr>
          <w:p w14:paraId="5F901403" w14:textId="77777777" w:rsidR="00AF3E4D" w:rsidRPr="00630129" w:rsidRDefault="00AF3E4D" w:rsidP="00AF3E4D">
            <w:pPr>
              <w:rPr>
                <w:sz w:val="22"/>
                <w:szCs w:val="22"/>
              </w:rPr>
            </w:pPr>
            <w:r w:rsidRPr="00630129">
              <w:rPr>
                <w:sz w:val="22"/>
                <w:szCs w:val="22"/>
              </w:rPr>
              <w:t>N</w:t>
            </w:r>
          </w:p>
        </w:tc>
        <w:tc>
          <w:tcPr>
            <w:tcW w:w="0" w:type="auto"/>
            <w:tcMar>
              <w:top w:w="85" w:type="dxa"/>
              <w:left w:w="85" w:type="dxa"/>
              <w:bottom w:w="85" w:type="dxa"/>
              <w:right w:w="85" w:type="dxa"/>
            </w:tcMar>
          </w:tcPr>
          <w:p w14:paraId="355C9EF1" w14:textId="77777777" w:rsidR="00AF3E4D" w:rsidRPr="00630129" w:rsidRDefault="00AF3E4D" w:rsidP="00AF3E4D">
            <w:pPr>
              <w:rPr>
                <w:sz w:val="22"/>
                <w:szCs w:val="22"/>
              </w:rPr>
            </w:pPr>
            <w:r w:rsidRPr="00630129">
              <w:rPr>
                <w:sz w:val="22"/>
                <w:szCs w:val="22"/>
              </w:rPr>
              <w:t>refers to a Consumption Component Class;</w:t>
            </w:r>
          </w:p>
        </w:tc>
      </w:tr>
      <w:tr w:rsidR="00AF3E4D" w:rsidRPr="00630129" w14:paraId="2B73B502" w14:textId="77777777">
        <w:trPr>
          <w:cantSplit/>
        </w:trPr>
        <w:tc>
          <w:tcPr>
            <w:tcW w:w="0" w:type="auto"/>
            <w:tcMar>
              <w:top w:w="85" w:type="dxa"/>
              <w:left w:w="85" w:type="dxa"/>
              <w:bottom w:w="85" w:type="dxa"/>
              <w:right w:w="85" w:type="dxa"/>
            </w:tcMar>
          </w:tcPr>
          <w:p w14:paraId="6783674B" w14:textId="77777777" w:rsidR="00AF3E4D" w:rsidRPr="00630129" w:rsidRDefault="00AF3E4D" w:rsidP="00AF3E4D">
            <w:pPr>
              <w:rPr>
                <w:sz w:val="22"/>
                <w:szCs w:val="22"/>
              </w:rPr>
            </w:pPr>
            <w:r w:rsidRPr="00630129">
              <w:rPr>
                <w:sz w:val="22"/>
                <w:szCs w:val="22"/>
              </w:rPr>
              <w:t>N(c)</w:t>
            </w:r>
          </w:p>
        </w:tc>
        <w:tc>
          <w:tcPr>
            <w:tcW w:w="0" w:type="auto"/>
            <w:tcMar>
              <w:top w:w="85" w:type="dxa"/>
              <w:left w:w="85" w:type="dxa"/>
              <w:bottom w:w="85" w:type="dxa"/>
              <w:right w:w="85" w:type="dxa"/>
            </w:tcMar>
          </w:tcPr>
          <w:p w14:paraId="371E962B" w14:textId="77777777" w:rsidR="00AF3E4D" w:rsidRPr="00630129" w:rsidRDefault="00AF3E4D" w:rsidP="00AF3E4D">
            <w:pPr>
              <w:rPr>
                <w:sz w:val="22"/>
                <w:szCs w:val="22"/>
              </w:rPr>
            </w:pPr>
            <w:r w:rsidRPr="00630129">
              <w:rPr>
                <w:sz w:val="22"/>
                <w:szCs w:val="22"/>
              </w:rPr>
              <w:t xml:space="preserve">refers to a </w:t>
            </w:r>
            <w:proofErr w:type="spellStart"/>
            <w:r w:rsidRPr="00630129">
              <w:rPr>
                <w:sz w:val="22"/>
                <w:szCs w:val="22"/>
              </w:rPr>
              <w:t>non half</w:t>
            </w:r>
            <w:proofErr w:type="spellEnd"/>
            <w:r w:rsidRPr="00630129">
              <w:rPr>
                <w:sz w:val="22"/>
                <w:szCs w:val="22"/>
              </w:rPr>
              <w:t xml:space="preserve"> hourly active import Consumption Component Class;</w:t>
            </w:r>
          </w:p>
        </w:tc>
      </w:tr>
      <w:tr w:rsidR="00AF3E4D" w:rsidRPr="00630129" w14:paraId="34B4D38D" w14:textId="77777777">
        <w:trPr>
          <w:cantSplit/>
        </w:trPr>
        <w:tc>
          <w:tcPr>
            <w:tcW w:w="0" w:type="auto"/>
            <w:tcMar>
              <w:top w:w="85" w:type="dxa"/>
              <w:left w:w="85" w:type="dxa"/>
              <w:bottom w:w="85" w:type="dxa"/>
              <w:right w:w="85" w:type="dxa"/>
            </w:tcMar>
          </w:tcPr>
          <w:p w14:paraId="10F3C8D9" w14:textId="77777777" w:rsidR="00AF3E4D" w:rsidRPr="00630129" w:rsidRDefault="00AF3E4D" w:rsidP="00AF3E4D">
            <w:pPr>
              <w:rPr>
                <w:sz w:val="22"/>
                <w:szCs w:val="22"/>
              </w:rPr>
            </w:pPr>
            <w:r w:rsidRPr="00630129">
              <w:rPr>
                <w:sz w:val="22"/>
                <w:szCs w:val="22"/>
              </w:rPr>
              <w:t>P</w:t>
            </w:r>
          </w:p>
        </w:tc>
        <w:tc>
          <w:tcPr>
            <w:tcW w:w="0" w:type="auto"/>
            <w:tcMar>
              <w:top w:w="85" w:type="dxa"/>
              <w:left w:w="85" w:type="dxa"/>
              <w:bottom w:w="85" w:type="dxa"/>
              <w:right w:w="85" w:type="dxa"/>
            </w:tcMar>
          </w:tcPr>
          <w:p w14:paraId="736CEC5E" w14:textId="77777777" w:rsidR="00AF3E4D" w:rsidRPr="00630129" w:rsidRDefault="00AF3E4D" w:rsidP="00AF3E4D">
            <w:pPr>
              <w:rPr>
                <w:sz w:val="22"/>
                <w:szCs w:val="22"/>
              </w:rPr>
            </w:pPr>
            <w:r w:rsidRPr="00630129">
              <w:rPr>
                <w:sz w:val="22"/>
                <w:szCs w:val="22"/>
              </w:rPr>
              <w:t>refers to a Profile Class;</w:t>
            </w:r>
          </w:p>
        </w:tc>
      </w:tr>
      <w:tr w:rsidR="00AF3E4D" w:rsidRPr="00630129" w14:paraId="5D45147E" w14:textId="77777777">
        <w:trPr>
          <w:cantSplit/>
        </w:trPr>
        <w:tc>
          <w:tcPr>
            <w:tcW w:w="0" w:type="auto"/>
            <w:tcMar>
              <w:top w:w="85" w:type="dxa"/>
              <w:left w:w="85" w:type="dxa"/>
              <w:bottom w:w="85" w:type="dxa"/>
              <w:right w:w="85" w:type="dxa"/>
            </w:tcMar>
          </w:tcPr>
          <w:p w14:paraId="18249660" w14:textId="77777777" w:rsidR="00AF3E4D" w:rsidRPr="00630129" w:rsidRDefault="00AF3E4D" w:rsidP="00AF3E4D">
            <w:pPr>
              <w:rPr>
                <w:sz w:val="22"/>
                <w:szCs w:val="22"/>
              </w:rPr>
            </w:pPr>
            <w:r w:rsidRPr="00630129">
              <w:rPr>
                <w:sz w:val="22"/>
                <w:szCs w:val="22"/>
              </w:rPr>
              <w:t>Q</w:t>
            </w:r>
          </w:p>
        </w:tc>
        <w:tc>
          <w:tcPr>
            <w:tcW w:w="0" w:type="auto"/>
            <w:tcMar>
              <w:top w:w="85" w:type="dxa"/>
              <w:left w:w="85" w:type="dxa"/>
              <w:bottom w:w="85" w:type="dxa"/>
              <w:right w:w="85" w:type="dxa"/>
            </w:tcMar>
          </w:tcPr>
          <w:p w14:paraId="4EA9A5A9" w14:textId="77777777" w:rsidR="00AF3E4D" w:rsidRPr="00630129" w:rsidRDefault="00AF3E4D" w:rsidP="00AF3E4D">
            <w:pPr>
              <w:rPr>
                <w:sz w:val="22"/>
                <w:szCs w:val="22"/>
              </w:rPr>
            </w:pPr>
            <w:r w:rsidRPr="00630129">
              <w:rPr>
                <w:sz w:val="22"/>
                <w:szCs w:val="22"/>
              </w:rPr>
              <w:t>refers to a Profile;</w:t>
            </w:r>
          </w:p>
        </w:tc>
      </w:tr>
      <w:tr w:rsidR="00AF3E4D" w:rsidRPr="00630129" w14:paraId="36D8F86A" w14:textId="77777777">
        <w:trPr>
          <w:cantSplit/>
        </w:trPr>
        <w:tc>
          <w:tcPr>
            <w:tcW w:w="0" w:type="auto"/>
            <w:tcMar>
              <w:top w:w="85" w:type="dxa"/>
              <w:left w:w="85" w:type="dxa"/>
              <w:bottom w:w="85" w:type="dxa"/>
              <w:right w:w="85" w:type="dxa"/>
            </w:tcMar>
          </w:tcPr>
          <w:p w14:paraId="3E300648" w14:textId="77777777" w:rsidR="00AF3E4D" w:rsidRPr="00630129" w:rsidRDefault="00AF3E4D" w:rsidP="00AF3E4D">
            <w:pPr>
              <w:rPr>
                <w:sz w:val="22"/>
                <w:szCs w:val="22"/>
              </w:rPr>
            </w:pPr>
            <w:r w:rsidRPr="00630129">
              <w:rPr>
                <w:sz w:val="22"/>
                <w:szCs w:val="22"/>
              </w:rPr>
              <w:t>R</w:t>
            </w:r>
          </w:p>
        </w:tc>
        <w:tc>
          <w:tcPr>
            <w:tcW w:w="0" w:type="auto"/>
            <w:tcMar>
              <w:top w:w="85" w:type="dxa"/>
              <w:left w:w="85" w:type="dxa"/>
              <w:bottom w:w="85" w:type="dxa"/>
              <w:right w:w="85" w:type="dxa"/>
            </w:tcMar>
          </w:tcPr>
          <w:p w14:paraId="536DD032" w14:textId="77777777" w:rsidR="00AF3E4D" w:rsidRPr="00630129" w:rsidRDefault="00AF3E4D" w:rsidP="00AF3E4D">
            <w:pPr>
              <w:rPr>
                <w:sz w:val="22"/>
                <w:szCs w:val="22"/>
              </w:rPr>
            </w:pPr>
            <w:r w:rsidRPr="00630129">
              <w:rPr>
                <w:sz w:val="22"/>
                <w:szCs w:val="22"/>
              </w:rPr>
              <w:t>refers to a valid combination of Time Pattern Regime and Standard Settlement Configuration;</w:t>
            </w:r>
          </w:p>
        </w:tc>
      </w:tr>
      <w:tr w:rsidR="00AF3E4D" w:rsidRPr="00630129" w14:paraId="74C62806" w14:textId="77777777">
        <w:trPr>
          <w:cantSplit/>
        </w:trPr>
        <w:tc>
          <w:tcPr>
            <w:tcW w:w="0" w:type="auto"/>
            <w:tcMar>
              <w:top w:w="85" w:type="dxa"/>
              <w:left w:w="85" w:type="dxa"/>
              <w:bottom w:w="85" w:type="dxa"/>
              <w:right w:w="85" w:type="dxa"/>
            </w:tcMar>
          </w:tcPr>
          <w:p w14:paraId="3CBEC3B7" w14:textId="77777777" w:rsidR="00AF3E4D" w:rsidRPr="00630129" w:rsidRDefault="00AF3E4D" w:rsidP="00AF3E4D">
            <w:pPr>
              <w:rPr>
                <w:sz w:val="22"/>
                <w:szCs w:val="22"/>
              </w:rPr>
            </w:pPr>
            <w:r w:rsidRPr="00630129">
              <w:rPr>
                <w:sz w:val="22"/>
                <w:szCs w:val="22"/>
              </w:rPr>
              <w:t>T</w:t>
            </w:r>
          </w:p>
        </w:tc>
        <w:tc>
          <w:tcPr>
            <w:tcW w:w="0" w:type="auto"/>
            <w:tcMar>
              <w:top w:w="85" w:type="dxa"/>
              <w:left w:w="85" w:type="dxa"/>
              <w:bottom w:w="85" w:type="dxa"/>
              <w:right w:w="85" w:type="dxa"/>
            </w:tcMar>
          </w:tcPr>
          <w:p w14:paraId="7D6708B6" w14:textId="77777777" w:rsidR="00AF3E4D" w:rsidRPr="00630129" w:rsidRDefault="00AF3E4D" w:rsidP="00AF3E4D">
            <w:pPr>
              <w:rPr>
                <w:sz w:val="22"/>
                <w:szCs w:val="22"/>
              </w:rPr>
            </w:pPr>
            <w:r w:rsidRPr="00630129">
              <w:rPr>
                <w:sz w:val="22"/>
                <w:szCs w:val="22"/>
              </w:rPr>
              <w:t>refers to a Settlement Day;</w:t>
            </w:r>
          </w:p>
        </w:tc>
      </w:tr>
      <w:tr w:rsidR="00AF3E4D" w:rsidRPr="00630129" w14:paraId="51112C01" w14:textId="77777777">
        <w:trPr>
          <w:cantSplit/>
        </w:trPr>
        <w:tc>
          <w:tcPr>
            <w:tcW w:w="0" w:type="auto"/>
            <w:tcMar>
              <w:top w:w="85" w:type="dxa"/>
              <w:left w:w="85" w:type="dxa"/>
              <w:bottom w:w="85" w:type="dxa"/>
              <w:right w:w="85" w:type="dxa"/>
            </w:tcMar>
          </w:tcPr>
          <w:p w14:paraId="70FA5C66" w14:textId="77777777" w:rsidR="00AF3E4D" w:rsidRPr="00630129" w:rsidRDefault="00AF3E4D" w:rsidP="00AF3E4D">
            <w:pPr>
              <w:rPr>
                <w:sz w:val="22"/>
                <w:szCs w:val="22"/>
              </w:rPr>
            </w:pPr>
            <w:r w:rsidRPr="00630129">
              <w:rPr>
                <w:sz w:val="22"/>
                <w:szCs w:val="22"/>
              </w:rPr>
              <w:t>X</w:t>
            </w:r>
          </w:p>
        </w:tc>
        <w:tc>
          <w:tcPr>
            <w:tcW w:w="0" w:type="auto"/>
            <w:tcMar>
              <w:top w:w="85" w:type="dxa"/>
              <w:left w:w="85" w:type="dxa"/>
              <w:bottom w:w="85" w:type="dxa"/>
              <w:right w:w="85" w:type="dxa"/>
            </w:tcMar>
          </w:tcPr>
          <w:p w14:paraId="4FB79663" w14:textId="77777777" w:rsidR="00AF3E4D" w:rsidRPr="00630129" w:rsidRDefault="00AF3E4D" w:rsidP="00AF3E4D">
            <w:pPr>
              <w:rPr>
                <w:sz w:val="22"/>
                <w:szCs w:val="22"/>
              </w:rPr>
            </w:pPr>
            <w:r w:rsidRPr="00630129">
              <w:rPr>
                <w:sz w:val="22"/>
                <w:szCs w:val="22"/>
              </w:rPr>
              <w:t>refers to a Time Pattern Regime;</w:t>
            </w:r>
          </w:p>
        </w:tc>
      </w:tr>
      <w:tr w:rsidR="00AF3E4D" w:rsidRPr="00630129" w14:paraId="70EE8BC1" w14:textId="77777777">
        <w:trPr>
          <w:cantSplit/>
        </w:trPr>
        <w:tc>
          <w:tcPr>
            <w:tcW w:w="0" w:type="auto"/>
            <w:tcMar>
              <w:top w:w="85" w:type="dxa"/>
              <w:left w:w="85" w:type="dxa"/>
              <w:bottom w:w="85" w:type="dxa"/>
              <w:right w:w="85" w:type="dxa"/>
            </w:tcMar>
          </w:tcPr>
          <w:p w14:paraId="1AD20C9D" w14:textId="77777777" w:rsidR="00AF3E4D" w:rsidRPr="00630129" w:rsidRDefault="00AF3E4D" w:rsidP="00AF3E4D">
            <w:pPr>
              <w:rPr>
                <w:sz w:val="22"/>
                <w:szCs w:val="22"/>
              </w:rPr>
            </w:pPr>
            <w:r w:rsidRPr="00630129">
              <w:rPr>
                <w:sz w:val="22"/>
                <w:szCs w:val="22"/>
              </w:rPr>
              <w:t>Y</w:t>
            </w:r>
          </w:p>
        </w:tc>
        <w:tc>
          <w:tcPr>
            <w:tcW w:w="0" w:type="auto"/>
            <w:tcMar>
              <w:top w:w="85" w:type="dxa"/>
              <w:left w:w="85" w:type="dxa"/>
              <w:bottom w:w="85" w:type="dxa"/>
              <w:right w:w="85" w:type="dxa"/>
            </w:tcMar>
          </w:tcPr>
          <w:p w14:paraId="073AAC3E" w14:textId="77777777" w:rsidR="00AF3E4D" w:rsidRPr="00630129" w:rsidRDefault="00AF3E4D" w:rsidP="00AF3E4D">
            <w:pPr>
              <w:rPr>
                <w:sz w:val="22"/>
                <w:szCs w:val="22"/>
              </w:rPr>
            </w:pPr>
            <w:r w:rsidRPr="00630129">
              <w:rPr>
                <w:sz w:val="22"/>
                <w:szCs w:val="22"/>
              </w:rPr>
              <w:t>refers to a calendar year;</w:t>
            </w:r>
          </w:p>
        </w:tc>
      </w:tr>
      <w:tr w:rsidR="00AF3E4D" w:rsidRPr="00630129" w14:paraId="75CEBD86" w14:textId="77777777">
        <w:trPr>
          <w:cantSplit/>
        </w:trPr>
        <w:tc>
          <w:tcPr>
            <w:tcW w:w="0" w:type="auto"/>
            <w:tcMar>
              <w:top w:w="85" w:type="dxa"/>
              <w:left w:w="85" w:type="dxa"/>
              <w:bottom w:w="85" w:type="dxa"/>
              <w:right w:w="85" w:type="dxa"/>
            </w:tcMar>
          </w:tcPr>
          <w:p w14:paraId="0A746506" w14:textId="77777777" w:rsidR="00AF3E4D" w:rsidRPr="00630129" w:rsidRDefault="00AF3E4D" w:rsidP="00AF3E4D">
            <w:pPr>
              <w:pStyle w:val="BodyTextIndent3"/>
              <w:tabs>
                <w:tab w:val="clear" w:pos="-720"/>
                <w:tab w:val="clear" w:pos="0"/>
                <w:tab w:val="clear" w:pos="720"/>
                <w:tab w:val="clear" w:pos="1440"/>
                <w:tab w:val="clear" w:pos="2160"/>
                <w:tab w:val="clear" w:pos="2977"/>
              </w:tabs>
              <w:suppressAutoHyphens w:val="0"/>
              <w:spacing w:after="0"/>
              <w:ind w:left="0" w:firstLine="0"/>
              <w:rPr>
                <w:rFonts w:ascii="Times New Roman" w:hAnsi="Times New Roman"/>
                <w:sz w:val="22"/>
                <w:szCs w:val="22"/>
              </w:rPr>
            </w:pPr>
            <w:r w:rsidRPr="00630129">
              <w:rPr>
                <w:rFonts w:ascii="Times New Roman" w:hAnsi="Times New Roman"/>
                <w:sz w:val="22"/>
                <w:szCs w:val="22"/>
              </w:rPr>
              <w:t>Z</w:t>
            </w:r>
          </w:p>
        </w:tc>
        <w:tc>
          <w:tcPr>
            <w:tcW w:w="0" w:type="auto"/>
            <w:tcMar>
              <w:top w:w="85" w:type="dxa"/>
              <w:left w:w="85" w:type="dxa"/>
              <w:bottom w:w="85" w:type="dxa"/>
              <w:right w:w="85" w:type="dxa"/>
            </w:tcMar>
          </w:tcPr>
          <w:p w14:paraId="2E545F0A" w14:textId="77777777" w:rsidR="00AF3E4D" w:rsidRPr="00630129" w:rsidRDefault="00AF3E4D" w:rsidP="00AF3E4D">
            <w:pPr>
              <w:pStyle w:val="BodyTextIndent3"/>
              <w:tabs>
                <w:tab w:val="clear" w:pos="-720"/>
                <w:tab w:val="clear" w:pos="0"/>
                <w:tab w:val="clear" w:pos="720"/>
                <w:tab w:val="clear" w:pos="1440"/>
                <w:tab w:val="clear" w:pos="2160"/>
                <w:tab w:val="clear" w:pos="2977"/>
              </w:tabs>
              <w:suppressAutoHyphens w:val="0"/>
              <w:spacing w:after="0"/>
              <w:ind w:left="0" w:firstLine="0"/>
              <w:rPr>
                <w:rFonts w:ascii="Times New Roman" w:hAnsi="Times New Roman"/>
                <w:sz w:val="22"/>
                <w:szCs w:val="22"/>
              </w:rPr>
            </w:pPr>
            <w:r w:rsidRPr="00630129">
              <w:rPr>
                <w:rFonts w:ascii="Times New Roman" w:hAnsi="Times New Roman"/>
                <w:sz w:val="22"/>
                <w:szCs w:val="22"/>
              </w:rPr>
              <w:t>refers to a Supplier or, as the context may require in paragraph 3.5 of Annex S-2, to the Suppliers acting in the capacity of Primary Supplier and associated Secondary Supplier(s) in respect of a particular Shared SVA Metering System;</w:t>
            </w:r>
          </w:p>
        </w:tc>
      </w:tr>
      <w:tr w:rsidR="00AF3E4D" w:rsidRPr="00630129" w14:paraId="51168E17" w14:textId="77777777">
        <w:trPr>
          <w:cantSplit/>
        </w:trPr>
        <w:tc>
          <w:tcPr>
            <w:tcW w:w="0" w:type="auto"/>
            <w:tcMar>
              <w:top w:w="85" w:type="dxa"/>
              <w:left w:w="85" w:type="dxa"/>
              <w:bottom w:w="85" w:type="dxa"/>
              <w:right w:w="85" w:type="dxa"/>
            </w:tcMar>
          </w:tcPr>
          <w:p w14:paraId="1749B50B" w14:textId="77777777" w:rsidR="00AF3E4D" w:rsidRPr="00630129" w:rsidRDefault="00AF3E4D" w:rsidP="00AF3E4D">
            <w:pPr>
              <w:pStyle w:val="BodyTextIndent3"/>
              <w:tabs>
                <w:tab w:val="clear" w:pos="-720"/>
                <w:tab w:val="clear" w:pos="0"/>
                <w:tab w:val="clear" w:pos="720"/>
                <w:tab w:val="clear" w:pos="1440"/>
                <w:tab w:val="clear" w:pos="2160"/>
                <w:tab w:val="clear" w:pos="2977"/>
              </w:tabs>
              <w:suppressAutoHyphens w:val="0"/>
              <w:spacing w:after="0"/>
              <w:ind w:left="0" w:firstLine="0"/>
              <w:rPr>
                <w:rFonts w:ascii="Times New Roman" w:hAnsi="Times New Roman"/>
                <w:sz w:val="22"/>
                <w:szCs w:val="22"/>
              </w:rPr>
            </w:pPr>
            <w:r w:rsidRPr="00630129">
              <w:rPr>
                <w:rFonts w:ascii="Times New Roman" w:hAnsi="Times New Roman"/>
                <w:sz w:val="22"/>
                <w:szCs w:val="22"/>
              </w:rPr>
              <w:t>Z1</w:t>
            </w:r>
          </w:p>
        </w:tc>
        <w:tc>
          <w:tcPr>
            <w:tcW w:w="0" w:type="auto"/>
            <w:tcMar>
              <w:top w:w="85" w:type="dxa"/>
              <w:left w:w="85" w:type="dxa"/>
              <w:bottom w:w="85" w:type="dxa"/>
              <w:right w:w="85" w:type="dxa"/>
            </w:tcMar>
          </w:tcPr>
          <w:p w14:paraId="01B3281D" w14:textId="77777777" w:rsidR="00AF3E4D" w:rsidRPr="00630129" w:rsidRDefault="00AF3E4D" w:rsidP="00AF3E4D">
            <w:pPr>
              <w:pStyle w:val="BodyTextIndent3"/>
              <w:tabs>
                <w:tab w:val="clear" w:pos="-720"/>
                <w:tab w:val="clear" w:pos="0"/>
                <w:tab w:val="clear" w:pos="720"/>
                <w:tab w:val="clear" w:pos="1440"/>
                <w:tab w:val="clear" w:pos="2160"/>
                <w:tab w:val="clear" w:pos="2977"/>
              </w:tabs>
              <w:suppressAutoHyphens w:val="0"/>
              <w:spacing w:after="0"/>
              <w:ind w:left="0" w:firstLine="0"/>
              <w:rPr>
                <w:rFonts w:ascii="Times New Roman" w:hAnsi="Times New Roman"/>
                <w:sz w:val="22"/>
                <w:szCs w:val="22"/>
              </w:rPr>
            </w:pPr>
            <w:r w:rsidRPr="00630129">
              <w:rPr>
                <w:rFonts w:ascii="Times New Roman" w:hAnsi="Times New Roman"/>
                <w:sz w:val="22"/>
                <w:szCs w:val="22"/>
              </w:rPr>
              <w:t>refers to a Supplier acting in the capacity of Primary Supplier in respect of a Shared SVA Metering System; and</w:t>
            </w:r>
          </w:p>
        </w:tc>
      </w:tr>
      <w:tr w:rsidR="00AF3E4D" w:rsidRPr="00630129" w14:paraId="309F2FF0" w14:textId="77777777">
        <w:trPr>
          <w:cantSplit/>
        </w:trPr>
        <w:tc>
          <w:tcPr>
            <w:tcW w:w="0" w:type="auto"/>
            <w:tcMar>
              <w:top w:w="85" w:type="dxa"/>
              <w:left w:w="85" w:type="dxa"/>
              <w:bottom w:w="85" w:type="dxa"/>
              <w:right w:w="85" w:type="dxa"/>
            </w:tcMar>
          </w:tcPr>
          <w:p w14:paraId="6955F2FB" w14:textId="77777777" w:rsidR="00AF3E4D" w:rsidRPr="00630129" w:rsidRDefault="00AF3E4D" w:rsidP="00AF3E4D">
            <w:pPr>
              <w:rPr>
                <w:sz w:val="22"/>
                <w:szCs w:val="22"/>
              </w:rPr>
            </w:pPr>
            <w:r w:rsidRPr="00630129">
              <w:rPr>
                <w:sz w:val="22"/>
                <w:szCs w:val="22"/>
              </w:rPr>
              <w:t>Zn</w:t>
            </w:r>
          </w:p>
        </w:tc>
        <w:tc>
          <w:tcPr>
            <w:tcW w:w="0" w:type="auto"/>
            <w:tcMar>
              <w:top w:w="85" w:type="dxa"/>
              <w:left w:w="85" w:type="dxa"/>
              <w:bottom w:w="85" w:type="dxa"/>
              <w:right w:w="85" w:type="dxa"/>
            </w:tcMar>
          </w:tcPr>
          <w:p w14:paraId="215763DF" w14:textId="77777777" w:rsidR="00AF3E4D" w:rsidRPr="00630129" w:rsidRDefault="00AF3E4D" w:rsidP="00AF3E4D">
            <w:pPr>
              <w:rPr>
                <w:sz w:val="22"/>
                <w:szCs w:val="22"/>
              </w:rPr>
            </w:pPr>
            <w:r w:rsidRPr="00630129">
              <w:rPr>
                <w:sz w:val="22"/>
                <w:szCs w:val="22"/>
              </w:rPr>
              <w:t>refers to a Supplier acting in the capacity of Secondary Supplier in respect of a Shared SVA Metering System.</w:t>
            </w:r>
          </w:p>
        </w:tc>
      </w:tr>
    </w:tbl>
    <w:p w14:paraId="65FEE06E" w14:textId="77777777" w:rsidR="002A68CF" w:rsidRPr="00630129" w:rsidRDefault="002A68CF">
      <w:pPr>
        <w:spacing w:after="220"/>
        <w:jc w:val="both"/>
        <w:rPr>
          <w:sz w:val="22"/>
          <w:szCs w:val="22"/>
        </w:rPr>
      </w:pPr>
    </w:p>
    <w:p w14:paraId="7DF4B86B" w14:textId="77777777" w:rsidR="002A68CF" w:rsidRPr="00630129" w:rsidRDefault="002A68CF">
      <w:pPr>
        <w:spacing w:after="220"/>
        <w:jc w:val="both"/>
        <w:rPr>
          <w:sz w:val="22"/>
          <w:szCs w:val="22"/>
        </w:rPr>
      </w:pPr>
    </w:p>
    <w:p w14:paraId="3053E69F" w14:textId="77777777" w:rsidR="002A68CF" w:rsidRPr="00630129" w:rsidRDefault="002A68CF">
      <w:pPr>
        <w:spacing w:after="220"/>
        <w:jc w:val="both"/>
        <w:rPr>
          <w:sz w:val="22"/>
          <w:szCs w:val="22"/>
        </w:rPr>
      </w:pPr>
    </w:p>
    <w:p w14:paraId="1DC31E15" w14:textId="77777777" w:rsidR="002A68CF" w:rsidRPr="00630129" w:rsidRDefault="001C7564">
      <w:pPr>
        <w:pageBreakBefore/>
        <w:spacing w:after="220"/>
        <w:jc w:val="center"/>
        <w:rPr>
          <w:b/>
          <w:sz w:val="22"/>
          <w:szCs w:val="22"/>
        </w:rPr>
      </w:pPr>
      <w:r w:rsidRPr="00630129">
        <w:rPr>
          <w:b/>
          <w:sz w:val="22"/>
          <w:szCs w:val="22"/>
        </w:rPr>
        <w:lastRenderedPageBreak/>
        <w:t>Table X–5</w:t>
      </w:r>
    </w:p>
    <w:p w14:paraId="6165C792" w14:textId="77777777" w:rsidR="002A68CF" w:rsidRPr="00630129" w:rsidRDefault="001C7564">
      <w:pPr>
        <w:spacing w:after="220"/>
        <w:jc w:val="center"/>
        <w:rPr>
          <w:b/>
          <w:sz w:val="22"/>
          <w:szCs w:val="22"/>
        </w:rPr>
      </w:pPr>
      <w:r w:rsidRPr="00630129">
        <w:rPr>
          <w:b/>
          <w:sz w:val="22"/>
          <w:szCs w:val="22"/>
        </w:rPr>
        <w:t>Use of Summations Applying to Section S</w:t>
      </w:r>
    </w:p>
    <w:p w14:paraId="18A611DF" w14:textId="77777777" w:rsidR="002A68CF" w:rsidRPr="00630129" w:rsidRDefault="001C7564">
      <w:pPr>
        <w:pStyle w:val="BodyTextIndent3"/>
        <w:tabs>
          <w:tab w:val="clear" w:pos="-720"/>
          <w:tab w:val="clear" w:pos="0"/>
          <w:tab w:val="clear" w:pos="720"/>
          <w:tab w:val="clear" w:pos="1440"/>
          <w:tab w:val="clear" w:pos="2160"/>
          <w:tab w:val="clear" w:pos="2977"/>
        </w:tabs>
        <w:suppressAutoHyphens w:val="0"/>
        <w:ind w:left="0" w:firstLine="0"/>
        <w:jc w:val="both"/>
        <w:rPr>
          <w:rFonts w:ascii="Times New Roman" w:hAnsi="Times New Roman"/>
          <w:sz w:val="22"/>
          <w:szCs w:val="22"/>
        </w:rPr>
      </w:pPr>
      <w:r w:rsidRPr="00630129">
        <w:rPr>
          <w:rFonts w:ascii="Times New Roman" w:hAnsi="Times New Roman"/>
          <w:sz w:val="22"/>
          <w:szCs w:val="22"/>
        </w:rPr>
        <w:t>The following summations, used in the formulae and other algebraic expressions in Section S, shall bear the following respective meanings:</w:t>
      </w:r>
    </w:p>
    <w:tbl>
      <w:tblPr>
        <w:tblStyle w:val="TableGrid"/>
        <w:tblW w:w="5000" w:type="pct"/>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4"/>
        <w:gridCol w:w="306"/>
        <w:gridCol w:w="7453"/>
      </w:tblGrid>
      <w:tr w:rsidR="00630129" w:rsidRPr="00630129" w14:paraId="75633D6D" w14:textId="77777777" w:rsidTr="00A63BA8">
        <w:trPr>
          <w:cantSplit/>
        </w:trPr>
        <w:tc>
          <w:tcPr>
            <w:tcW w:w="727" w:type="pct"/>
            <w:tcMar>
              <w:top w:w="85" w:type="dxa"/>
              <w:left w:w="85" w:type="dxa"/>
              <w:bottom w:w="85" w:type="dxa"/>
              <w:right w:w="85" w:type="dxa"/>
            </w:tcMar>
          </w:tcPr>
          <w:p w14:paraId="360845B8" w14:textId="77777777" w:rsidR="002A68CF" w:rsidRPr="00630129" w:rsidRDefault="001C7564">
            <w:pPr>
              <w:rPr>
                <w:sz w:val="22"/>
                <w:szCs w:val="22"/>
              </w:rPr>
            </w:pPr>
            <w:r w:rsidRPr="00630129">
              <w:rPr>
                <w:sz w:val="22"/>
                <w:szCs w:val="22"/>
              </w:rPr>
              <w:sym w:font="Symbol" w:char="F053"/>
            </w:r>
            <w:r w:rsidRPr="00630129">
              <w:rPr>
                <w:sz w:val="22"/>
                <w:szCs w:val="22"/>
                <w:vertAlign w:val="subscript"/>
              </w:rPr>
              <w:t>a</w:t>
            </w:r>
          </w:p>
        </w:tc>
        <w:tc>
          <w:tcPr>
            <w:tcW w:w="163" w:type="pct"/>
            <w:tcMar>
              <w:top w:w="85" w:type="dxa"/>
              <w:left w:w="85" w:type="dxa"/>
              <w:bottom w:w="85" w:type="dxa"/>
              <w:right w:w="85" w:type="dxa"/>
            </w:tcMar>
          </w:tcPr>
          <w:p w14:paraId="76677609" w14:textId="77777777" w:rsidR="002A68CF" w:rsidRPr="00630129" w:rsidRDefault="001C7564">
            <w:pPr>
              <w:jc w:val="center"/>
              <w:rPr>
                <w:sz w:val="22"/>
                <w:szCs w:val="22"/>
              </w:rPr>
            </w:pPr>
            <w:r w:rsidRPr="00630129">
              <w:rPr>
                <w:sz w:val="22"/>
                <w:szCs w:val="22"/>
              </w:rPr>
              <w:t>=</w:t>
            </w:r>
          </w:p>
        </w:tc>
        <w:tc>
          <w:tcPr>
            <w:tcW w:w="4111" w:type="pct"/>
            <w:tcMar>
              <w:top w:w="85" w:type="dxa"/>
              <w:left w:w="85" w:type="dxa"/>
              <w:bottom w:w="85" w:type="dxa"/>
              <w:right w:w="85" w:type="dxa"/>
            </w:tcMar>
          </w:tcPr>
          <w:p w14:paraId="7A28416F" w14:textId="77777777" w:rsidR="002A68CF" w:rsidRPr="00630129" w:rsidRDefault="001C7564">
            <w:pPr>
              <w:rPr>
                <w:sz w:val="22"/>
                <w:szCs w:val="22"/>
              </w:rPr>
            </w:pPr>
            <w:r w:rsidRPr="00630129">
              <w:rPr>
                <w:sz w:val="22"/>
                <w:szCs w:val="22"/>
              </w:rPr>
              <w:t>summed over all Data Aggregators (a);</w:t>
            </w:r>
          </w:p>
        </w:tc>
      </w:tr>
      <w:tr w:rsidR="00630129" w:rsidRPr="00630129" w14:paraId="7948888B" w14:textId="77777777" w:rsidTr="00A63BA8">
        <w:trPr>
          <w:cantSplit/>
        </w:trPr>
        <w:tc>
          <w:tcPr>
            <w:tcW w:w="727" w:type="pct"/>
            <w:tcMar>
              <w:top w:w="85" w:type="dxa"/>
              <w:left w:w="85" w:type="dxa"/>
              <w:bottom w:w="85" w:type="dxa"/>
              <w:right w:w="85" w:type="dxa"/>
            </w:tcMar>
          </w:tcPr>
          <w:p w14:paraId="7B387368" w14:textId="77777777" w:rsidR="002A68CF" w:rsidRPr="00630129" w:rsidRDefault="001C7564">
            <w:pPr>
              <w:pStyle w:val="RightPar2"/>
              <w:tabs>
                <w:tab w:val="clear" w:pos="-720"/>
                <w:tab w:val="clear" w:pos="0"/>
                <w:tab w:val="clear" w:pos="720"/>
                <w:tab w:val="clear" w:pos="1440"/>
              </w:tabs>
              <w:suppressAutoHyphens w:val="0"/>
              <w:ind w:left="0"/>
              <w:rPr>
                <w:rFonts w:ascii="Times New Roman" w:hAnsi="Times New Roman"/>
                <w:sz w:val="22"/>
                <w:szCs w:val="22"/>
                <w:vertAlign w:val="subscript"/>
              </w:rPr>
            </w:pPr>
            <w:r w:rsidRPr="00630129">
              <w:rPr>
                <w:rFonts w:ascii="Times New Roman" w:hAnsi="Times New Roman"/>
                <w:sz w:val="22"/>
                <w:szCs w:val="22"/>
              </w:rPr>
              <w:sym w:font="Symbol" w:char="F053"/>
            </w:r>
            <w:r w:rsidRPr="00630129">
              <w:rPr>
                <w:rFonts w:ascii="Times New Roman" w:hAnsi="Times New Roman"/>
                <w:sz w:val="22"/>
                <w:szCs w:val="22"/>
                <w:vertAlign w:val="subscript"/>
              </w:rPr>
              <w:t>(</w:t>
            </w:r>
            <w:proofErr w:type="spellStart"/>
            <w:r w:rsidRPr="00630129">
              <w:rPr>
                <w:rFonts w:ascii="Times New Roman" w:hAnsi="Times New Roman"/>
                <w:sz w:val="22"/>
                <w:szCs w:val="22"/>
                <w:vertAlign w:val="subscript"/>
              </w:rPr>
              <w:t>ai</w:t>
            </w:r>
            <w:proofErr w:type="spellEnd"/>
            <w:r w:rsidRPr="00630129">
              <w:rPr>
                <w:rFonts w:ascii="Times New Roman" w:hAnsi="Times New Roman"/>
                <w:sz w:val="22"/>
                <w:szCs w:val="22"/>
                <w:vertAlign w:val="subscript"/>
              </w:rPr>
              <w:t>)</w:t>
            </w:r>
          </w:p>
        </w:tc>
        <w:tc>
          <w:tcPr>
            <w:tcW w:w="163" w:type="pct"/>
            <w:tcMar>
              <w:top w:w="85" w:type="dxa"/>
              <w:left w:w="85" w:type="dxa"/>
              <w:bottom w:w="85" w:type="dxa"/>
              <w:right w:w="85" w:type="dxa"/>
            </w:tcMar>
          </w:tcPr>
          <w:p w14:paraId="3FB063E1" w14:textId="77777777" w:rsidR="002A68CF" w:rsidRPr="00630129" w:rsidRDefault="001C7564">
            <w:pPr>
              <w:pStyle w:val="RightPar2"/>
              <w:tabs>
                <w:tab w:val="clear" w:pos="-720"/>
                <w:tab w:val="clear" w:pos="0"/>
                <w:tab w:val="clear" w:pos="720"/>
                <w:tab w:val="clear" w:pos="1440"/>
              </w:tabs>
              <w:suppressAutoHyphens w:val="0"/>
              <w:ind w:left="0"/>
              <w:jc w:val="center"/>
              <w:rPr>
                <w:rFonts w:ascii="Times New Roman" w:hAnsi="Times New Roman"/>
                <w:sz w:val="22"/>
                <w:szCs w:val="22"/>
              </w:rPr>
            </w:pPr>
            <w:r w:rsidRPr="00630129">
              <w:rPr>
                <w:rFonts w:ascii="Times New Roman" w:hAnsi="Times New Roman"/>
                <w:sz w:val="22"/>
                <w:szCs w:val="22"/>
              </w:rPr>
              <w:t>=</w:t>
            </w:r>
          </w:p>
        </w:tc>
        <w:tc>
          <w:tcPr>
            <w:tcW w:w="4111" w:type="pct"/>
            <w:tcMar>
              <w:top w:w="85" w:type="dxa"/>
              <w:left w:w="85" w:type="dxa"/>
              <w:bottom w:w="85" w:type="dxa"/>
              <w:right w:w="85" w:type="dxa"/>
            </w:tcMar>
          </w:tcPr>
          <w:p w14:paraId="6CF47565" w14:textId="77777777" w:rsidR="002A68CF" w:rsidRPr="00630129" w:rsidRDefault="001C7564">
            <w:pPr>
              <w:pStyle w:val="RightPar2"/>
              <w:tabs>
                <w:tab w:val="clear" w:pos="-720"/>
                <w:tab w:val="clear" w:pos="0"/>
                <w:tab w:val="clear" w:pos="720"/>
                <w:tab w:val="clear" w:pos="1440"/>
              </w:tabs>
              <w:suppressAutoHyphens w:val="0"/>
              <w:ind w:left="0"/>
              <w:rPr>
                <w:rFonts w:ascii="Times New Roman" w:hAnsi="Times New Roman"/>
                <w:sz w:val="22"/>
                <w:szCs w:val="22"/>
              </w:rPr>
            </w:pPr>
            <w:r w:rsidRPr="00630129">
              <w:rPr>
                <w:rFonts w:ascii="Times New Roman" w:hAnsi="Times New Roman"/>
                <w:sz w:val="22"/>
                <w:szCs w:val="22"/>
              </w:rPr>
              <w:t>summed over all Adjusted Intervals ((</w:t>
            </w:r>
            <w:proofErr w:type="spellStart"/>
            <w:r w:rsidRPr="00630129">
              <w:rPr>
                <w:rFonts w:ascii="Times New Roman" w:hAnsi="Times New Roman"/>
                <w:sz w:val="22"/>
                <w:szCs w:val="22"/>
              </w:rPr>
              <w:t>ai</w:t>
            </w:r>
            <w:proofErr w:type="spellEnd"/>
            <w:r w:rsidRPr="00630129">
              <w:rPr>
                <w:rFonts w:ascii="Times New Roman" w:hAnsi="Times New Roman"/>
                <w:sz w:val="22"/>
                <w:szCs w:val="22"/>
              </w:rPr>
              <w:t>)) associated with the spot time in question for all Time Pattern Regimes associated with a particular Standard Settlement Configuration;</w:t>
            </w:r>
          </w:p>
        </w:tc>
      </w:tr>
      <w:tr w:rsidR="00630129" w:rsidRPr="00630129" w14:paraId="47421823" w14:textId="77777777" w:rsidTr="00A63BA8">
        <w:trPr>
          <w:cantSplit/>
        </w:trPr>
        <w:tc>
          <w:tcPr>
            <w:tcW w:w="727" w:type="pct"/>
            <w:tcMar>
              <w:top w:w="85" w:type="dxa"/>
              <w:left w:w="85" w:type="dxa"/>
              <w:bottom w:w="85" w:type="dxa"/>
              <w:right w:w="85" w:type="dxa"/>
            </w:tcMar>
          </w:tcPr>
          <w:p w14:paraId="6EAB2937" w14:textId="77777777" w:rsidR="002A68CF" w:rsidRPr="00630129" w:rsidRDefault="001C7564">
            <w:pPr>
              <w:rPr>
                <w:sz w:val="22"/>
                <w:szCs w:val="22"/>
                <w:vertAlign w:val="subscript"/>
              </w:rPr>
            </w:pPr>
            <w:r w:rsidRPr="00630129">
              <w:rPr>
                <w:sz w:val="22"/>
                <w:szCs w:val="22"/>
              </w:rPr>
              <w:sym w:font="Symbol" w:char="F053"/>
            </w:r>
            <w:r w:rsidRPr="00630129">
              <w:rPr>
                <w:sz w:val="22"/>
                <w:szCs w:val="22"/>
                <w:vertAlign w:val="subscript"/>
              </w:rPr>
              <w:t>j</w:t>
            </w:r>
          </w:p>
        </w:tc>
        <w:tc>
          <w:tcPr>
            <w:tcW w:w="163" w:type="pct"/>
            <w:tcMar>
              <w:top w:w="85" w:type="dxa"/>
              <w:left w:w="85" w:type="dxa"/>
              <w:bottom w:w="85" w:type="dxa"/>
              <w:right w:w="85" w:type="dxa"/>
            </w:tcMar>
          </w:tcPr>
          <w:p w14:paraId="37591266" w14:textId="77777777" w:rsidR="002A68CF" w:rsidRPr="00630129" w:rsidRDefault="001C7564">
            <w:pPr>
              <w:jc w:val="center"/>
              <w:rPr>
                <w:sz w:val="22"/>
                <w:szCs w:val="22"/>
              </w:rPr>
            </w:pPr>
            <w:r w:rsidRPr="00630129">
              <w:rPr>
                <w:sz w:val="22"/>
                <w:szCs w:val="22"/>
              </w:rPr>
              <w:t>=</w:t>
            </w:r>
          </w:p>
        </w:tc>
        <w:tc>
          <w:tcPr>
            <w:tcW w:w="4111" w:type="pct"/>
            <w:tcMar>
              <w:top w:w="85" w:type="dxa"/>
              <w:left w:w="85" w:type="dxa"/>
              <w:bottom w:w="85" w:type="dxa"/>
              <w:right w:w="85" w:type="dxa"/>
            </w:tcMar>
          </w:tcPr>
          <w:p w14:paraId="6F23B0CA" w14:textId="77777777" w:rsidR="002A68CF" w:rsidRPr="00630129" w:rsidRDefault="001C7564">
            <w:pPr>
              <w:rPr>
                <w:sz w:val="22"/>
                <w:szCs w:val="22"/>
              </w:rPr>
            </w:pPr>
            <w:r w:rsidRPr="00630129">
              <w:rPr>
                <w:sz w:val="22"/>
                <w:szCs w:val="22"/>
              </w:rPr>
              <w:t xml:space="preserve">summed </w:t>
            </w:r>
            <w:proofErr w:type="spellStart"/>
            <w:r w:rsidRPr="00630129">
              <w:rPr>
                <w:sz w:val="22"/>
                <w:szCs w:val="22"/>
              </w:rPr>
              <w:t>over all</w:t>
            </w:r>
            <w:proofErr w:type="spellEnd"/>
            <w:r w:rsidRPr="00630129">
              <w:rPr>
                <w:sz w:val="22"/>
                <w:szCs w:val="22"/>
              </w:rPr>
              <w:t xml:space="preserve"> Settlement Periods;</w:t>
            </w:r>
          </w:p>
        </w:tc>
      </w:tr>
      <w:tr w:rsidR="00630129" w:rsidRPr="00630129" w14:paraId="585F688C" w14:textId="77777777" w:rsidTr="00A63BA8">
        <w:trPr>
          <w:cantSplit/>
        </w:trPr>
        <w:tc>
          <w:tcPr>
            <w:tcW w:w="727" w:type="pct"/>
            <w:tcMar>
              <w:top w:w="85" w:type="dxa"/>
              <w:left w:w="85" w:type="dxa"/>
              <w:bottom w:w="85" w:type="dxa"/>
              <w:right w:w="85" w:type="dxa"/>
            </w:tcMar>
          </w:tcPr>
          <w:p w14:paraId="4DA4E023" w14:textId="77777777" w:rsidR="002A68CF" w:rsidRPr="00630129" w:rsidRDefault="001C7564">
            <w:pPr>
              <w:rPr>
                <w:sz w:val="22"/>
                <w:szCs w:val="22"/>
              </w:rPr>
            </w:pPr>
            <w:r w:rsidRPr="00630129">
              <w:rPr>
                <w:sz w:val="22"/>
                <w:szCs w:val="22"/>
              </w:rPr>
              <w:sym w:font="Symbol" w:char="F053"/>
            </w:r>
            <w:r w:rsidRPr="00630129">
              <w:rPr>
                <w:sz w:val="22"/>
                <w:szCs w:val="22"/>
                <w:vertAlign w:val="subscript"/>
              </w:rPr>
              <w:t>N</w:t>
            </w:r>
          </w:p>
        </w:tc>
        <w:tc>
          <w:tcPr>
            <w:tcW w:w="163" w:type="pct"/>
            <w:tcMar>
              <w:top w:w="85" w:type="dxa"/>
              <w:left w:w="85" w:type="dxa"/>
              <w:bottom w:w="85" w:type="dxa"/>
              <w:right w:w="85" w:type="dxa"/>
            </w:tcMar>
          </w:tcPr>
          <w:p w14:paraId="49378E5C" w14:textId="77777777" w:rsidR="002A68CF" w:rsidRPr="00630129" w:rsidRDefault="001C7564">
            <w:pPr>
              <w:jc w:val="center"/>
              <w:rPr>
                <w:sz w:val="22"/>
                <w:szCs w:val="22"/>
              </w:rPr>
            </w:pPr>
            <w:r w:rsidRPr="00630129">
              <w:rPr>
                <w:sz w:val="22"/>
                <w:szCs w:val="22"/>
              </w:rPr>
              <w:t>=</w:t>
            </w:r>
          </w:p>
        </w:tc>
        <w:tc>
          <w:tcPr>
            <w:tcW w:w="4111" w:type="pct"/>
            <w:tcMar>
              <w:top w:w="85" w:type="dxa"/>
              <w:left w:w="85" w:type="dxa"/>
              <w:bottom w:w="85" w:type="dxa"/>
              <w:right w:w="85" w:type="dxa"/>
            </w:tcMar>
          </w:tcPr>
          <w:p w14:paraId="735D2B9F" w14:textId="77777777" w:rsidR="002A68CF" w:rsidRPr="00630129" w:rsidRDefault="001C7564">
            <w:pPr>
              <w:rPr>
                <w:sz w:val="22"/>
                <w:szCs w:val="22"/>
              </w:rPr>
            </w:pPr>
            <w:r w:rsidRPr="00630129">
              <w:rPr>
                <w:sz w:val="22"/>
                <w:szCs w:val="22"/>
              </w:rPr>
              <w:t xml:space="preserve">summed over all Consumption Component Classes (N) where, in such summation, values associated with Consumption Component Classes associated with Third Party Generating Plant comprised in SVA Metering Systems shall be subtracted and values associated with all other Consumption Component Classes shall be added, except in the case of </w:t>
            </w:r>
            <w:r w:rsidRPr="00630129">
              <w:rPr>
                <w:sz w:val="22"/>
                <w:szCs w:val="22"/>
              </w:rPr>
              <w:sym w:font="Symbol" w:char="F053"/>
            </w:r>
            <w:r w:rsidRPr="00630129">
              <w:rPr>
                <w:sz w:val="22"/>
                <w:szCs w:val="22"/>
                <w:vertAlign w:val="subscript"/>
              </w:rPr>
              <w:t>N(AA)</w:t>
            </w:r>
            <w:r w:rsidRPr="00630129">
              <w:rPr>
                <w:sz w:val="22"/>
                <w:szCs w:val="22"/>
              </w:rPr>
              <w:t xml:space="preserve"> and </w:t>
            </w:r>
            <w:r w:rsidRPr="00630129">
              <w:rPr>
                <w:sz w:val="22"/>
                <w:szCs w:val="22"/>
              </w:rPr>
              <w:sym w:font="Symbol" w:char="F053"/>
            </w:r>
            <w:r w:rsidRPr="00630129">
              <w:rPr>
                <w:sz w:val="22"/>
                <w:szCs w:val="22"/>
                <w:vertAlign w:val="subscript"/>
              </w:rPr>
              <w:t xml:space="preserve">N(EAC) </w:t>
            </w:r>
            <w:r w:rsidRPr="00630129">
              <w:rPr>
                <w:sz w:val="22"/>
                <w:szCs w:val="22"/>
              </w:rPr>
              <w:t>for the purposes of Annex S-1 paragraph 2;</w:t>
            </w:r>
          </w:p>
        </w:tc>
      </w:tr>
      <w:tr w:rsidR="00630129" w:rsidRPr="00630129" w14:paraId="168D9B10" w14:textId="77777777" w:rsidTr="00A63BA8">
        <w:trPr>
          <w:cantSplit/>
        </w:trPr>
        <w:tc>
          <w:tcPr>
            <w:tcW w:w="727" w:type="pct"/>
            <w:tcMar>
              <w:top w:w="85" w:type="dxa"/>
              <w:left w:w="85" w:type="dxa"/>
              <w:bottom w:w="85" w:type="dxa"/>
              <w:right w:w="85" w:type="dxa"/>
            </w:tcMar>
          </w:tcPr>
          <w:p w14:paraId="5F3AB161" w14:textId="77777777" w:rsidR="002A68CF" w:rsidRPr="00630129" w:rsidRDefault="001C7564">
            <w:pPr>
              <w:rPr>
                <w:sz w:val="22"/>
                <w:szCs w:val="22"/>
                <w:vertAlign w:val="subscript"/>
              </w:rPr>
            </w:pPr>
            <w:r w:rsidRPr="00630129">
              <w:rPr>
                <w:sz w:val="22"/>
                <w:szCs w:val="22"/>
              </w:rPr>
              <w:sym w:font="Symbol" w:char="F053"/>
            </w:r>
            <w:r w:rsidRPr="00630129">
              <w:rPr>
                <w:sz w:val="22"/>
                <w:szCs w:val="22"/>
                <w:vertAlign w:val="subscript"/>
              </w:rPr>
              <w:t>N(n)</w:t>
            </w:r>
          </w:p>
        </w:tc>
        <w:tc>
          <w:tcPr>
            <w:tcW w:w="163" w:type="pct"/>
            <w:tcMar>
              <w:top w:w="85" w:type="dxa"/>
              <w:left w:w="85" w:type="dxa"/>
              <w:bottom w:w="85" w:type="dxa"/>
              <w:right w:w="85" w:type="dxa"/>
            </w:tcMar>
          </w:tcPr>
          <w:p w14:paraId="69B3AD01" w14:textId="77777777" w:rsidR="002A68CF" w:rsidRPr="00630129" w:rsidRDefault="001C7564">
            <w:pPr>
              <w:jc w:val="center"/>
              <w:rPr>
                <w:sz w:val="22"/>
                <w:szCs w:val="22"/>
              </w:rPr>
            </w:pPr>
            <w:r w:rsidRPr="00630129">
              <w:rPr>
                <w:sz w:val="22"/>
                <w:szCs w:val="22"/>
              </w:rPr>
              <w:t>=</w:t>
            </w:r>
          </w:p>
        </w:tc>
        <w:tc>
          <w:tcPr>
            <w:tcW w:w="4111" w:type="pct"/>
            <w:tcMar>
              <w:top w:w="85" w:type="dxa"/>
              <w:left w:w="85" w:type="dxa"/>
              <w:bottom w:w="85" w:type="dxa"/>
              <w:right w:w="85" w:type="dxa"/>
            </w:tcMar>
          </w:tcPr>
          <w:p w14:paraId="2D00E63E" w14:textId="77777777" w:rsidR="002A68CF" w:rsidRPr="00630129" w:rsidRDefault="001C7564">
            <w:pPr>
              <w:rPr>
                <w:sz w:val="22"/>
                <w:szCs w:val="22"/>
              </w:rPr>
            </w:pPr>
            <w:r w:rsidRPr="00630129">
              <w:rPr>
                <w:sz w:val="22"/>
                <w:szCs w:val="22"/>
              </w:rPr>
              <w:t>summed over all those Consumption Component Classes (N) for which the data aggregation type is ‘N’ and where, in such summation, values associated with Consumption Component Classes associated with Third Party Generating Plant comprised in SVA Metering Systems shall be subtracted and values associated with all other Consumption Component Classes shall be added;</w:t>
            </w:r>
          </w:p>
        </w:tc>
      </w:tr>
      <w:tr w:rsidR="00630129" w:rsidRPr="00630129" w14:paraId="3180B3DE" w14:textId="77777777" w:rsidTr="00A63BA8">
        <w:trPr>
          <w:cantSplit/>
        </w:trPr>
        <w:tc>
          <w:tcPr>
            <w:tcW w:w="727" w:type="pct"/>
            <w:tcMar>
              <w:top w:w="85" w:type="dxa"/>
              <w:left w:w="85" w:type="dxa"/>
              <w:bottom w:w="85" w:type="dxa"/>
              <w:right w:w="85" w:type="dxa"/>
            </w:tcMar>
          </w:tcPr>
          <w:p w14:paraId="518273AD" w14:textId="77777777" w:rsidR="002A68CF" w:rsidRPr="00630129" w:rsidRDefault="001C7564">
            <w:pPr>
              <w:rPr>
                <w:sz w:val="22"/>
                <w:szCs w:val="22"/>
                <w:vertAlign w:val="subscript"/>
              </w:rPr>
            </w:pPr>
            <w:r w:rsidRPr="00630129">
              <w:rPr>
                <w:sz w:val="22"/>
                <w:szCs w:val="22"/>
              </w:rPr>
              <w:sym w:font="Symbol" w:char="F053"/>
            </w:r>
            <w:r w:rsidRPr="00630129">
              <w:rPr>
                <w:sz w:val="22"/>
                <w:szCs w:val="22"/>
                <w:vertAlign w:val="subscript"/>
              </w:rPr>
              <w:t>T</w:t>
            </w:r>
          </w:p>
        </w:tc>
        <w:tc>
          <w:tcPr>
            <w:tcW w:w="163" w:type="pct"/>
            <w:tcMar>
              <w:top w:w="85" w:type="dxa"/>
              <w:left w:w="85" w:type="dxa"/>
              <w:bottom w:w="85" w:type="dxa"/>
              <w:right w:w="85" w:type="dxa"/>
            </w:tcMar>
          </w:tcPr>
          <w:p w14:paraId="149C9CE6" w14:textId="77777777" w:rsidR="002A68CF" w:rsidRPr="00630129" w:rsidRDefault="001C7564">
            <w:pPr>
              <w:jc w:val="center"/>
              <w:rPr>
                <w:sz w:val="22"/>
                <w:szCs w:val="22"/>
              </w:rPr>
            </w:pPr>
            <w:r w:rsidRPr="00630129">
              <w:rPr>
                <w:sz w:val="22"/>
                <w:szCs w:val="22"/>
              </w:rPr>
              <w:t>=</w:t>
            </w:r>
          </w:p>
        </w:tc>
        <w:tc>
          <w:tcPr>
            <w:tcW w:w="4111" w:type="pct"/>
            <w:tcMar>
              <w:top w:w="85" w:type="dxa"/>
              <w:left w:w="85" w:type="dxa"/>
              <w:bottom w:w="85" w:type="dxa"/>
              <w:right w:w="85" w:type="dxa"/>
            </w:tcMar>
          </w:tcPr>
          <w:p w14:paraId="573BF05B" w14:textId="77777777" w:rsidR="002A68CF" w:rsidRPr="00630129" w:rsidRDefault="001C7564">
            <w:pPr>
              <w:rPr>
                <w:sz w:val="22"/>
                <w:szCs w:val="22"/>
              </w:rPr>
            </w:pPr>
            <w:r w:rsidRPr="00630129">
              <w:rPr>
                <w:sz w:val="22"/>
                <w:szCs w:val="22"/>
              </w:rPr>
              <w:t xml:space="preserve">summed </w:t>
            </w:r>
            <w:proofErr w:type="spellStart"/>
            <w:r w:rsidRPr="00630129">
              <w:rPr>
                <w:sz w:val="22"/>
                <w:szCs w:val="22"/>
              </w:rPr>
              <w:t>over all</w:t>
            </w:r>
            <w:proofErr w:type="spellEnd"/>
            <w:r w:rsidRPr="00630129">
              <w:rPr>
                <w:sz w:val="22"/>
                <w:szCs w:val="22"/>
              </w:rPr>
              <w:t xml:space="preserve"> Settlement Days (T) in a particular Meter Advance Period;</w:t>
            </w:r>
          </w:p>
        </w:tc>
      </w:tr>
      <w:tr w:rsidR="00630129" w:rsidRPr="00630129" w14:paraId="58203DC9" w14:textId="77777777" w:rsidTr="00A63BA8">
        <w:trPr>
          <w:cantSplit/>
        </w:trPr>
        <w:tc>
          <w:tcPr>
            <w:tcW w:w="727" w:type="pct"/>
            <w:tcMar>
              <w:top w:w="85" w:type="dxa"/>
              <w:left w:w="85" w:type="dxa"/>
              <w:bottom w:w="85" w:type="dxa"/>
              <w:right w:w="85" w:type="dxa"/>
            </w:tcMar>
          </w:tcPr>
          <w:p w14:paraId="31811933" w14:textId="77777777" w:rsidR="002A68CF" w:rsidRPr="00630129" w:rsidRDefault="001C7564">
            <w:pPr>
              <w:rPr>
                <w:sz w:val="22"/>
                <w:szCs w:val="22"/>
                <w:vertAlign w:val="subscript"/>
              </w:rPr>
            </w:pPr>
            <w:r w:rsidRPr="00630129">
              <w:rPr>
                <w:sz w:val="22"/>
                <w:szCs w:val="22"/>
              </w:rPr>
              <w:sym w:font="Symbol" w:char="F053"/>
            </w:r>
            <w:r w:rsidRPr="00630129">
              <w:rPr>
                <w:sz w:val="22"/>
                <w:szCs w:val="22"/>
                <w:vertAlign w:val="subscript"/>
              </w:rPr>
              <w:t>Z</w:t>
            </w:r>
          </w:p>
        </w:tc>
        <w:tc>
          <w:tcPr>
            <w:tcW w:w="163" w:type="pct"/>
            <w:tcMar>
              <w:top w:w="85" w:type="dxa"/>
              <w:left w:w="85" w:type="dxa"/>
              <w:bottom w:w="85" w:type="dxa"/>
              <w:right w:w="85" w:type="dxa"/>
            </w:tcMar>
          </w:tcPr>
          <w:p w14:paraId="40B0934B" w14:textId="77777777" w:rsidR="002A68CF" w:rsidRPr="00630129" w:rsidRDefault="001C7564">
            <w:pPr>
              <w:jc w:val="center"/>
              <w:rPr>
                <w:sz w:val="22"/>
                <w:szCs w:val="22"/>
              </w:rPr>
            </w:pPr>
            <w:r w:rsidRPr="00630129">
              <w:rPr>
                <w:sz w:val="22"/>
                <w:szCs w:val="22"/>
              </w:rPr>
              <w:t>=</w:t>
            </w:r>
          </w:p>
        </w:tc>
        <w:tc>
          <w:tcPr>
            <w:tcW w:w="4111" w:type="pct"/>
            <w:tcMar>
              <w:top w:w="85" w:type="dxa"/>
              <w:left w:w="85" w:type="dxa"/>
              <w:bottom w:w="85" w:type="dxa"/>
              <w:right w:w="85" w:type="dxa"/>
            </w:tcMar>
          </w:tcPr>
          <w:p w14:paraId="510F6EF3" w14:textId="77777777" w:rsidR="002A68CF" w:rsidRPr="00630129" w:rsidRDefault="001C7564">
            <w:pPr>
              <w:rPr>
                <w:sz w:val="22"/>
                <w:szCs w:val="22"/>
              </w:rPr>
            </w:pPr>
            <w:r w:rsidRPr="00630129">
              <w:rPr>
                <w:sz w:val="22"/>
                <w:szCs w:val="22"/>
              </w:rPr>
              <w:t>summed over all Suppliers (Z);</w:t>
            </w:r>
          </w:p>
        </w:tc>
      </w:tr>
      <w:tr w:rsidR="00630129" w:rsidRPr="00630129" w14:paraId="718F0C45" w14:textId="77777777" w:rsidTr="00A63BA8">
        <w:trPr>
          <w:cantSplit/>
        </w:trPr>
        <w:tc>
          <w:tcPr>
            <w:tcW w:w="727" w:type="pct"/>
            <w:tcMar>
              <w:top w:w="85" w:type="dxa"/>
              <w:left w:w="85" w:type="dxa"/>
              <w:bottom w:w="85" w:type="dxa"/>
              <w:right w:w="85" w:type="dxa"/>
            </w:tcMar>
          </w:tcPr>
          <w:p w14:paraId="67EF3C3B" w14:textId="77777777" w:rsidR="002A68CF" w:rsidRPr="00630129" w:rsidRDefault="001C7564">
            <w:pPr>
              <w:rPr>
                <w:sz w:val="22"/>
                <w:szCs w:val="22"/>
              </w:rPr>
            </w:pPr>
            <w:r w:rsidRPr="00630129">
              <w:rPr>
                <w:sz w:val="22"/>
                <w:szCs w:val="22"/>
              </w:rPr>
              <w:sym w:font="Symbol" w:char="F053"/>
            </w:r>
            <w:r w:rsidRPr="00630129">
              <w:rPr>
                <w:sz w:val="22"/>
                <w:szCs w:val="22"/>
                <w:vertAlign w:val="superscript"/>
              </w:rPr>
              <w:t>K</w:t>
            </w:r>
            <w:r w:rsidRPr="00630129">
              <w:rPr>
                <w:sz w:val="22"/>
                <w:szCs w:val="22"/>
                <w:vertAlign w:val="subscript"/>
              </w:rPr>
              <w:t>J</w:t>
            </w:r>
          </w:p>
        </w:tc>
        <w:tc>
          <w:tcPr>
            <w:tcW w:w="163" w:type="pct"/>
            <w:tcMar>
              <w:top w:w="85" w:type="dxa"/>
              <w:left w:w="85" w:type="dxa"/>
              <w:bottom w:w="85" w:type="dxa"/>
              <w:right w:w="85" w:type="dxa"/>
            </w:tcMar>
          </w:tcPr>
          <w:p w14:paraId="5FE69912" w14:textId="77777777" w:rsidR="002A68CF" w:rsidRPr="00630129" w:rsidRDefault="001C7564">
            <w:pPr>
              <w:jc w:val="center"/>
              <w:rPr>
                <w:sz w:val="22"/>
                <w:szCs w:val="22"/>
              </w:rPr>
            </w:pPr>
            <w:r w:rsidRPr="00630129">
              <w:rPr>
                <w:sz w:val="22"/>
                <w:szCs w:val="22"/>
              </w:rPr>
              <w:t>=</w:t>
            </w:r>
          </w:p>
        </w:tc>
        <w:tc>
          <w:tcPr>
            <w:tcW w:w="4111" w:type="pct"/>
            <w:tcMar>
              <w:top w:w="85" w:type="dxa"/>
              <w:left w:w="85" w:type="dxa"/>
              <w:bottom w:w="85" w:type="dxa"/>
              <w:right w:w="85" w:type="dxa"/>
            </w:tcMar>
          </w:tcPr>
          <w:p w14:paraId="2C8B2820" w14:textId="77777777" w:rsidR="002A68CF" w:rsidRPr="00630129" w:rsidRDefault="001C7564">
            <w:pPr>
              <w:rPr>
                <w:sz w:val="22"/>
                <w:szCs w:val="22"/>
              </w:rPr>
            </w:pPr>
            <w:r w:rsidRPr="00630129">
              <w:rPr>
                <w:sz w:val="22"/>
                <w:szCs w:val="22"/>
              </w:rPr>
              <w:t xml:space="preserve">summed </w:t>
            </w:r>
            <w:proofErr w:type="spellStart"/>
            <w:r w:rsidRPr="00630129">
              <w:rPr>
                <w:sz w:val="22"/>
                <w:szCs w:val="22"/>
              </w:rPr>
              <w:t>over all</w:t>
            </w:r>
            <w:proofErr w:type="spellEnd"/>
            <w:r w:rsidRPr="00630129">
              <w:rPr>
                <w:sz w:val="22"/>
                <w:szCs w:val="22"/>
              </w:rPr>
              <w:t xml:space="preserve"> Settlement Registers (J) in a particular SVA Metering System (K);</w:t>
            </w:r>
          </w:p>
        </w:tc>
      </w:tr>
      <w:tr w:rsidR="00BA1415" w:rsidRPr="00630129" w14:paraId="4F1B265A" w14:textId="77777777" w:rsidTr="00D11619">
        <w:trPr>
          <w:cantSplit/>
          <w:ins w:id="43" w:author="Aditi Tulpule" w:date="2021-02-24T16:16:00Z"/>
        </w:trPr>
        <w:tc>
          <w:tcPr>
            <w:tcW w:w="727" w:type="pct"/>
            <w:tcMar>
              <w:top w:w="85" w:type="dxa"/>
              <w:left w:w="85" w:type="dxa"/>
              <w:bottom w:w="85" w:type="dxa"/>
              <w:right w:w="85" w:type="dxa"/>
            </w:tcMar>
          </w:tcPr>
          <w:p w14:paraId="35521D08" w14:textId="51B389C6" w:rsidR="00BA1415" w:rsidRPr="00BA1415" w:rsidRDefault="00BA1415" w:rsidP="00BA1415">
            <w:pPr>
              <w:rPr>
                <w:ins w:id="44" w:author="Aditi Tulpule" w:date="2021-02-24T16:16:00Z"/>
                <w:sz w:val="22"/>
                <w:szCs w:val="22"/>
              </w:rPr>
            </w:pPr>
            <w:ins w:id="45" w:author="Aditi Tulpule" w:date="2021-02-24T16:16:00Z">
              <w:r>
                <w:rPr>
                  <w:rFonts w:ascii="Symbol" w:hAnsi="Symbol"/>
                  <w:lang w:eastAsia="en-GB"/>
                </w:rPr>
                <w:t></w:t>
              </w:r>
              <w:proofErr w:type="spellStart"/>
              <w:r>
                <w:rPr>
                  <w:vertAlign w:val="subscript"/>
                  <w:lang w:eastAsia="en-GB"/>
                </w:rPr>
                <w:t>K</w:t>
              </w:r>
              <w:r>
                <w:rPr>
                  <w:vertAlign w:val="superscript"/>
                  <w:lang w:eastAsia="en-GB"/>
                </w:rPr>
                <w:t>NonDiff</w:t>
              </w:r>
              <w:proofErr w:type="spellEnd"/>
            </w:ins>
          </w:p>
        </w:tc>
        <w:tc>
          <w:tcPr>
            <w:tcW w:w="163" w:type="pct"/>
            <w:tcMar>
              <w:top w:w="85" w:type="dxa"/>
              <w:left w:w="85" w:type="dxa"/>
              <w:bottom w:w="85" w:type="dxa"/>
              <w:right w:w="85" w:type="dxa"/>
            </w:tcMar>
          </w:tcPr>
          <w:p w14:paraId="2A308F3A" w14:textId="33D0F651" w:rsidR="00BA1415" w:rsidRPr="00630129" w:rsidRDefault="00BA1415">
            <w:pPr>
              <w:jc w:val="center"/>
              <w:rPr>
                <w:ins w:id="46" w:author="Aditi Tulpule" w:date="2021-02-24T16:16:00Z"/>
                <w:sz w:val="22"/>
                <w:szCs w:val="22"/>
              </w:rPr>
            </w:pPr>
            <w:ins w:id="47" w:author="Aditi Tulpule" w:date="2021-02-24T16:16:00Z">
              <w:r w:rsidRPr="00BA1415">
                <w:rPr>
                  <w:sz w:val="22"/>
                  <w:szCs w:val="22"/>
                </w:rPr>
                <w:t>=</w:t>
              </w:r>
            </w:ins>
          </w:p>
        </w:tc>
        <w:tc>
          <w:tcPr>
            <w:tcW w:w="4111" w:type="pct"/>
            <w:tcMar>
              <w:top w:w="85" w:type="dxa"/>
              <w:left w:w="85" w:type="dxa"/>
              <w:bottom w:w="85" w:type="dxa"/>
              <w:right w:w="85" w:type="dxa"/>
            </w:tcMar>
          </w:tcPr>
          <w:p w14:paraId="23F37D50" w14:textId="60B105DE" w:rsidR="00BA1415" w:rsidRPr="00BA1415" w:rsidRDefault="00BA1415">
            <w:pPr>
              <w:rPr>
                <w:ins w:id="48" w:author="Aditi Tulpule" w:date="2021-02-24T16:16:00Z"/>
                <w:sz w:val="22"/>
                <w:szCs w:val="22"/>
              </w:rPr>
            </w:pPr>
            <w:ins w:id="49" w:author="Aditi Tulpule" w:date="2021-02-24T16:16:00Z">
              <w:r w:rsidRPr="00BA1415">
                <w:rPr>
                  <w:sz w:val="22"/>
                  <w:szCs w:val="22"/>
                </w:rPr>
                <w:t>summed over all Asset Metering Systems “K” allocated to a BM Unit in accordance with paragraph S10.1A.2(e)(</w:t>
              </w:r>
              <w:proofErr w:type="spellStart"/>
              <w:r w:rsidRPr="00BA1415">
                <w:rPr>
                  <w:sz w:val="22"/>
                  <w:szCs w:val="22"/>
                </w:rPr>
                <w:t>i</w:t>
              </w:r>
              <w:proofErr w:type="spellEnd"/>
              <w:r w:rsidRPr="00BA1415">
                <w:rPr>
                  <w:sz w:val="22"/>
                  <w:szCs w:val="22"/>
                </w:rPr>
                <w:t>)</w:t>
              </w:r>
            </w:ins>
          </w:p>
        </w:tc>
      </w:tr>
      <w:tr w:rsidR="00BA1415" w:rsidRPr="00630129" w14:paraId="2F0874E3" w14:textId="77777777" w:rsidTr="00D11619">
        <w:trPr>
          <w:cantSplit/>
          <w:ins w:id="50" w:author="Aditi Tulpule" w:date="2021-02-24T16:16:00Z"/>
        </w:trPr>
        <w:tc>
          <w:tcPr>
            <w:tcW w:w="727" w:type="pct"/>
            <w:tcMar>
              <w:top w:w="85" w:type="dxa"/>
              <w:left w:w="85" w:type="dxa"/>
              <w:bottom w:w="85" w:type="dxa"/>
              <w:right w:w="85" w:type="dxa"/>
            </w:tcMar>
          </w:tcPr>
          <w:p w14:paraId="44FEC319" w14:textId="19032C27" w:rsidR="00BA1415" w:rsidRPr="00630129" w:rsidRDefault="00BA1415">
            <w:pPr>
              <w:rPr>
                <w:ins w:id="51" w:author="Aditi Tulpule" w:date="2021-02-24T16:16:00Z"/>
                <w:sz w:val="22"/>
                <w:szCs w:val="22"/>
              </w:rPr>
            </w:pPr>
            <w:ins w:id="52" w:author="Aditi Tulpule" w:date="2021-02-24T16:16:00Z">
              <w:r>
                <w:rPr>
                  <w:rFonts w:ascii="Symbol" w:hAnsi="Symbol"/>
                  <w:lang w:eastAsia="en-GB"/>
                </w:rPr>
                <w:t></w:t>
              </w:r>
              <w:proofErr w:type="spellStart"/>
              <w:r>
                <w:rPr>
                  <w:vertAlign w:val="subscript"/>
                  <w:lang w:eastAsia="en-GB"/>
                </w:rPr>
                <w:t>K</w:t>
              </w:r>
              <w:r>
                <w:rPr>
                  <w:vertAlign w:val="superscript"/>
                  <w:lang w:eastAsia="en-GB"/>
                </w:rPr>
                <w:t>Diff</w:t>
              </w:r>
              <w:proofErr w:type="spellEnd"/>
            </w:ins>
          </w:p>
        </w:tc>
        <w:tc>
          <w:tcPr>
            <w:tcW w:w="163" w:type="pct"/>
            <w:tcMar>
              <w:top w:w="85" w:type="dxa"/>
              <w:left w:w="85" w:type="dxa"/>
              <w:bottom w:w="85" w:type="dxa"/>
              <w:right w:w="85" w:type="dxa"/>
            </w:tcMar>
          </w:tcPr>
          <w:p w14:paraId="7C8F6ECB" w14:textId="65A0F563" w:rsidR="00BA1415" w:rsidRPr="00630129" w:rsidRDefault="00BA1415">
            <w:pPr>
              <w:jc w:val="center"/>
              <w:rPr>
                <w:ins w:id="53" w:author="Aditi Tulpule" w:date="2021-02-24T16:16:00Z"/>
                <w:sz w:val="22"/>
                <w:szCs w:val="22"/>
              </w:rPr>
            </w:pPr>
            <w:ins w:id="54" w:author="Aditi Tulpule" w:date="2021-02-24T16:16:00Z">
              <w:r>
                <w:rPr>
                  <w:lang w:eastAsia="en-GB"/>
                </w:rPr>
                <w:t>=</w:t>
              </w:r>
            </w:ins>
          </w:p>
        </w:tc>
        <w:tc>
          <w:tcPr>
            <w:tcW w:w="4111" w:type="pct"/>
            <w:tcMar>
              <w:top w:w="85" w:type="dxa"/>
              <w:left w:w="85" w:type="dxa"/>
              <w:bottom w:w="85" w:type="dxa"/>
              <w:right w:w="85" w:type="dxa"/>
            </w:tcMar>
          </w:tcPr>
          <w:p w14:paraId="259A6459" w14:textId="111FF914" w:rsidR="00BA1415" w:rsidRPr="00630129" w:rsidRDefault="00BA1415">
            <w:pPr>
              <w:rPr>
                <w:ins w:id="55" w:author="Aditi Tulpule" w:date="2021-02-24T16:16:00Z"/>
                <w:sz w:val="22"/>
                <w:szCs w:val="22"/>
              </w:rPr>
            </w:pPr>
            <w:ins w:id="56" w:author="Aditi Tulpule" w:date="2021-02-24T16:16:00Z">
              <w:r w:rsidRPr="00BA1415">
                <w:rPr>
                  <w:sz w:val="22"/>
                  <w:szCs w:val="22"/>
                </w:rPr>
                <w:t>summed over all Asset Metering Systems “K” allocated to a BM Unit in accordance with paragraph S10.1A.2(e)(ii)</w:t>
              </w:r>
            </w:ins>
          </w:p>
        </w:tc>
      </w:tr>
      <w:tr w:rsidR="00630129" w:rsidRPr="00630129" w14:paraId="79D50746" w14:textId="77777777" w:rsidTr="00A63BA8">
        <w:trPr>
          <w:cantSplit/>
        </w:trPr>
        <w:tc>
          <w:tcPr>
            <w:tcW w:w="727" w:type="pct"/>
            <w:tcMar>
              <w:top w:w="85" w:type="dxa"/>
              <w:left w:w="85" w:type="dxa"/>
              <w:bottom w:w="85" w:type="dxa"/>
              <w:right w:w="85" w:type="dxa"/>
            </w:tcMar>
          </w:tcPr>
          <w:p w14:paraId="17D69932" w14:textId="77777777" w:rsidR="002A68CF" w:rsidRPr="00630129" w:rsidRDefault="001C7564">
            <w:pPr>
              <w:rPr>
                <w:sz w:val="22"/>
                <w:szCs w:val="22"/>
              </w:rPr>
            </w:pPr>
            <w:r w:rsidRPr="00630129">
              <w:rPr>
                <w:sz w:val="22"/>
                <w:szCs w:val="22"/>
              </w:rPr>
              <w:sym w:font="Symbol" w:char="F053"/>
            </w:r>
            <w:r w:rsidRPr="00630129">
              <w:rPr>
                <w:sz w:val="22"/>
                <w:szCs w:val="22"/>
                <w:vertAlign w:val="superscript"/>
              </w:rPr>
              <w:t>NL</w:t>
            </w:r>
            <w:r w:rsidRPr="00630129">
              <w:rPr>
                <w:sz w:val="22"/>
                <w:szCs w:val="22"/>
                <w:vertAlign w:val="subscript"/>
              </w:rPr>
              <w:t>K</w:t>
            </w:r>
          </w:p>
        </w:tc>
        <w:tc>
          <w:tcPr>
            <w:tcW w:w="163" w:type="pct"/>
            <w:tcMar>
              <w:top w:w="85" w:type="dxa"/>
              <w:left w:w="85" w:type="dxa"/>
              <w:bottom w:w="85" w:type="dxa"/>
              <w:right w:w="85" w:type="dxa"/>
            </w:tcMar>
          </w:tcPr>
          <w:p w14:paraId="1EBFDCD2" w14:textId="77777777" w:rsidR="002A68CF" w:rsidRPr="00630129" w:rsidRDefault="001C7564">
            <w:pPr>
              <w:jc w:val="center"/>
              <w:rPr>
                <w:sz w:val="22"/>
                <w:szCs w:val="22"/>
              </w:rPr>
            </w:pPr>
            <w:r w:rsidRPr="00630129">
              <w:rPr>
                <w:sz w:val="22"/>
                <w:szCs w:val="22"/>
              </w:rPr>
              <w:t>=</w:t>
            </w:r>
          </w:p>
        </w:tc>
        <w:tc>
          <w:tcPr>
            <w:tcW w:w="4111" w:type="pct"/>
            <w:tcMar>
              <w:top w:w="85" w:type="dxa"/>
              <w:left w:w="85" w:type="dxa"/>
              <w:bottom w:w="85" w:type="dxa"/>
              <w:right w:w="85" w:type="dxa"/>
            </w:tcMar>
          </w:tcPr>
          <w:p w14:paraId="41872CF8" w14:textId="77777777" w:rsidR="002A68CF" w:rsidRPr="00630129" w:rsidRDefault="001C7564">
            <w:pPr>
              <w:rPr>
                <w:sz w:val="22"/>
                <w:szCs w:val="22"/>
              </w:rPr>
            </w:pPr>
            <w:r w:rsidRPr="00630129">
              <w:rPr>
                <w:sz w:val="22"/>
                <w:szCs w:val="22"/>
              </w:rPr>
              <w:t>summed over all SVA Metering Systems (K) within a particular Line Loss Factor Class (L) and Consumption Component Class (not for line losses) (N);</w:t>
            </w:r>
          </w:p>
        </w:tc>
      </w:tr>
      <w:tr w:rsidR="00630129" w:rsidRPr="00630129" w14:paraId="3127BBDA" w14:textId="77777777" w:rsidTr="00A63BA8">
        <w:trPr>
          <w:cantSplit/>
        </w:trPr>
        <w:tc>
          <w:tcPr>
            <w:tcW w:w="727" w:type="pct"/>
            <w:tcMar>
              <w:top w:w="85" w:type="dxa"/>
              <w:left w:w="85" w:type="dxa"/>
              <w:bottom w:w="85" w:type="dxa"/>
              <w:right w:w="85" w:type="dxa"/>
            </w:tcMar>
          </w:tcPr>
          <w:p w14:paraId="7C84F8D2" w14:textId="77777777" w:rsidR="002A68CF" w:rsidRPr="00630129" w:rsidRDefault="001C7564">
            <w:pPr>
              <w:rPr>
                <w:sz w:val="22"/>
                <w:szCs w:val="22"/>
              </w:rPr>
            </w:pPr>
            <w:r w:rsidRPr="00630129">
              <w:rPr>
                <w:sz w:val="22"/>
                <w:szCs w:val="22"/>
              </w:rPr>
              <w:sym w:font="Symbol" w:char="F053"/>
            </w:r>
            <w:r w:rsidRPr="00630129">
              <w:rPr>
                <w:sz w:val="22"/>
                <w:szCs w:val="22"/>
                <w:vertAlign w:val="superscript"/>
              </w:rPr>
              <w:t>(</w:t>
            </w:r>
            <w:proofErr w:type="spellStart"/>
            <w:r w:rsidRPr="00630129">
              <w:rPr>
                <w:sz w:val="22"/>
                <w:szCs w:val="22"/>
                <w:vertAlign w:val="superscript"/>
              </w:rPr>
              <w:t>vv</w:t>
            </w:r>
            <w:proofErr w:type="spellEnd"/>
            <w:r w:rsidRPr="00630129">
              <w:rPr>
                <w:sz w:val="22"/>
                <w:szCs w:val="22"/>
                <w:vertAlign w:val="superscript"/>
              </w:rPr>
              <w:t>)L</w:t>
            </w:r>
            <w:r w:rsidRPr="00630129">
              <w:rPr>
                <w:sz w:val="22"/>
                <w:szCs w:val="22"/>
                <w:vertAlign w:val="subscript"/>
              </w:rPr>
              <w:t>K</w:t>
            </w:r>
          </w:p>
        </w:tc>
        <w:tc>
          <w:tcPr>
            <w:tcW w:w="163" w:type="pct"/>
            <w:tcMar>
              <w:top w:w="85" w:type="dxa"/>
              <w:left w:w="85" w:type="dxa"/>
              <w:bottom w:w="85" w:type="dxa"/>
              <w:right w:w="85" w:type="dxa"/>
            </w:tcMar>
          </w:tcPr>
          <w:p w14:paraId="144A7BD0" w14:textId="77777777" w:rsidR="002A68CF" w:rsidRPr="00630129" w:rsidRDefault="001C7564">
            <w:pPr>
              <w:jc w:val="center"/>
              <w:rPr>
                <w:sz w:val="22"/>
                <w:szCs w:val="22"/>
              </w:rPr>
            </w:pPr>
            <w:r w:rsidRPr="00630129">
              <w:rPr>
                <w:sz w:val="22"/>
                <w:szCs w:val="22"/>
              </w:rPr>
              <w:t>=</w:t>
            </w:r>
          </w:p>
        </w:tc>
        <w:tc>
          <w:tcPr>
            <w:tcW w:w="4111" w:type="pct"/>
            <w:tcMar>
              <w:top w:w="85" w:type="dxa"/>
              <w:left w:w="85" w:type="dxa"/>
              <w:bottom w:w="85" w:type="dxa"/>
              <w:right w:w="85" w:type="dxa"/>
            </w:tcMar>
          </w:tcPr>
          <w:p w14:paraId="087CA738" w14:textId="73A8DDBC" w:rsidR="00D44F90" w:rsidRPr="00630129" w:rsidRDefault="001C7564" w:rsidP="00D44F90">
            <w:pPr>
              <w:rPr>
                <w:sz w:val="22"/>
                <w:szCs w:val="22"/>
              </w:rPr>
            </w:pPr>
            <w:r w:rsidRPr="00630129">
              <w:rPr>
                <w:sz w:val="22"/>
                <w:szCs w:val="22"/>
              </w:rPr>
              <w:t>summed over all SVA Metering Systems (K) within a Line Loss Factor Class (L) and Consumption Component Class (for line losses) associated with a particular Consumption Component Class (not for line losses) ((</w:t>
            </w:r>
            <w:proofErr w:type="spellStart"/>
            <w:r w:rsidRPr="00630129">
              <w:rPr>
                <w:sz w:val="22"/>
                <w:szCs w:val="22"/>
              </w:rPr>
              <w:t>vv</w:t>
            </w:r>
            <w:proofErr w:type="spellEnd"/>
            <w:r w:rsidRPr="00630129">
              <w:rPr>
                <w:sz w:val="22"/>
                <w:szCs w:val="22"/>
              </w:rPr>
              <w:t>));</w:t>
            </w:r>
          </w:p>
        </w:tc>
      </w:tr>
      <w:tr w:rsidR="00D44F90" w:rsidRPr="00630129" w14:paraId="5557BEF4" w14:textId="77777777" w:rsidTr="00A63BA8">
        <w:trPr>
          <w:cantSplit/>
        </w:trPr>
        <w:tc>
          <w:tcPr>
            <w:tcW w:w="727" w:type="pct"/>
            <w:tcMar>
              <w:top w:w="85" w:type="dxa"/>
              <w:left w:w="85" w:type="dxa"/>
              <w:bottom w:w="85" w:type="dxa"/>
              <w:right w:w="85" w:type="dxa"/>
            </w:tcMar>
          </w:tcPr>
          <w:p w14:paraId="2684A062" w14:textId="5B48D55B" w:rsidR="00D44F90" w:rsidRPr="00630129" w:rsidRDefault="00D44F90" w:rsidP="00D44F90">
            <w:pPr>
              <w:rPr>
                <w:sz w:val="22"/>
                <w:szCs w:val="22"/>
              </w:rPr>
            </w:pPr>
            <w:r w:rsidRPr="00630129">
              <w:rPr>
                <w:sz w:val="22"/>
                <w:szCs w:val="22"/>
              </w:rPr>
              <w:sym w:font="Symbol" w:char="F053"/>
            </w:r>
            <w:r w:rsidRPr="00630129">
              <w:rPr>
                <w:sz w:val="22"/>
                <w:szCs w:val="22"/>
                <w:vertAlign w:val="superscript"/>
              </w:rPr>
              <w:t>(</w:t>
            </w:r>
            <w:proofErr w:type="spellStart"/>
            <w:r w:rsidRPr="00630129">
              <w:rPr>
                <w:sz w:val="22"/>
                <w:szCs w:val="22"/>
                <w:vertAlign w:val="superscript"/>
              </w:rPr>
              <w:t>vv</w:t>
            </w:r>
            <w:proofErr w:type="spellEnd"/>
            <w:r w:rsidRPr="00630129">
              <w:rPr>
                <w:sz w:val="22"/>
                <w:szCs w:val="22"/>
                <w:vertAlign w:val="superscript"/>
              </w:rPr>
              <w:t>)</w:t>
            </w:r>
            <w:r w:rsidRPr="00630129">
              <w:rPr>
                <w:sz w:val="22"/>
                <w:szCs w:val="22"/>
                <w:vertAlign w:val="subscript"/>
              </w:rPr>
              <w:t>LK</w:t>
            </w:r>
          </w:p>
        </w:tc>
        <w:tc>
          <w:tcPr>
            <w:tcW w:w="163" w:type="pct"/>
            <w:tcMar>
              <w:top w:w="85" w:type="dxa"/>
              <w:left w:w="85" w:type="dxa"/>
              <w:bottom w:w="85" w:type="dxa"/>
              <w:right w:w="85" w:type="dxa"/>
            </w:tcMar>
          </w:tcPr>
          <w:p w14:paraId="4909A5C5" w14:textId="669B6501" w:rsidR="00D44F90" w:rsidRPr="00630129" w:rsidRDefault="00D44F90" w:rsidP="00A63BA8">
            <w:pPr>
              <w:jc w:val="left"/>
              <w:rPr>
                <w:sz w:val="22"/>
                <w:szCs w:val="22"/>
              </w:rPr>
            </w:pPr>
            <w:r w:rsidRPr="00630129">
              <w:rPr>
                <w:sz w:val="22"/>
                <w:szCs w:val="22"/>
              </w:rPr>
              <w:t>=</w:t>
            </w:r>
          </w:p>
        </w:tc>
        <w:tc>
          <w:tcPr>
            <w:tcW w:w="4111" w:type="pct"/>
            <w:tcMar>
              <w:top w:w="85" w:type="dxa"/>
              <w:left w:w="85" w:type="dxa"/>
              <w:bottom w:w="85" w:type="dxa"/>
              <w:right w:w="85" w:type="dxa"/>
            </w:tcMar>
          </w:tcPr>
          <w:p w14:paraId="12294C10" w14:textId="727ED0BF" w:rsidR="00D44F90" w:rsidRPr="00630129" w:rsidRDefault="00D44F90" w:rsidP="00D44F90">
            <w:pPr>
              <w:rPr>
                <w:sz w:val="22"/>
                <w:szCs w:val="22"/>
              </w:rPr>
            </w:pPr>
            <w:r w:rsidRPr="00630129">
              <w:rPr>
                <w:sz w:val="22"/>
                <w:szCs w:val="22"/>
              </w:rPr>
              <w:t>summed over all Line Loss Factor Classes (L) and Metering Systems K within a Consumption Component Class (for losses) associated with a particular Consumption Component Class (not for losses) ((</w:t>
            </w:r>
            <w:proofErr w:type="spellStart"/>
            <w:r w:rsidRPr="00630129">
              <w:rPr>
                <w:sz w:val="22"/>
                <w:szCs w:val="22"/>
              </w:rPr>
              <w:t>vv</w:t>
            </w:r>
            <w:proofErr w:type="spellEnd"/>
            <w:r w:rsidRPr="00630129">
              <w:rPr>
                <w:sz w:val="22"/>
                <w:szCs w:val="22"/>
              </w:rPr>
              <w:t>));</w:t>
            </w:r>
          </w:p>
        </w:tc>
      </w:tr>
      <w:tr w:rsidR="00D44F90" w:rsidRPr="00630129" w14:paraId="33B0164D" w14:textId="77777777" w:rsidTr="00A63BA8">
        <w:trPr>
          <w:cantSplit/>
        </w:trPr>
        <w:tc>
          <w:tcPr>
            <w:tcW w:w="727" w:type="pct"/>
            <w:tcMar>
              <w:top w:w="85" w:type="dxa"/>
              <w:left w:w="85" w:type="dxa"/>
              <w:bottom w:w="85" w:type="dxa"/>
              <w:right w:w="85" w:type="dxa"/>
            </w:tcMar>
          </w:tcPr>
          <w:p w14:paraId="01D33B20" w14:textId="77777777" w:rsidR="00D44F90" w:rsidRPr="00630129" w:rsidRDefault="00D44F90" w:rsidP="00D44F90">
            <w:pPr>
              <w:rPr>
                <w:sz w:val="22"/>
                <w:szCs w:val="22"/>
              </w:rPr>
            </w:pPr>
            <w:r w:rsidRPr="00630129">
              <w:rPr>
                <w:sz w:val="22"/>
                <w:szCs w:val="22"/>
              </w:rPr>
              <w:sym w:font="Symbol" w:char="F053"/>
            </w:r>
            <w:r w:rsidRPr="00630129">
              <w:rPr>
                <w:sz w:val="22"/>
                <w:szCs w:val="22"/>
                <w:vertAlign w:val="superscript"/>
              </w:rPr>
              <w:t>N</w:t>
            </w:r>
            <w:r w:rsidRPr="00630129">
              <w:rPr>
                <w:sz w:val="22"/>
                <w:szCs w:val="22"/>
                <w:vertAlign w:val="subscript"/>
              </w:rPr>
              <w:t>LPR</w:t>
            </w:r>
          </w:p>
        </w:tc>
        <w:tc>
          <w:tcPr>
            <w:tcW w:w="163" w:type="pct"/>
            <w:tcMar>
              <w:top w:w="85" w:type="dxa"/>
              <w:left w:w="85" w:type="dxa"/>
              <w:bottom w:w="85" w:type="dxa"/>
              <w:right w:w="85" w:type="dxa"/>
            </w:tcMar>
          </w:tcPr>
          <w:p w14:paraId="1F8FE064"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6DA024C9" w14:textId="77777777" w:rsidR="00D44F90" w:rsidRPr="00630129" w:rsidRDefault="00D44F90" w:rsidP="00D44F90">
            <w:pPr>
              <w:rPr>
                <w:sz w:val="22"/>
                <w:szCs w:val="22"/>
              </w:rPr>
            </w:pPr>
            <w:r w:rsidRPr="00630129">
              <w:rPr>
                <w:sz w:val="22"/>
                <w:szCs w:val="22"/>
              </w:rPr>
              <w:t>summed over all kWh readings within a Settlement Class (LPR) itself within a particular Consumption Component Class (N);</w:t>
            </w:r>
          </w:p>
        </w:tc>
      </w:tr>
      <w:tr w:rsidR="00D44F90" w:rsidRPr="00630129" w14:paraId="1831A302" w14:textId="77777777" w:rsidTr="00A63BA8">
        <w:trPr>
          <w:cantSplit/>
        </w:trPr>
        <w:tc>
          <w:tcPr>
            <w:tcW w:w="727" w:type="pct"/>
            <w:tcMar>
              <w:top w:w="85" w:type="dxa"/>
              <w:left w:w="85" w:type="dxa"/>
              <w:bottom w:w="85" w:type="dxa"/>
              <w:right w:w="85" w:type="dxa"/>
            </w:tcMar>
          </w:tcPr>
          <w:p w14:paraId="05545561" w14:textId="77777777" w:rsidR="00D44F90" w:rsidRPr="00630129" w:rsidRDefault="00D44F90" w:rsidP="00D44F90">
            <w:pPr>
              <w:rPr>
                <w:sz w:val="22"/>
                <w:szCs w:val="22"/>
              </w:rPr>
            </w:pPr>
            <w:r w:rsidRPr="00630129">
              <w:rPr>
                <w:sz w:val="22"/>
                <w:szCs w:val="22"/>
              </w:rPr>
              <w:t>Σ</w:t>
            </w:r>
            <w:r w:rsidRPr="00630129">
              <w:rPr>
                <w:sz w:val="22"/>
                <w:szCs w:val="22"/>
                <w:vertAlign w:val="superscript"/>
              </w:rPr>
              <w:t>N(n)</w:t>
            </w:r>
            <w:r w:rsidRPr="00630129">
              <w:rPr>
                <w:sz w:val="22"/>
                <w:szCs w:val="22"/>
                <w:vertAlign w:val="subscript"/>
              </w:rPr>
              <w:t>LPR</w:t>
            </w:r>
          </w:p>
        </w:tc>
        <w:tc>
          <w:tcPr>
            <w:tcW w:w="163" w:type="pct"/>
            <w:tcMar>
              <w:top w:w="85" w:type="dxa"/>
              <w:left w:w="85" w:type="dxa"/>
              <w:bottom w:w="85" w:type="dxa"/>
              <w:right w:w="85" w:type="dxa"/>
            </w:tcMar>
          </w:tcPr>
          <w:p w14:paraId="0F5C0FB5"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59D33F56" w14:textId="77777777" w:rsidR="00D44F90" w:rsidRPr="00630129" w:rsidRDefault="00D44F90" w:rsidP="00D44F90">
            <w:pPr>
              <w:rPr>
                <w:sz w:val="22"/>
                <w:szCs w:val="22"/>
              </w:rPr>
            </w:pPr>
            <w:r w:rsidRPr="00630129">
              <w:rPr>
                <w:sz w:val="22"/>
                <w:szCs w:val="22"/>
              </w:rPr>
              <w:t>summed over all kWh readings within a Settlement Class (LPR) itself within a particular Consumption Component Class (N) for which the data aggregation type is ‘N’;</w:t>
            </w:r>
          </w:p>
        </w:tc>
      </w:tr>
      <w:tr w:rsidR="00D44F90" w:rsidRPr="00630129" w14:paraId="5FE1423B" w14:textId="77777777" w:rsidTr="00A63BA8">
        <w:trPr>
          <w:cantSplit/>
        </w:trPr>
        <w:tc>
          <w:tcPr>
            <w:tcW w:w="727" w:type="pct"/>
            <w:tcMar>
              <w:top w:w="85" w:type="dxa"/>
              <w:left w:w="85" w:type="dxa"/>
              <w:bottom w:w="85" w:type="dxa"/>
              <w:right w:w="85" w:type="dxa"/>
            </w:tcMar>
          </w:tcPr>
          <w:p w14:paraId="43473242" w14:textId="77777777" w:rsidR="00D44F90" w:rsidRPr="00630129" w:rsidRDefault="00D44F90" w:rsidP="00D44F90">
            <w:pPr>
              <w:rPr>
                <w:sz w:val="22"/>
                <w:szCs w:val="22"/>
              </w:rPr>
            </w:pPr>
            <w:r w:rsidRPr="00630129">
              <w:rPr>
                <w:sz w:val="22"/>
                <w:szCs w:val="22"/>
              </w:rPr>
              <w:lastRenderedPageBreak/>
              <w:sym w:font="Symbol" w:char="F053"/>
            </w:r>
            <w:r w:rsidRPr="00630129">
              <w:rPr>
                <w:sz w:val="22"/>
                <w:szCs w:val="22"/>
                <w:vertAlign w:val="superscript"/>
              </w:rPr>
              <w:t>(</w:t>
            </w:r>
            <w:proofErr w:type="spellStart"/>
            <w:r w:rsidRPr="00630129">
              <w:rPr>
                <w:sz w:val="22"/>
                <w:szCs w:val="22"/>
                <w:vertAlign w:val="superscript"/>
              </w:rPr>
              <w:t>vv</w:t>
            </w:r>
            <w:proofErr w:type="spellEnd"/>
            <w:r w:rsidRPr="00630129">
              <w:rPr>
                <w:sz w:val="22"/>
                <w:szCs w:val="22"/>
                <w:vertAlign w:val="superscript"/>
              </w:rPr>
              <w:t>)</w:t>
            </w:r>
            <w:r w:rsidRPr="00630129">
              <w:rPr>
                <w:sz w:val="22"/>
                <w:szCs w:val="22"/>
                <w:vertAlign w:val="subscript"/>
              </w:rPr>
              <w:t>L</w:t>
            </w:r>
          </w:p>
        </w:tc>
        <w:tc>
          <w:tcPr>
            <w:tcW w:w="163" w:type="pct"/>
            <w:tcMar>
              <w:top w:w="85" w:type="dxa"/>
              <w:left w:w="85" w:type="dxa"/>
              <w:bottom w:w="85" w:type="dxa"/>
              <w:right w:w="85" w:type="dxa"/>
            </w:tcMar>
          </w:tcPr>
          <w:p w14:paraId="1D5FE01A"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0224FBEC" w14:textId="77777777" w:rsidR="00D44F90" w:rsidRPr="00630129" w:rsidRDefault="00D44F90" w:rsidP="00D44F90">
            <w:pPr>
              <w:rPr>
                <w:sz w:val="22"/>
                <w:szCs w:val="22"/>
              </w:rPr>
            </w:pPr>
            <w:r w:rsidRPr="00630129">
              <w:rPr>
                <w:sz w:val="22"/>
                <w:szCs w:val="22"/>
              </w:rPr>
              <w:t>summed over all Line Loss Factor Classes (L) within a Consumption Component Class (for losses) associated with a particular Consumption Component Class (not for losses) ((</w:t>
            </w:r>
            <w:proofErr w:type="spellStart"/>
            <w:r w:rsidRPr="00630129">
              <w:rPr>
                <w:sz w:val="22"/>
                <w:szCs w:val="22"/>
              </w:rPr>
              <w:t>vv</w:t>
            </w:r>
            <w:proofErr w:type="spellEnd"/>
            <w:r w:rsidRPr="00630129">
              <w:rPr>
                <w:sz w:val="22"/>
                <w:szCs w:val="22"/>
              </w:rPr>
              <w:t>));</w:t>
            </w:r>
          </w:p>
        </w:tc>
      </w:tr>
      <w:tr w:rsidR="00D44F90" w:rsidRPr="00630129" w14:paraId="2B37282F" w14:textId="77777777" w:rsidTr="00A63BA8">
        <w:trPr>
          <w:cantSplit/>
        </w:trPr>
        <w:tc>
          <w:tcPr>
            <w:tcW w:w="727" w:type="pct"/>
            <w:tcMar>
              <w:top w:w="85" w:type="dxa"/>
              <w:left w:w="85" w:type="dxa"/>
              <w:bottom w:w="85" w:type="dxa"/>
              <w:right w:w="85" w:type="dxa"/>
            </w:tcMar>
          </w:tcPr>
          <w:p w14:paraId="5FB6C5CC" w14:textId="77777777" w:rsidR="00D44F90" w:rsidRPr="00630129" w:rsidRDefault="00D44F90" w:rsidP="00D44F90">
            <w:pPr>
              <w:rPr>
                <w:sz w:val="22"/>
                <w:szCs w:val="22"/>
              </w:rPr>
            </w:pPr>
            <w:r w:rsidRPr="00630129">
              <w:rPr>
                <w:sz w:val="22"/>
                <w:szCs w:val="22"/>
              </w:rPr>
              <w:t>Σ</w:t>
            </w:r>
            <w:r w:rsidRPr="00630129">
              <w:rPr>
                <w:sz w:val="22"/>
                <w:szCs w:val="22"/>
                <w:vertAlign w:val="superscript"/>
              </w:rPr>
              <w:t>(</w:t>
            </w:r>
            <w:proofErr w:type="spellStart"/>
            <w:r w:rsidRPr="00630129">
              <w:rPr>
                <w:sz w:val="22"/>
                <w:szCs w:val="22"/>
                <w:vertAlign w:val="superscript"/>
              </w:rPr>
              <w:t>vvn</w:t>
            </w:r>
            <w:proofErr w:type="spellEnd"/>
            <w:r w:rsidRPr="00630129">
              <w:rPr>
                <w:sz w:val="22"/>
                <w:szCs w:val="22"/>
                <w:vertAlign w:val="superscript"/>
              </w:rPr>
              <w:t>)</w:t>
            </w:r>
            <w:r w:rsidRPr="00630129">
              <w:rPr>
                <w:sz w:val="22"/>
                <w:szCs w:val="22"/>
                <w:vertAlign w:val="subscript"/>
              </w:rPr>
              <w:t>L</w:t>
            </w:r>
          </w:p>
        </w:tc>
        <w:tc>
          <w:tcPr>
            <w:tcW w:w="163" w:type="pct"/>
            <w:tcMar>
              <w:top w:w="85" w:type="dxa"/>
              <w:left w:w="85" w:type="dxa"/>
              <w:bottom w:w="85" w:type="dxa"/>
              <w:right w:w="85" w:type="dxa"/>
            </w:tcMar>
          </w:tcPr>
          <w:p w14:paraId="01CF1754"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00BE9A6E" w14:textId="77777777" w:rsidR="00D44F90" w:rsidRPr="00630129" w:rsidRDefault="00D44F90" w:rsidP="00D44F90">
            <w:pPr>
              <w:rPr>
                <w:sz w:val="22"/>
                <w:szCs w:val="22"/>
              </w:rPr>
            </w:pPr>
            <w:r w:rsidRPr="00630129">
              <w:rPr>
                <w:sz w:val="22"/>
                <w:szCs w:val="22"/>
              </w:rPr>
              <w:t>summed over all Line Loss Factor Classes (L) within a Consumption Component Class (for losses) associated with a particular Consumption Component Class (not for line losses) for which the data aggregation type is ‘N’ ((</w:t>
            </w:r>
            <w:proofErr w:type="spellStart"/>
            <w:r w:rsidRPr="00630129">
              <w:rPr>
                <w:sz w:val="22"/>
                <w:szCs w:val="22"/>
              </w:rPr>
              <w:t>vvn</w:t>
            </w:r>
            <w:proofErr w:type="spellEnd"/>
            <w:r w:rsidRPr="00630129">
              <w:rPr>
                <w:sz w:val="22"/>
                <w:szCs w:val="22"/>
              </w:rPr>
              <w:t>));</w:t>
            </w:r>
          </w:p>
        </w:tc>
      </w:tr>
      <w:tr w:rsidR="00D44F90" w:rsidRPr="00630129" w14:paraId="29C46951" w14:textId="77777777" w:rsidTr="00A63BA8">
        <w:trPr>
          <w:cantSplit/>
        </w:trPr>
        <w:tc>
          <w:tcPr>
            <w:tcW w:w="727" w:type="pct"/>
            <w:tcMar>
              <w:top w:w="85" w:type="dxa"/>
              <w:left w:w="85" w:type="dxa"/>
              <w:bottom w:w="85" w:type="dxa"/>
              <w:right w:w="85" w:type="dxa"/>
            </w:tcMar>
          </w:tcPr>
          <w:p w14:paraId="7E0D62B7" w14:textId="77777777" w:rsidR="00D44F90" w:rsidRPr="00630129" w:rsidRDefault="00D44F90" w:rsidP="00D44F90">
            <w:pPr>
              <w:rPr>
                <w:sz w:val="22"/>
                <w:szCs w:val="22"/>
              </w:rPr>
            </w:pPr>
            <w:r w:rsidRPr="00630129">
              <w:rPr>
                <w:sz w:val="22"/>
                <w:szCs w:val="22"/>
              </w:rPr>
              <w:sym w:font="Symbol" w:char="F053"/>
            </w:r>
            <w:r w:rsidRPr="00630129">
              <w:rPr>
                <w:sz w:val="22"/>
                <w:szCs w:val="22"/>
                <w:vertAlign w:val="superscript"/>
              </w:rPr>
              <w:t>(</w:t>
            </w:r>
            <w:proofErr w:type="spellStart"/>
            <w:r w:rsidRPr="00630129">
              <w:rPr>
                <w:sz w:val="22"/>
                <w:szCs w:val="22"/>
                <w:vertAlign w:val="superscript"/>
              </w:rPr>
              <w:t>vv</w:t>
            </w:r>
            <w:proofErr w:type="spellEnd"/>
            <w:r w:rsidRPr="00630129">
              <w:rPr>
                <w:sz w:val="22"/>
                <w:szCs w:val="22"/>
                <w:vertAlign w:val="superscript"/>
              </w:rPr>
              <w:t>)</w:t>
            </w:r>
            <w:r w:rsidRPr="00630129">
              <w:rPr>
                <w:sz w:val="22"/>
                <w:szCs w:val="22"/>
                <w:vertAlign w:val="subscript"/>
              </w:rPr>
              <w:t>PR</w:t>
            </w:r>
          </w:p>
        </w:tc>
        <w:tc>
          <w:tcPr>
            <w:tcW w:w="163" w:type="pct"/>
            <w:tcMar>
              <w:top w:w="85" w:type="dxa"/>
              <w:left w:w="85" w:type="dxa"/>
              <w:bottom w:w="85" w:type="dxa"/>
              <w:right w:w="85" w:type="dxa"/>
            </w:tcMar>
          </w:tcPr>
          <w:p w14:paraId="6290F6C2"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6E5764D6" w14:textId="77777777" w:rsidR="00D44F90" w:rsidRPr="00630129" w:rsidRDefault="00D44F90" w:rsidP="00D44F90">
            <w:pPr>
              <w:rPr>
                <w:sz w:val="22"/>
                <w:szCs w:val="22"/>
              </w:rPr>
            </w:pPr>
            <w:r w:rsidRPr="00630129">
              <w:rPr>
                <w:sz w:val="22"/>
                <w:szCs w:val="22"/>
              </w:rPr>
              <w:t>summed over all Profile Classes (P) and Time Pattern Regimes within Standard Settlement Configuration (R) within a Consumption Component Class (for losses) associated with a particular Consumption Component Class (not for losses) ((</w:t>
            </w:r>
            <w:proofErr w:type="spellStart"/>
            <w:r w:rsidRPr="00630129">
              <w:rPr>
                <w:sz w:val="22"/>
                <w:szCs w:val="22"/>
              </w:rPr>
              <w:t>vv</w:t>
            </w:r>
            <w:proofErr w:type="spellEnd"/>
            <w:r w:rsidRPr="00630129">
              <w:rPr>
                <w:sz w:val="22"/>
                <w:szCs w:val="22"/>
              </w:rPr>
              <w:t>));</w:t>
            </w:r>
          </w:p>
        </w:tc>
      </w:tr>
      <w:tr w:rsidR="00D44F90" w:rsidRPr="00630129" w14:paraId="503B829D" w14:textId="77777777" w:rsidTr="00A63BA8">
        <w:trPr>
          <w:cantSplit/>
        </w:trPr>
        <w:tc>
          <w:tcPr>
            <w:tcW w:w="727" w:type="pct"/>
            <w:tcMar>
              <w:top w:w="85" w:type="dxa"/>
              <w:left w:w="85" w:type="dxa"/>
              <w:bottom w:w="85" w:type="dxa"/>
              <w:right w:w="85" w:type="dxa"/>
            </w:tcMar>
          </w:tcPr>
          <w:p w14:paraId="6F0920C4" w14:textId="77777777" w:rsidR="00D44F90" w:rsidRPr="00630129" w:rsidRDefault="00D44F90" w:rsidP="00D44F90">
            <w:pPr>
              <w:rPr>
                <w:sz w:val="22"/>
                <w:szCs w:val="22"/>
              </w:rPr>
            </w:pPr>
            <w:r w:rsidRPr="00630129">
              <w:rPr>
                <w:sz w:val="22"/>
                <w:szCs w:val="22"/>
              </w:rPr>
              <w:t>Σ</w:t>
            </w:r>
            <w:r w:rsidRPr="00630129">
              <w:rPr>
                <w:sz w:val="22"/>
                <w:szCs w:val="22"/>
                <w:vertAlign w:val="superscript"/>
              </w:rPr>
              <w:t>(</w:t>
            </w:r>
            <w:proofErr w:type="spellStart"/>
            <w:r w:rsidRPr="00630129">
              <w:rPr>
                <w:sz w:val="22"/>
                <w:szCs w:val="22"/>
                <w:vertAlign w:val="superscript"/>
              </w:rPr>
              <w:t>vvn</w:t>
            </w:r>
            <w:proofErr w:type="spellEnd"/>
            <w:r w:rsidRPr="00630129">
              <w:rPr>
                <w:sz w:val="22"/>
                <w:szCs w:val="22"/>
                <w:vertAlign w:val="superscript"/>
              </w:rPr>
              <w:t>)</w:t>
            </w:r>
            <w:r w:rsidRPr="00630129">
              <w:rPr>
                <w:sz w:val="22"/>
                <w:szCs w:val="22"/>
                <w:vertAlign w:val="subscript"/>
              </w:rPr>
              <w:t>PR</w:t>
            </w:r>
          </w:p>
        </w:tc>
        <w:tc>
          <w:tcPr>
            <w:tcW w:w="163" w:type="pct"/>
            <w:tcMar>
              <w:top w:w="85" w:type="dxa"/>
              <w:left w:w="85" w:type="dxa"/>
              <w:bottom w:w="85" w:type="dxa"/>
              <w:right w:w="85" w:type="dxa"/>
            </w:tcMar>
          </w:tcPr>
          <w:p w14:paraId="4C3ADEF6"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0988629B" w14:textId="77777777" w:rsidR="00D44F90" w:rsidRPr="00630129" w:rsidRDefault="00D44F90" w:rsidP="00D44F90">
            <w:pPr>
              <w:rPr>
                <w:sz w:val="22"/>
                <w:szCs w:val="22"/>
              </w:rPr>
            </w:pPr>
            <w:r w:rsidRPr="00630129">
              <w:rPr>
                <w:sz w:val="22"/>
                <w:szCs w:val="22"/>
              </w:rPr>
              <w:t>summed over all Profile Classes (P) and Time Pattern Regimes within Standard Settlement Configuration (R) within a Consumption Component Class (for losses) associated with a particular Consumption Component Class (not for line losses) for which the data aggregation type is ‘N’ ((</w:t>
            </w:r>
            <w:proofErr w:type="spellStart"/>
            <w:r w:rsidRPr="00630129">
              <w:rPr>
                <w:sz w:val="22"/>
                <w:szCs w:val="22"/>
              </w:rPr>
              <w:t>vvn</w:t>
            </w:r>
            <w:proofErr w:type="spellEnd"/>
            <w:r w:rsidRPr="00630129">
              <w:rPr>
                <w:sz w:val="22"/>
                <w:szCs w:val="22"/>
              </w:rPr>
              <w:t>));</w:t>
            </w:r>
          </w:p>
        </w:tc>
      </w:tr>
      <w:tr w:rsidR="00D44F90" w:rsidRPr="00630129" w14:paraId="00D5FC57" w14:textId="77777777" w:rsidTr="00A63BA8">
        <w:trPr>
          <w:cantSplit/>
        </w:trPr>
        <w:tc>
          <w:tcPr>
            <w:tcW w:w="727" w:type="pct"/>
            <w:tcMar>
              <w:top w:w="85" w:type="dxa"/>
              <w:left w:w="85" w:type="dxa"/>
              <w:bottom w:w="85" w:type="dxa"/>
              <w:right w:w="85" w:type="dxa"/>
            </w:tcMar>
          </w:tcPr>
          <w:p w14:paraId="160EA49E" w14:textId="77777777" w:rsidR="00D44F90" w:rsidRPr="00630129" w:rsidRDefault="00D44F90" w:rsidP="00D44F90">
            <w:pPr>
              <w:rPr>
                <w:sz w:val="22"/>
                <w:szCs w:val="22"/>
                <w:vertAlign w:val="subscript"/>
              </w:rPr>
            </w:pPr>
            <w:r w:rsidRPr="00630129">
              <w:rPr>
                <w:sz w:val="22"/>
                <w:szCs w:val="22"/>
              </w:rPr>
              <w:sym w:font="Symbol" w:char="F053"/>
            </w:r>
            <w:r w:rsidRPr="00630129">
              <w:rPr>
                <w:sz w:val="22"/>
                <w:szCs w:val="22"/>
                <w:vertAlign w:val="superscript"/>
              </w:rPr>
              <w:t>HZLPR</w:t>
            </w:r>
            <w:r w:rsidRPr="00630129">
              <w:rPr>
                <w:sz w:val="22"/>
                <w:szCs w:val="22"/>
                <w:vertAlign w:val="subscript"/>
              </w:rPr>
              <w:t>K</w:t>
            </w:r>
          </w:p>
        </w:tc>
        <w:tc>
          <w:tcPr>
            <w:tcW w:w="163" w:type="pct"/>
            <w:tcMar>
              <w:top w:w="85" w:type="dxa"/>
              <w:left w:w="85" w:type="dxa"/>
              <w:bottom w:w="85" w:type="dxa"/>
              <w:right w:w="85" w:type="dxa"/>
            </w:tcMar>
          </w:tcPr>
          <w:p w14:paraId="4ACE043C"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5C854C89" w14:textId="77777777" w:rsidR="00D44F90" w:rsidRPr="00630129" w:rsidRDefault="00D44F90" w:rsidP="00D44F90">
            <w:pPr>
              <w:rPr>
                <w:sz w:val="22"/>
                <w:szCs w:val="22"/>
              </w:rPr>
            </w:pPr>
            <w:r w:rsidRPr="00630129">
              <w:rPr>
                <w:sz w:val="22"/>
                <w:szCs w:val="22"/>
              </w:rPr>
              <w:t xml:space="preserve">summed over all </w:t>
            </w:r>
            <w:proofErr w:type="spellStart"/>
            <w:r w:rsidRPr="00630129">
              <w:rPr>
                <w:sz w:val="22"/>
                <w:szCs w:val="22"/>
              </w:rPr>
              <w:t>non half</w:t>
            </w:r>
            <w:proofErr w:type="spellEnd"/>
            <w:r w:rsidRPr="00630129">
              <w:rPr>
                <w:sz w:val="22"/>
                <w:szCs w:val="22"/>
              </w:rPr>
              <w:t xml:space="preserve"> hourly SVA Metering Systems (K) by Settlement Class (HLPR) for a particular Supplier (Z); and</w:t>
            </w:r>
          </w:p>
        </w:tc>
      </w:tr>
      <w:tr w:rsidR="00D44F90" w:rsidRPr="00630129" w14:paraId="1A9D0E0C" w14:textId="77777777" w:rsidTr="00A63BA8">
        <w:trPr>
          <w:cantSplit/>
        </w:trPr>
        <w:tc>
          <w:tcPr>
            <w:tcW w:w="727" w:type="pct"/>
            <w:tcMar>
              <w:top w:w="85" w:type="dxa"/>
              <w:left w:w="85" w:type="dxa"/>
              <w:bottom w:w="85" w:type="dxa"/>
              <w:right w:w="85" w:type="dxa"/>
            </w:tcMar>
          </w:tcPr>
          <w:p w14:paraId="2C3E3D8B" w14:textId="77777777" w:rsidR="00D44F90" w:rsidRPr="00630129" w:rsidRDefault="00D44F90" w:rsidP="00D44F90">
            <w:pPr>
              <w:rPr>
                <w:sz w:val="22"/>
                <w:szCs w:val="22"/>
              </w:rPr>
            </w:pPr>
            <w:r w:rsidRPr="00630129">
              <w:rPr>
                <w:sz w:val="22"/>
                <w:szCs w:val="22"/>
              </w:rPr>
              <w:sym w:font="Symbol" w:char="F053"/>
            </w:r>
            <w:r w:rsidRPr="00630129">
              <w:rPr>
                <w:sz w:val="22"/>
                <w:szCs w:val="22"/>
                <w:vertAlign w:val="superscript"/>
              </w:rPr>
              <w:t>H</w:t>
            </w:r>
            <w:r w:rsidRPr="00630129">
              <w:rPr>
                <w:sz w:val="22"/>
                <w:szCs w:val="22"/>
                <w:vertAlign w:val="subscript"/>
              </w:rPr>
              <w:t>Z</w:t>
            </w:r>
          </w:p>
        </w:tc>
        <w:tc>
          <w:tcPr>
            <w:tcW w:w="163" w:type="pct"/>
            <w:tcMar>
              <w:top w:w="85" w:type="dxa"/>
              <w:left w:w="85" w:type="dxa"/>
              <w:bottom w:w="85" w:type="dxa"/>
              <w:right w:w="85" w:type="dxa"/>
            </w:tcMar>
          </w:tcPr>
          <w:p w14:paraId="6ACBD037"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27FFC7B4" w14:textId="77777777" w:rsidR="00D44F90" w:rsidRPr="00630129" w:rsidRDefault="00D44F90" w:rsidP="00D44F90">
            <w:pPr>
              <w:rPr>
                <w:sz w:val="22"/>
                <w:szCs w:val="22"/>
              </w:rPr>
            </w:pPr>
            <w:r w:rsidRPr="00630129">
              <w:rPr>
                <w:sz w:val="22"/>
                <w:szCs w:val="22"/>
              </w:rPr>
              <w:t>summed over all Suppliers (Z) active within a particular GSP Group (H).</w:t>
            </w:r>
          </w:p>
        </w:tc>
      </w:tr>
      <w:tr w:rsidR="00D44F90" w:rsidRPr="00630129" w14:paraId="66EE0229" w14:textId="77777777" w:rsidTr="00A63BA8">
        <w:trPr>
          <w:cantSplit/>
        </w:trPr>
        <w:tc>
          <w:tcPr>
            <w:tcW w:w="727" w:type="pct"/>
            <w:tcMar>
              <w:top w:w="85" w:type="dxa"/>
              <w:left w:w="85" w:type="dxa"/>
              <w:bottom w:w="85" w:type="dxa"/>
              <w:right w:w="85" w:type="dxa"/>
            </w:tcMar>
          </w:tcPr>
          <w:p w14:paraId="1630AB0B" w14:textId="77777777" w:rsidR="00D44F90" w:rsidRPr="00630129" w:rsidRDefault="00D44F90" w:rsidP="00D44F90">
            <w:pPr>
              <w:rPr>
                <w:sz w:val="22"/>
                <w:szCs w:val="22"/>
                <w:vertAlign w:val="subscript"/>
              </w:rPr>
            </w:pPr>
            <w:r w:rsidRPr="00630129">
              <w:rPr>
                <w:sz w:val="22"/>
                <w:szCs w:val="22"/>
              </w:rPr>
              <w:sym w:font="Symbol" w:char="F053"/>
            </w:r>
            <w:r w:rsidRPr="00630129">
              <w:rPr>
                <w:sz w:val="22"/>
                <w:szCs w:val="22"/>
                <w:vertAlign w:val="subscript"/>
              </w:rPr>
              <w:t>ON</w:t>
            </w:r>
          </w:p>
        </w:tc>
        <w:tc>
          <w:tcPr>
            <w:tcW w:w="163" w:type="pct"/>
            <w:tcMar>
              <w:top w:w="85" w:type="dxa"/>
              <w:left w:w="85" w:type="dxa"/>
              <w:bottom w:w="85" w:type="dxa"/>
              <w:right w:w="85" w:type="dxa"/>
            </w:tcMar>
          </w:tcPr>
          <w:p w14:paraId="641E7FD0"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011A3EF6" w14:textId="77777777" w:rsidR="00D44F90" w:rsidRPr="00630129" w:rsidRDefault="00D44F90" w:rsidP="00D44F90">
            <w:pPr>
              <w:rPr>
                <w:sz w:val="22"/>
                <w:szCs w:val="22"/>
              </w:rPr>
            </w:pPr>
            <w:r w:rsidRPr="00630129">
              <w:rPr>
                <w:sz w:val="22"/>
                <w:szCs w:val="22"/>
              </w:rPr>
              <w:t xml:space="preserve">summed </w:t>
            </w:r>
            <w:proofErr w:type="spellStart"/>
            <w:r w:rsidRPr="00630129">
              <w:rPr>
                <w:sz w:val="22"/>
                <w:szCs w:val="22"/>
              </w:rPr>
              <w:t>over all</w:t>
            </w:r>
            <w:proofErr w:type="spellEnd"/>
            <w:r w:rsidRPr="00630129">
              <w:rPr>
                <w:sz w:val="22"/>
                <w:szCs w:val="22"/>
              </w:rPr>
              <w:t xml:space="preserve"> Settlement Periods in a Settlement Day for which the Modified Switched Load State Indicator (</w:t>
            </w:r>
            <w:proofErr w:type="spellStart"/>
            <w:r w:rsidRPr="00630129">
              <w:rPr>
                <w:sz w:val="22"/>
                <w:szCs w:val="22"/>
              </w:rPr>
              <w:t>SQNEW</w:t>
            </w:r>
            <w:r w:rsidRPr="00630129">
              <w:rPr>
                <w:sz w:val="22"/>
                <w:szCs w:val="22"/>
                <w:vertAlign w:val="subscript"/>
              </w:rPr>
              <w:t>Cj</w:t>
            </w:r>
            <w:proofErr w:type="spellEnd"/>
            <w:r w:rsidRPr="00630129">
              <w:rPr>
                <w:sz w:val="22"/>
                <w:szCs w:val="22"/>
              </w:rPr>
              <w:t>) has been determined as equal to one by the Supplier Volume Allocation Agent;</w:t>
            </w:r>
          </w:p>
        </w:tc>
      </w:tr>
      <w:tr w:rsidR="00D44F90" w:rsidRPr="00630129" w14:paraId="3D92F478" w14:textId="77777777" w:rsidTr="00A63BA8">
        <w:trPr>
          <w:cantSplit/>
        </w:trPr>
        <w:tc>
          <w:tcPr>
            <w:tcW w:w="727" w:type="pct"/>
            <w:tcMar>
              <w:top w:w="85" w:type="dxa"/>
              <w:left w:w="85" w:type="dxa"/>
              <w:bottom w:w="85" w:type="dxa"/>
              <w:right w:w="85" w:type="dxa"/>
            </w:tcMar>
          </w:tcPr>
          <w:p w14:paraId="53D5D1D6" w14:textId="77777777" w:rsidR="00D44F90" w:rsidRPr="00630129" w:rsidRDefault="00D44F90" w:rsidP="00D44F90">
            <w:pPr>
              <w:rPr>
                <w:sz w:val="22"/>
                <w:szCs w:val="22"/>
                <w:vertAlign w:val="subscript"/>
              </w:rPr>
            </w:pPr>
            <w:r w:rsidRPr="00630129">
              <w:rPr>
                <w:sz w:val="22"/>
                <w:szCs w:val="22"/>
              </w:rPr>
              <w:sym w:font="Symbol" w:char="F053"/>
            </w:r>
            <w:r w:rsidRPr="00630129">
              <w:rPr>
                <w:sz w:val="22"/>
                <w:szCs w:val="22"/>
                <w:vertAlign w:val="subscript"/>
              </w:rPr>
              <w:t>OFF</w:t>
            </w:r>
          </w:p>
        </w:tc>
        <w:tc>
          <w:tcPr>
            <w:tcW w:w="163" w:type="pct"/>
            <w:tcMar>
              <w:top w:w="85" w:type="dxa"/>
              <w:left w:w="85" w:type="dxa"/>
              <w:bottom w:w="85" w:type="dxa"/>
              <w:right w:w="85" w:type="dxa"/>
            </w:tcMar>
          </w:tcPr>
          <w:p w14:paraId="4CDFD61C"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4225C212" w14:textId="77777777" w:rsidR="00D44F90" w:rsidRPr="00630129" w:rsidRDefault="00D44F90" w:rsidP="00D44F90">
            <w:pPr>
              <w:rPr>
                <w:sz w:val="22"/>
                <w:szCs w:val="22"/>
              </w:rPr>
            </w:pPr>
            <w:r w:rsidRPr="00630129">
              <w:rPr>
                <w:sz w:val="22"/>
                <w:szCs w:val="22"/>
              </w:rPr>
              <w:t xml:space="preserve">summed </w:t>
            </w:r>
            <w:proofErr w:type="spellStart"/>
            <w:r w:rsidRPr="00630129">
              <w:rPr>
                <w:sz w:val="22"/>
                <w:szCs w:val="22"/>
              </w:rPr>
              <w:t>over all</w:t>
            </w:r>
            <w:proofErr w:type="spellEnd"/>
            <w:r w:rsidRPr="00630129">
              <w:rPr>
                <w:sz w:val="22"/>
                <w:szCs w:val="22"/>
              </w:rPr>
              <w:t xml:space="preserve"> Settlement Periods in a Settlement Day for which the Modified Switched Load State Indicator (</w:t>
            </w:r>
            <w:proofErr w:type="spellStart"/>
            <w:r w:rsidRPr="00630129">
              <w:rPr>
                <w:sz w:val="22"/>
                <w:szCs w:val="22"/>
              </w:rPr>
              <w:t>SQNEW</w:t>
            </w:r>
            <w:r w:rsidRPr="00630129">
              <w:rPr>
                <w:sz w:val="22"/>
                <w:szCs w:val="22"/>
                <w:vertAlign w:val="subscript"/>
              </w:rPr>
              <w:t>Cj</w:t>
            </w:r>
            <w:proofErr w:type="spellEnd"/>
            <w:r w:rsidRPr="00630129">
              <w:rPr>
                <w:sz w:val="22"/>
                <w:szCs w:val="22"/>
              </w:rPr>
              <w:t>) has been determined as equal to zero by the Supplier Volume Allocation Agent;</w:t>
            </w:r>
          </w:p>
        </w:tc>
      </w:tr>
      <w:tr w:rsidR="00D44F90" w:rsidRPr="00630129" w14:paraId="716479C6" w14:textId="77777777" w:rsidTr="00A63BA8">
        <w:trPr>
          <w:cantSplit/>
        </w:trPr>
        <w:tc>
          <w:tcPr>
            <w:tcW w:w="727" w:type="pct"/>
            <w:tcMar>
              <w:top w:w="85" w:type="dxa"/>
              <w:left w:w="85" w:type="dxa"/>
              <w:bottom w:w="85" w:type="dxa"/>
              <w:right w:w="85" w:type="dxa"/>
            </w:tcMar>
          </w:tcPr>
          <w:p w14:paraId="49B987D2" w14:textId="77777777" w:rsidR="00D44F90" w:rsidRPr="00630129" w:rsidRDefault="00D44F90" w:rsidP="00D44F90">
            <w:pPr>
              <w:rPr>
                <w:sz w:val="22"/>
                <w:szCs w:val="22"/>
                <w:vertAlign w:val="subscript"/>
              </w:rPr>
            </w:pPr>
            <w:r w:rsidRPr="00630129">
              <w:rPr>
                <w:sz w:val="22"/>
                <w:szCs w:val="22"/>
              </w:rPr>
              <w:sym w:font="Symbol" w:char="F053"/>
            </w:r>
            <w:r w:rsidRPr="00630129">
              <w:rPr>
                <w:sz w:val="22"/>
                <w:szCs w:val="22"/>
                <w:vertAlign w:val="subscript"/>
              </w:rPr>
              <w:t>N(AA)</w:t>
            </w:r>
          </w:p>
        </w:tc>
        <w:tc>
          <w:tcPr>
            <w:tcW w:w="163" w:type="pct"/>
            <w:tcMar>
              <w:top w:w="85" w:type="dxa"/>
              <w:left w:w="85" w:type="dxa"/>
              <w:bottom w:w="85" w:type="dxa"/>
              <w:right w:w="85" w:type="dxa"/>
            </w:tcMar>
          </w:tcPr>
          <w:p w14:paraId="6D9C502A"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20BC4309" w14:textId="77777777" w:rsidR="00D44F90" w:rsidRPr="00630129" w:rsidRDefault="00D44F90" w:rsidP="00D44F90">
            <w:pPr>
              <w:rPr>
                <w:sz w:val="22"/>
                <w:szCs w:val="22"/>
              </w:rPr>
            </w:pPr>
            <w:r w:rsidRPr="00630129">
              <w:rPr>
                <w:sz w:val="22"/>
                <w:szCs w:val="22"/>
              </w:rPr>
              <w:t>summed over all Consumption Component Classes N that are associated with Annualised Advances;</w:t>
            </w:r>
          </w:p>
        </w:tc>
      </w:tr>
      <w:tr w:rsidR="00D44F90" w:rsidRPr="00630129" w14:paraId="7382ED1D" w14:textId="77777777" w:rsidTr="00A63BA8">
        <w:trPr>
          <w:cantSplit/>
        </w:trPr>
        <w:tc>
          <w:tcPr>
            <w:tcW w:w="727" w:type="pct"/>
            <w:tcMar>
              <w:top w:w="85" w:type="dxa"/>
              <w:left w:w="85" w:type="dxa"/>
              <w:bottom w:w="85" w:type="dxa"/>
              <w:right w:w="85" w:type="dxa"/>
            </w:tcMar>
          </w:tcPr>
          <w:p w14:paraId="36A0820A" w14:textId="77777777" w:rsidR="00D44F90" w:rsidRPr="00630129" w:rsidRDefault="00D44F90" w:rsidP="00D44F90">
            <w:pPr>
              <w:rPr>
                <w:sz w:val="22"/>
                <w:szCs w:val="22"/>
                <w:vertAlign w:val="subscript"/>
              </w:rPr>
            </w:pPr>
            <w:r w:rsidRPr="00630129">
              <w:rPr>
                <w:sz w:val="22"/>
                <w:szCs w:val="22"/>
              </w:rPr>
              <w:sym w:font="Symbol" w:char="F053"/>
            </w:r>
            <w:r w:rsidRPr="00630129">
              <w:rPr>
                <w:sz w:val="22"/>
                <w:szCs w:val="22"/>
                <w:vertAlign w:val="subscript"/>
              </w:rPr>
              <w:t>N(EAC)</w:t>
            </w:r>
          </w:p>
        </w:tc>
        <w:tc>
          <w:tcPr>
            <w:tcW w:w="163" w:type="pct"/>
            <w:tcMar>
              <w:top w:w="85" w:type="dxa"/>
              <w:left w:w="85" w:type="dxa"/>
              <w:bottom w:w="85" w:type="dxa"/>
              <w:right w:w="85" w:type="dxa"/>
            </w:tcMar>
          </w:tcPr>
          <w:p w14:paraId="46A97CB2"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6F2181F1" w14:textId="77777777" w:rsidR="00D44F90" w:rsidRPr="00630129" w:rsidRDefault="00D44F90" w:rsidP="00D44F90">
            <w:pPr>
              <w:rPr>
                <w:sz w:val="22"/>
                <w:szCs w:val="22"/>
              </w:rPr>
            </w:pPr>
            <w:r w:rsidRPr="00630129">
              <w:rPr>
                <w:sz w:val="22"/>
                <w:szCs w:val="22"/>
              </w:rPr>
              <w:t>summed over all Consumption Component Classes N that are associated with Estimated Annual Consumptions;</w:t>
            </w:r>
          </w:p>
        </w:tc>
      </w:tr>
      <w:tr w:rsidR="00D44F90" w:rsidRPr="00630129" w14:paraId="2D0055B4" w14:textId="77777777" w:rsidTr="00A63BA8">
        <w:trPr>
          <w:cantSplit/>
        </w:trPr>
        <w:tc>
          <w:tcPr>
            <w:tcW w:w="727" w:type="pct"/>
            <w:tcMar>
              <w:top w:w="85" w:type="dxa"/>
              <w:left w:w="85" w:type="dxa"/>
              <w:bottom w:w="85" w:type="dxa"/>
              <w:right w:w="85" w:type="dxa"/>
            </w:tcMar>
          </w:tcPr>
          <w:p w14:paraId="00CF6767" w14:textId="77777777" w:rsidR="00D44F90" w:rsidRPr="00630129" w:rsidRDefault="00D44F90" w:rsidP="00D44F90">
            <w:pPr>
              <w:rPr>
                <w:sz w:val="22"/>
                <w:szCs w:val="22"/>
                <w:vertAlign w:val="subscript"/>
              </w:rPr>
            </w:pPr>
            <w:r w:rsidRPr="00630129">
              <w:rPr>
                <w:sz w:val="22"/>
                <w:szCs w:val="22"/>
              </w:rPr>
              <w:sym w:font="Symbol" w:char="F053"/>
            </w:r>
            <w:r w:rsidRPr="00630129">
              <w:rPr>
                <w:sz w:val="22"/>
                <w:szCs w:val="22"/>
                <w:vertAlign w:val="superscript"/>
              </w:rPr>
              <w:t>m</w:t>
            </w:r>
            <w:r w:rsidRPr="00630129">
              <w:rPr>
                <w:sz w:val="22"/>
                <w:szCs w:val="22"/>
                <w:vertAlign w:val="subscript"/>
              </w:rPr>
              <w:t>d</w:t>
            </w:r>
          </w:p>
        </w:tc>
        <w:tc>
          <w:tcPr>
            <w:tcW w:w="163" w:type="pct"/>
            <w:tcMar>
              <w:top w:w="85" w:type="dxa"/>
              <w:left w:w="85" w:type="dxa"/>
              <w:bottom w:w="85" w:type="dxa"/>
              <w:right w:w="85" w:type="dxa"/>
            </w:tcMar>
          </w:tcPr>
          <w:p w14:paraId="2FBE8341"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3ABE2E3B" w14:textId="77777777" w:rsidR="00D44F90" w:rsidRPr="00630129" w:rsidRDefault="00D44F90" w:rsidP="00D44F90">
            <w:pPr>
              <w:rPr>
                <w:sz w:val="22"/>
                <w:szCs w:val="22"/>
              </w:rPr>
            </w:pPr>
            <w:r w:rsidRPr="00630129">
              <w:rPr>
                <w:sz w:val="22"/>
                <w:szCs w:val="22"/>
              </w:rPr>
              <w:t xml:space="preserve">summed </w:t>
            </w:r>
            <w:proofErr w:type="spellStart"/>
            <w:r w:rsidRPr="00630129">
              <w:rPr>
                <w:sz w:val="22"/>
                <w:szCs w:val="22"/>
              </w:rPr>
              <w:t>over all</w:t>
            </w:r>
            <w:proofErr w:type="spellEnd"/>
            <w:r w:rsidRPr="00630129">
              <w:rPr>
                <w:sz w:val="22"/>
                <w:szCs w:val="22"/>
              </w:rPr>
              <w:t xml:space="preserve"> Settlement Days in a month</w:t>
            </w:r>
          </w:p>
        </w:tc>
      </w:tr>
      <w:tr w:rsidR="00D44F90" w:rsidRPr="00630129" w14:paraId="5246B462" w14:textId="77777777" w:rsidTr="00A63BA8">
        <w:trPr>
          <w:cantSplit/>
        </w:trPr>
        <w:tc>
          <w:tcPr>
            <w:tcW w:w="727" w:type="pct"/>
            <w:tcMar>
              <w:top w:w="85" w:type="dxa"/>
              <w:left w:w="85" w:type="dxa"/>
              <w:bottom w:w="85" w:type="dxa"/>
              <w:right w:w="85" w:type="dxa"/>
            </w:tcMar>
          </w:tcPr>
          <w:p w14:paraId="00E4A878" w14:textId="77777777" w:rsidR="00D44F90" w:rsidRPr="00630129" w:rsidRDefault="00D44F90" w:rsidP="00D44F90">
            <w:pPr>
              <w:rPr>
                <w:sz w:val="22"/>
                <w:szCs w:val="22"/>
                <w:vertAlign w:val="subscript"/>
              </w:rPr>
            </w:pPr>
            <w:r w:rsidRPr="00630129">
              <w:rPr>
                <w:sz w:val="22"/>
                <w:szCs w:val="22"/>
              </w:rPr>
              <w:sym w:font="Symbol" w:char="F053"/>
            </w:r>
            <w:r w:rsidRPr="00630129">
              <w:rPr>
                <w:sz w:val="22"/>
                <w:szCs w:val="22"/>
                <w:vertAlign w:val="subscript"/>
              </w:rPr>
              <w:t>N(HHA)</w:t>
            </w:r>
          </w:p>
        </w:tc>
        <w:tc>
          <w:tcPr>
            <w:tcW w:w="163" w:type="pct"/>
            <w:tcMar>
              <w:top w:w="85" w:type="dxa"/>
              <w:left w:w="85" w:type="dxa"/>
              <w:bottom w:w="85" w:type="dxa"/>
              <w:right w:w="85" w:type="dxa"/>
            </w:tcMar>
          </w:tcPr>
          <w:p w14:paraId="5F1FC168"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604BAD5D" w14:textId="77777777" w:rsidR="00D44F90" w:rsidRPr="00630129" w:rsidRDefault="00D44F90" w:rsidP="00D44F90">
            <w:pPr>
              <w:rPr>
                <w:sz w:val="22"/>
                <w:szCs w:val="22"/>
              </w:rPr>
            </w:pPr>
            <w:r w:rsidRPr="00630129">
              <w:rPr>
                <w:sz w:val="22"/>
                <w:szCs w:val="22"/>
              </w:rPr>
              <w:t>summed over all Consumption Component Classes that are associated with actual values and with half hourly data aggregation in relation to Metering Systems which are 100kW Metering Systems save those which are associated with SVA Generation and SVA Generation line losses;</w:t>
            </w:r>
          </w:p>
        </w:tc>
      </w:tr>
      <w:tr w:rsidR="00D44F90" w:rsidRPr="00630129" w14:paraId="7E5A9583" w14:textId="77777777" w:rsidTr="00A63BA8">
        <w:trPr>
          <w:cantSplit/>
        </w:trPr>
        <w:tc>
          <w:tcPr>
            <w:tcW w:w="727" w:type="pct"/>
            <w:tcMar>
              <w:top w:w="85" w:type="dxa"/>
              <w:left w:w="85" w:type="dxa"/>
              <w:bottom w:w="85" w:type="dxa"/>
              <w:right w:w="85" w:type="dxa"/>
            </w:tcMar>
          </w:tcPr>
          <w:p w14:paraId="7D82E725" w14:textId="77777777" w:rsidR="00D44F90" w:rsidRPr="00630129" w:rsidRDefault="00D44F90" w:rsidP="00D44F90">
            <w:pPr>
              <w:rPr>
                <w:sz w:val="22"/>
                <w:szCs w:val="22"/>
                <w:vertAlign w:val="subscript"/>
              </w:rPr>
            </w:pPr>
            <w:r w:rsidRPr="00630129">
              <w:rPr>
                <w:sz w:val="22"/>
                <w:szCs w:val="22"/>
              </w:rPr>
              <w:sym w:font="Symbol" w:char="F053"/>
            </w:r>
            <w:r w:rsidRPr="00630129">
              <w:rPr>
                <w:sz w:val="22"/>
                <w:szCs w:val="22"/>
                <w:vertAlign w:val="subscript"/>
              </w:rPr>
              <w:t>N(HHE)</w:t>
            </w:r>
          </w:p>
        </w:tc>
        <w:tc>
          <w:tcPr>
            <w:tcW w:w="163" w:type="pct"/>
            <w:tcMar>
              <w:top w:w="85" w:type="dxa"/>
              <w:left w:w="85" w:type="dxa"/>
              <w:bottom w:w="85" w:type="dxa"/>
              <w:right w:w="85" w:type="dxa"/>
            </w:tcMar>
          </w:tcPr>
          <w:p w14:paraId="21EA6497"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3821A8EE" w14:textId="77777777" w:rsidR="00D44F90" w:rsidRPr="00630129" w:rsidRDefault="00D44F90" w:rsidP="00D44F90">
            <w:pPr>
              <w:rPr>
                <w:sz w:val="22"/>
                <w:szCs w:val="22"/>
              </w:rPr>
            </w:pPr>
            <w:r w:rsidRPr="00630129">
              <w:rPr>
                <w:sz w:val="22"/>
                <w:szCs w:val="22"/>
              </w:rPr>
              <w:t>summed over all Consumption Component Classes that are associated with estimated values and with half hourly data aggregation in relation to Metering Systems which are 100kW Metering Systems save those which are associated with SVA Generation and SVA Generation line losses.</w:t>
            </w:r>
          </w:p>
        </w:tc>
      </w:tr>
      <w:tr w:rsidR="00D44F90" w:rsidRPr="00630129" w14:paraId="3C6498B6" w14:textId="77777777" w:rsidTr="00A63BA8">
        <w:trPr>
          <w:cantSplit/>
        </w:trPr>
        <w:tc>
          <w:tcPr>
            <w:tcW w:w="727" w:type="pct"/>
            <w:tcMar>
              <w:top w:w="85" w:type="dxa"/>
              <w:left w:w="85" w:type="dxa"/>
              <w:bottom w:w="85" w:type="dxa"/>
              <w:right w:w="85" w:type="dxa"/>
            </w:tcMar>
          </w:tcPr>
          <w:p w14:paraId="7426C7BC" w14:textId="77777777" w:rsidR="00D44F90" w:rsidRPr="00630129" w:rsidRDefault="00D44F90" w:rsidP="00D44F90">
            <w:pPr>
              <w:rPr>
                <w:sz w:val="22"/>
                <w:szCs w:val="22"/>
                <w:vertAlign w:val="subscript"/>
              </w:rPr>
            </w:pPr>
            <w:r w:rsidRPr="00630129">
              <w:rPr>
                <w:sz w:val="22"/>
                <w:szCs w:val="22"/>
              </w:rPr>
              <w:sym w:font="Symbol" w:char="F053"/>
            </w:r>
            <w:r w:rsidRPr="00630129">
              <w:rPr>
                <w:sz w:val="22"/>
                <w:szCs w:val="22"/>
                <w:vertAlign w:val="superscript"/>
              </w:rPr>
              <w:t>H</w:t>
            </w:r>
            <w:r w:rsidRPr="00630129">
              <w:rPr>
                <w:sz w:val="22"/>
                <w:szCs w:val="22"/>
                <w:vertAlign w:val="subscript"/>
              </w:rPr>
              <w:t>i</w:t>
            </w:r>
          </w:p>
        </w:tc>
        <w:tc>
          <w:tcPr>
            <w:tcW w:w="163" w:type="pct"/>
            <w:tcMar>
              <w:top w:w="85" w:type="dxa"/>
              <w:left w:w="85" w:type="dxa"/>
              <w:bottom w:w="85" w:type="dxa"/>
              <w:right w:w="85" w:type="dxa"/>
            </w:tcMar>
          </w:tcPr>
          <w:p w14:paraId="0EC96EF6"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60B289FD" w14:textId="77777777" w:rsidR="00D44F90" w:rsidRPr="00630129" w:rsidRDefault="00D44F90" w:rsidP="00D44F90">
            <w:pPr>
              <w:rPr>
                <w:sz w:val="22"/>
                <w:szCs w:val="22"/>
              </w:rPr>
            </w:pPr>
            <w:r w:rsidRPr="00630129">
              <w:rPr>
                <w:sz w:val="22"/>
                <w:szCs w:val="22"/>
              </w:rPr>
              <w:t>summed over all Supplier BM Units (</w:t>
            </w:r>
            <w:proofErr w:type="spellStart"/>
            <w:r w:rsidRPr="00630129">
              <w:rPr>
                <w:sz w:val="22"/>
                <w:szCs w:val="22"/>
              </w:rPr>
              <w:t>i</w:t>
            </w:r>
            <w:proofErr w:type="spellEnd"/>
            <w:r w:rsidRPr="00630129">
              <w:rPr>
                <w:sz w:val="22"/>
                <w:szCs w:val="22"/>
              </w:rPr>
              <w:t>) associated with a particular GSP Group (H);</w:t>
            </w:r>
          </w:p>
        </w:tc>
      </w:tr>
      <w:tr w:rsidR="00D44F90" w:rsidRPr="00630129" w14:paraId="5D4624C9" w14:textId="77777777" w:rsidTr="00A63BA8">
        <w:trPr>
          <w:cantSplit/>
        </w:trPr>
        <w:tc>
          <w:tcPr>
            <w:tcW w:w="727" w:type="pct"/>
            <w:tcMar>
              <w:top w:w="85" w:type="dxa"/>
              <w:left w:w="85" w:type="dxa"/>
              <w:bottom w:w="85" w:type="dxa"/>
              <w:right w:w="85" w:type="dxa"/>
            </w:tcMar>
          </w:tcPr>
          <w:p w14:paraId="7A4343DF" w14:textId="77777777" w:rsidR="00D44F90" w:rsidRPr="00630129" w:rsidRDefault="00D44F90" w:rsidP="00D44F90">
            <w:pPr>
              <w:rPr>
                <w:sz w:val="22"/>
                <w:szCs w:val="22"/>
                <w:vertAlign w:val="subscript"/>
              </w:rPr>
            </w:pPr>
            <w:r w:rsidRPr="00630129">
              <w:rPr>
                <w:sz w:val="22"/>
                <w:szCs w:val="22"/>
              </w:rPr>
              <w:sym w:font="Symbol" w:char="F053"/>
            </w:r>
            <w:proofErr w:type="spellStart"/>
            <w:r w:rsidRPr="00630129">
              <w:rPr>
                <w:sz w:val="22"/>
                <w:szCs w:val="22"/>
                <w:vertAlign w:val="superscript"/>
              </w:rPr>
              <w:t>HZ</w:t>
            </w:r>
            <w:r w:rsidRPr="00630129">
              <w:rPr>
                <w:sz w:val="22"/>
                <w:szCs w:val="22"/>
                <w:vertAlign w:val="subscript"/>
              </w:rPr>
              <w:t>i</w:t>
            </w:r>
            <w:proofErr w:type="spellEnd"/>
          </w:p>
        </w:tc>
        <w:tc>
          <w:tcPr>
            <w:tcW w:w="163" w:type="pct"/>
            <w:tcMar>
              <w:top w:w="85" w:type="dxa"/>
              <w:left w:w="85" w:type="dxa"/>
              <w:bottom w:w="85" w:type="dxa"/>
              <w:right w:w="85" w:type="dxa"/>
            </w:tcMar>
          </w:tcPr>
          <w:p w14:paraId="018FC657"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03B8A2B1" w14:textId="77777777" w:rsidR="00D44F90" w:rsidRPr="00630129" w:rsidRDefault="00D44F90" w:rsidP="00D44F90">
            <w:pPr>
              <w:rPr>
                <w:sz w:val="22"/>
                <w:szCs w:val="22"/>
              </w:rPr>
            </w:pPr>
            <w:r w:rsidRPr="00630129">
              <w:rPr>
                <w:sz w:val="22"/>
                <w:szCs w:val="22"/>
              </w:rPr>
              <w:t>summed over all Supplier BM Units (</w:t>
            </w:r>
            <w:proofErr w:type="spellStart"/>
            <w:r w:rsidRPr="00630129">
              <w:rPr>
                <w:sz w:val="22"/>
                <w:szCs w:val="22"/>
              </w:rPr>
              <w:t>i</w:t>
            </w:r>
            <w:proofErr w:type="spellEnd"/>
            <w:r w:rsidRPr="00630129">
              <w:rPr>
                <w:sz w:val="22"/>
                <w:szCs w:val="22"/>
              </w:rPr>
              <w:t>) associated with a particular GSP Group (H) and Supplier (Z);</w:t>
            </w:r>
          </w:p>
        </w:tc>
      </w:tr>
      <w:tr w:rsidR="00D44F90" w:rsidRPr="00630129" w14:paraId="5201D120" w14:textId="77777777" w:rsidTr="00A63BA8">
        <w:trPr>
          <w:cantSplit/>
        </w:trPr>
        <w:tc>
          <w:tcPr>
            <w:tcW w:w="727" w:type="pct"/>
            <w:tcMar>
              <w:top w:w="85" w:type="dxa"/>
              <w:left w:w="85" w:type="dxa"/>
              <w:bottom w:w="85" w:type="dxa"/>
              <w:right w:w="85" w:type="dxa"/>
            </w:tcMar>
          </w:tcPr>
          <w:p w14:paraId="66FE191A" w14:textId="77777777" w:rsidR="00D44F90" w:rsidRPr="00630129" w:rsidRDefault="00D44F90" w:rsidP="00D44F90">
            <w:pPr>
              <w:pStyle w:val="Header"/>
              <w:tabs>
                <w:tab w:val="clear" w:pos="4153"/>
                <w:tab w:val="clear" w:pos="8306"/>
              </w:tabs>
              <w:rPr>
                <w:sz w:val="22"/>
                <w:szCs w:val="22"/>
              </w:rPr>
            </w:pPr>
            <w:r w:rsidRPr="00630129">
              <w:rPr>
                <w:sz w:val="22"/>
                <w:szCs w:val="22"/>
              </w:rPr>
              <w:sym w:font="Symbol" w:char="F0E5"/>
            </w:r>
            <w:r w:rsidRPr="00630129">
              <w:rPr>
                <w:sz w:val="22"/>
                <w:szCs w:val="22"/>
                <w:vertAlign w:val="superscript"/>
              </w:rPr>
              <w:t>HPR</w:t>
            </w:r>
            <w:r w:rsidRPr="00630129">
              <w:rPr>
                <w:sz w:val="22"/>
                <w:szCs w:val="22"/>
                <w:vertAlign w:val="subscript"/>
              </w:rPr>
              <w:t>ZL</w:t>
            </w:r>
          </w:p>
        </w:tc>
        <w:tc>
          <w:tcPr>
            <w:tcW w:w="163" w:type="pct"/>
            <w:tcMar>
              <w:top w:w="85" w:type="dxa"/>
              <w:left w:w="85" w:type="dxa"/>
              <w:bottom w:w="85" w:type="dxa"/>
              <w:right w:w="85" w:type="dxa"/>
            </w:tcMar>
          </w:tcPr>
          <w:p w14:paraId="3D15F27B" w14:textId="77777777" w:rsidR="00D44F90" w:rsidRPr="00630129" w:rsidRDefault="00D44F90" w:rsidP="00D44F90">
            <w:pPr>
              <w:pStyle w:val="Header"/>
              <w:tabs>
                <w:tab w:val="clear" w:pos="4153"/>
                <w:tab w:val="clear" w:pos="8306"/>
              </w:tabs>
              <w:jc w:val="center"/>
              <w:rPr>
                <w:sz w:val="22"/>
                <w:szCs w:val="22"/>
              </w:rPr>
            </w:pPr>
            <w:r w:rsidRPr="00630129">
              <w:rPr>
                <w:sz w:val="22"/>
                <w:szCs w:val="22"/>
              </w:rPr>
              <w:t>=</w:t>
            </w:r>
          </w:p>
        </w:tc>
        <w:tc>
          <w:tcPr>
            <w:tcW w:w="4111" w:type="pct"/>
            <w:tcMar>
              <w:top w:w="85" w:type="dxa"/>
              <w:left w:w="85" w:type="dxa"/>
              <w:bottom w:w="85" w:type="dxa"/>
              <w:right w:w="85" w:type="dxa"/>
            </w:tcMar>
          </w:tcPr>
          <w:p w14:paraId="0E043214" w14:textId="77777777" w:rsidR="00D44F90" w:rsidRPr="00630129" w:rsidRDefault="00D44F90" w:rsidP="00D44F90">
            <w:pPr>
              <w:pStyle w:val="Header"/>
              <w:tabs>
                <w:tab w:val="clear" w:pos="4153"/>
                <w:tab w:val="clear" w:pos="8306"/>
              </w:tabs>
              <w:rPr>
                <w:sz w:val="22"/>
                <w:szCs w:val="22"/>
              </w:rPr>
            </w:pPr>
            <w:r w:rsidRPr="00630129">
              <w:rPr>
                <w:sz w:val="22"/>
                <w:szCs w:val="22"/>
              </w:rPr>
              <w:t>summed over all Suppliers (Z) and Line Loss Factor Classes (L) for Standard Settlement Configuration and Time Pattern Regime combination (R) in Profile Class (P) within GSP Group (H);</w:t>
            </w:r>
          </w:p>
        </w:tc>
      </w:tr>
      <w:tr w:rsidR="00D44F90" w:rsidRPr="00630129" w14:paraId="170791A0" w14:textId="77777777" w:rsidTr="00A63BA8">
        <w:trPr>
          <w:cantSplit/>
        </w:trPr>
        <w:tc>
          <w:tcPr>
            <w:tcW w:w="727" w:type="pct"/>
            <w:tcMar>
              <w:top w:w="85" w:type="dxa"/>
              <w:left w:w="85" w:type="dxa"/>
              <w:bottom w:w="85" w:type="dxa"/>
              <w:right w:w="85" w:type="dxa"/>
            </w:tcMar>
          </w:tcPr>
          <w:p w14:paraId="2AC0AABE" w14:textId="77777777" w:rsidR="00D44F90" w:rsidRPr="00630129" w:rsidRDefault="00D44F90" w:rsidP="00D44F90">
            <w:pPr>
              <w:pStyle w:val="Header"/>
              <w:tabs>
                <w:tab w:val="clear" w:pos="4153"/>
                <w:tab w:val="clear" w:pos="8306"/>
              </w:tabs>
              <w:rPr>
                <w:sz w:val="22"/>
                <w:szCs w:val="22"/>
              </w:rPr>
            </w:pPr>
            <w:r w:rsidRPr="00630129">
              <w:rPr>
                <w:sz w:val="22"/>
                <w:szCs w:val="22"/>
              </w:rPr>
              <w:lastRenderedPageBreak/>
              <w:sym w:font="Symbol" w:char="F0E5"/>
            </w:r>
            <w:r w:rsidRPr="00630129">
              <w:rPr>
                <w:sz w:val="22"/>
                <w:szCs w:val="22"/>
                <w:vertAlign w:val="superscript"/>
              </w:rPr>
              <w:t>HPR</w:t>
            </w:r>
            <w:r w:rsidRPr="00630129">
              <w:rPr>
                <w:sz w:val="22"/>
                <w:szCs w:val="22"/>
                <w:vertAlign w:val="subscript"/>
              </w:rPr>
              <w:t>T</w:t>
            </w:r>
          </w:p>
        </w:tc>
        <w:tc>
          <w:tcPr>
            <w:tcW w:w="163" w:type="pct"/>
            <w:tcMar>
              <w:top w:w="85" w:type="dxa"/>
              <w:left w:w="85" w:type="dxa"/>
              <w:bottom w:w="85" w:type="dxa"/>
              <w:right w:w="85" w:type="dxa"/>
            </w:tcMar>
          </w:tcPr>
          <w:p w14:paraId="3C630700" w14:textId="77777777" w:rsidR="00D44F90" w:rsidRPr="00630129" w:rsidRDefault="00D44F90" w:rsidP="00D44F90">
            <w:pPr>
              <w:pStyle w:val="Header"/>
              <w:tabs>
                <w:tab w:val="clear" w:pos="4153"/>
                <w:tab w:val="clear" w:pos="8306"/>
              </w:tabs>
              <w:jc w:val="center"/>
              <w:rPr>
                <w:sz w:val="22"/>
                <w:szCs w:val="22"/>
              </w:rPr>
            </w:pPr>
            <w:r w:rsidRPr="00630129">
              <w:rPr>
                <w:sz w:val="22"/>
                <w:szCs w:val="22"/>
              </w:rPr>
              <w:t>=</w:t>
            </w:r>
          </w:p>
        </w:tc>
        <w:tc>
          <w:tcPr>
            <w:tcW w:w="4111" w:type="pct"/>
            <w:tcMar>
              <w:top w:w="85" w:type="dxa"/>
              <w:left w:w="85" w:type="dxa"/>
              <w:bottom w:w="85" w:type="dxa"/>
              <w:right w:w="85" w:type="dxa"/>
            </w:tcMar>
          </w:tcPr>
          <w:p w14:paraId="3E106BE2" w14:textId="77777777" w:rsidR="00D44F90" w:rsidRPr="00630129" w:rsidRDefault="00D44F90" w:rsidP="00D44F90">
            <w:pPr>
              <w:pStyle w:val="Header"/>
              <w:tabs>
                <w:tab w:val="clear" w:pos="4153"/>
                <w:tab w:val="clear" w:pos="8306"/>
              </w:tabs>
              <w:rPr>
                <w:sz w:val="22"/>
                <w:szCs w:val="22"/>
              </w:rPr>
            </w:pPr>
            <w:r w:rsidRPr="00630129">
              <w:rPr>
                <w:sz w:val="22"/>
                <w:szCs w:val="22"/>
              </w:rPr>
              <w:t xml:space="preserve">summed </w:t>
            </w:r>
            <w:proofErr w:type="spellStart"/>
            <w:r w:rsidRPr="00630129">
              <w:rPr>
                <w:sz w:val="22"/>
                <w:szCs w:val="22"/>
              </w:rPr>
              <w:t>over all</w:t>
            </w:r>
            <w:proofErr w:type="spellEnd"/>
            <w:r w:rsidRPr="00630129">
              <w:rPr>
                <w:sz w:val="22"/>
                <w:szCs w:val="22"/>
              </w:rPr>
              <w:t xml:space="preserve"> Settlement Days (T) contained within the Calculation Period for which one or more values of TAA</w:t>
            </w:r>
            <w:r w:rsidRPr="00630129">
              <w:rPr>
                <w:sz w:val="22"/>
                <w:szCs w:val="22"/>
                <w:vertAlign w:val="subscript"/>
              </w:rPr>
              <w:t>HZLPR</w:t>
            </w:r>
            <w:r w:rsidRPr="00630129">
              <w:rPr>
                <w:sz w:val="22"/>
                <w:szCs w:val="22"/>
              </w:rPr>
              <w:t xml:space="preserve"> was determined for Standard Settlement Configuration and Time Pattern Regime combination (R) in Profile Class (P) within GSP Group (H);</w:t>
            </w:r>
          </w:p>
        </w:tc>
      </w:tr>
      <w:tr w:rsidR="00D44F90" w:rsidRPr="00630129" w14:paraId="1345C542" w14:textId="77777777" w:rsidTr="00A63BA8">
        <w:trPr>
          <w:cantSplit/>
        </w:trPr>
        <w:tc>
          <w:tcPr>
            <w:tcW w:w="727" w:type="pct"/>
            <w:tcMar>
              <w:top w:w="85" w:type="dxa"/>
              <w:left w:w="85" w:type="dxa"/>
              <w:bottom w:w="85" w:type="dxa"/>
              <w:right w:w="85" w:type="dxa"/>
            </w:tcMar>
          </w:tcPr>
          <w:p w14:paraId="186A5668" w14:textId="77777777" w:rsidR="00D44F90" w:rsidRPr="00630129" w:rsidRDefault="00D44F90" w:rsidP="00D44F90">
            <w:pPr>
              <w:pStyle w:val="Header"/>
              <w:tabs>
                <w:tab w:val="clear" w:pos="4153"/>
                <w:tab w:val="clear" w:pos="8306"/>
              </w:tabs>
              <w:rPr>
                <w:sz w:val="22"/>
                <w:szCs w:val="22"/>
              </w:rPr>
            </w:pPr>
            <w:r w:rsidRPr="00630129">
              <w:rPr>
                <w:sz w:val="22"/>
                <w:szCs w:val="22"/>
              </w:rPr>
              <w:sym w:font="Symbol" w:char="F0E5"/>
            </w:r>
            <w:r w:rsidRPr="00630129">
              <w:rPr>
                <w:sz w:val="22"/>
                <w:szCs w:val="22"/>
                <w:vertAlign w:val="superscript"/>
              </w:rPr>
              <w:t>HPC</w:t>
            </w:r>
            <w:r w:rsidRPr="00630129">
              <w:rPr>
                <w:sz w:val="22"/>
                <w:szCs w:val="22"/>
                <w:vertAlign w:val="subscript"/>
              </w:rPr>
              <w:t>R</w:t>
            </w:r>
          </w:p>
        </w:tc>
        <w:tc>
          <w:tcPr>
            <w:tcW w:w="163" w:type="pct"/>
            <w:tcMar>
              <w:top w:w="85" w:type="dxa"/>
              <w:left w:w="85" w:type="dxa"/>
              <w:bottom w:w="85" w:type="dxa"/>
              <w:right w:w="85" w:type="dxa"/>
            </w:tcMar>
          </w:tcPr>
          <w:p w14:paraId="42819EDC" w14:textId="77777777" w:rsidR="00D44F90" w:rsidRPr="00630129" w:rsidRDefault="00D44F90" w:rsidP="00D44F90">
            <w:pPr>
              <w:pStyle w:val="Header"/>
              <w:tabs>
                <w:tab w:val="clear" w:pos="4153"/>
                <w:tab w:val="clear" w:pos="8306"/>
              </w:tabs>
              <w:jc w:val="center"/>
              <w:rPr>
                <w:sz w:val="22"/>
                <w:szCs w:val="22"/>
              </w:rPr>
            </w:pPr>
            <w:r w:rsidRPr="00630129">
              <w:rPr>
                <w:sz w:val="22"/>
                <w:szCs w:val="22"/>
              </w:rPr>
              <w:t>=</w:t>
            </w:r>
          </w:p>
        </w:tc>
        <w:tc>
          <w:tcPr>
            <w:tcW w:w="4111" w:type="pct"/>
            <w:tcMar>
              <w:top w:w="85" w:type="dxa"/>
              <w:left w:w="85" w:type="dxa"/>
              <w:bottom w:w="85" w:type="dxa"/>
              <w:right w:w="85" w:type="dxa"/>
            </w:tcMar>
          </w:tcPr>
          <w:p w14:paraId="01B837EA" w14:textId="77777777" w:rsidR="00D44F90" w:rsidRPr="00630129" w:rsidRDefault="00D44F90" w:rsidP="00D44F90">
            <w:pPr>
              <w:pStyle w:val="Header"/>
              <w:tabs>
                <w:tab w:val="clear" w:pos="4153"/>
                <w:tab w:val="clear" w:pos="8306"/>
              </w:tabs>
              <w:rPr>
                <w:b/>
                <w:sz w:val="22"/>
                <w:szCs w:val="22"/>
              </w:rPr>
            </w:pPr>
            <w:r w:rsidRPr="00630129">
              <w:rPr>
                <w:sz w:val="22"/>
                <w:szCs w:val="22"/>
              </w:rPr>
              <w:t>summed over all Standard Settlement Configuration and Time Pattern Regime combinations (R) valid for Standard Configuration (C) and Profile Class (P) within GSP Group (H);</w:t>
            </w:r>
          </w:p>
        </w:tc>
      </w:tr>
      <w:tr w:rsidR="00D44F90" w:rsidRPr="00630129" w14:paraId="76A52AA5" w14:textId="77777777" w:rsidTr="00A63BA8">
        <w:trPr>
          <w:cantSplit/>
        </w:trPr>
        <w:tc>
          <w:tcPr>
            <w:tcW w:w="727" w:type="pct"/>
            <w:tcMar>
              <w:top w:w="85" w:type="dxa"/>
              <w:left w:w="85" w:type="dxa"/>
              <w:bottom w:w="85" w:type="dxa"/>
              <w:right w:w="85" w:type="dxa"/>
            </w:tcMar>
          </w:tcPr>
          <w:p w14:paraId="76AD1FC3" w14:textId="77777777" w:rsidR="00D44F90" w:rsidRPr="00630129" w:rsidRDefault="00D44F90" w:rsidP="00D44F90">
            <w:pPr>
              <w:pStyle w:val="Header"/>
              <w:tabs>
                <w:tab w:val="clear" w:pos="4153"/>
                <w:tab w:val="clear" w:pos="8306"/>
              </w:tabs>
              <w:rPr>
                <w:sz w:val="22"/>
                <w:szCs w:val="22"/>
              </w:rPr>
            </w:pPr>
            <w:r w:rsidRPr="00630129">
              <w:rPr>
                <w:sz w:val="22"/>
                <w:szCs w:val="22"/>
              </w:rPr>
              <w:sym w:font="Symbol" w:char="F0E5"/>
            </w:r>
            <w:r w:rsidRPr="00630129">
              <w:rPr>
                <w:sz w:val="22"/>
                <w:szCs w:val="22"/>
                <w:vertAlign w:val="superscript"/>
              </w:rPr>
              <w:t>HPCT</w:t>
            </w:r>
            <w:r w:rsidRPr="00630129">
              <w:rPr>
                <w:sz w:val="22"/>
                <w:szCs w:val="22"/>
                <w:vertAlign w:val="subscript"/>
              </w:rPr>
              <w:t>R</w:t>
            </w:r>
          </w:p>
        </w:tc>
        <w:tc>
          <w:tcPr>
            <w:tcW w:w="163" w:type="pct"/>
            <w:tcMar>
              <w:top w:w="85" w:type="dxa"/>
              <w:left w:w="85" w:type="dxa"/>
              <w:bottom w:w="85" w:type="dxa"/>
              <w:right w:w="85" w:type="dxa"/>
            </w:tcMar>
          </w:tcPr>
          <w:p w14:paraId="6AA861D1" w14:textId="77777777" w:rsidR="00D44F90" w:rsidRPr="00630129" w:rsidRDefault="00D44F90" w:rsidP="00D44F90">
            <w:pPr>
              <w:pStyle w:val="Header"/>
              <w:tabs>
                <w:tab w:val="clear" w:pos="4153"/>
                <w:tab w:val="clear" w:pos="8306"/>
              </w:tabs>
              <w:jc w:val="center"/>
              <w:rPr>
                <w:sz w:val="22"/>
                <w:szCs w:val="22"/>
              </w:rPr>
            </w:pPr>
            <w:r w:rsidRPr="00630129">
              <w:rPr>
                <w:sz w:val="22"/>
                <w:szCs w:val="22"/>
              </w:rPr>
              <w:t>=</w:t>
            </w:r>
          </w:p>
        </w:tc>
        <w:tc>
          <w:tcPr>
            <w:tcW w:w="4111" w:type="pct"/>
            <w:tcMar>
              <w:top w:w="85" w:type="dxa"/>
              <w:left w:w="85" w:type="dxa"/>
              <w:bottom w:w="85" w:type="dxa"/>
              <w:right w:w="85" w:type="dxa"/>
            </w:tcMar>
          </w:tcPr>
          <w:p w14:paraId="58BD7101" w14:textId="77777777" w:rsidR="00D44F90" w:rsidRPr="00630129" w:rsidRDefault="00D44F90" w:rsidP="00D44F90">
            <w:pPr>
              <w:pStyle w:val="Header"/>
              <w:tabs>
                <w:tab w:val="clear" w:pos="4153"/>
                <w:tab w:val="clear" w:pos="8306"/>
              </w:tabs>
              <w:rPr>
                <w:sz w:val="22"/>
                <w:szCs w:val="22"/>
              </w:rPr>
            </w:pPr>
            <w:r w:rsidRPr="00630129">
              <w:rPr>
                <w:sz w:val="22"/>
                <w:szCs w:val="22"/>
              </w:rPr>
              <w:t>summed over all Standard Settlement Configuration and Time Pattern Regime combinations (R) valid for Standard Settlement Configuration (C) in Profile Class (P) within GSP Group (H) for Settlement Day (T);</w:t>
            </w:r>
          </w:p>
        </w:tc>
      </w:tr>
      <w:tr w:rsidR="00D44F90" w:rsidRPr="00630129" w14:paraId="21150C0F" w14:textId="77777777" w:rsidTr="00A63BA8">
        <w:trPr>
          <w:cantSplit/>
        </w:trPr>
        <w:tc>
          <w:tcPr>
            <w:tcW w:w="727" w:type="pct"/>
            <w:tcMar>
              <w:top w:w="85" w:type="dxa"/>
              <w:left w:w="85" w:type="dxa"/>
              <w:bottom w:w="85" w:type="dxa"/>
              <w:right w:w="85" w:type="dxa"/>
            </w:tcMar>
          </w:tcPr>
          <w:p w14:paraId="396202BD" w14:textId="77777777" w:rsidR="00D44F90" w:rsidRPr="00630129" w:rsidRDefault="00D44F90" w:rsidP="00D44F90">
            <w:pPr>
              <w:pStyle w:val="Header"/>
              <w:tabs>
                <w:tab w:val="clear" w:pos="4153"/>
                <w:tab w:val="clear" w:pos="8306"/>
              </w:tabs>
              <w:rPr>
                <w:sz w:val="22"/>
                <w:szCs w:val="22"/>
              </w:rPr>
            </w:pPr>
            <w:r w:rsidRPr="00630129">
              <w:rPr>
                <w:sz w:val="22"/>
                <w:szCs w:val="22"/>
              </w:rPr>
              <w:sym w:font="Symbol" w:char="F0E5"/>
            </w:r>
            <w:r w:rsidRPr="00630129">
              <w:rPr>
                <w:sz w:val="22"/>
                <w:szCs w:val="22"/>
                <w:vertAlign w:val="superscript"/>
              </w:rPr>
              <w:t>HPC</w:t>
            </w:r>
            <w:r w:rsidRPr="00630129">
              <w:rPr>
                <w:sz w:val="22"/>
                <w:szCs w:val="22"/>
                <w:vertAlign w:val="subscript"/>
              </w:rPr>
              <w:t>ZL</w:t>
            </w:r>
          </w:p>
        </w:tc>
        <w:tc>
          <w:tcPr>
            <w:tcW w:w="163" w:type="pct"/>
            <w:tcMar>
              <w:top w:w="85" w:type="dxa"/>
              <w:left w:w="85" w:type="dxa"/>
              <w:bottom w:w="85" w:type="dxa"/>
              <w:right w:w="85" w:type="dxa"/>
            </w:tcMar>
          </w:tcPr>
          <w:p w14:paraId="000FDDD0" w14:textId="77777777" w:rsidR="00D44F90" w:rsidRPr="00630129" w:rsidRDefault="00D44F90" w:rsidP="00D44F90">
            <w:pPr>
              <w:pStyle w:val="Header"/>
              <w:tabs>
                <w:tab w:val="clear" w:pos="4153"/>
                <w:tab w:val="clear" w:pos="8306"/>
              </w:tabs>
              <w:jc w:val="center"/>
              <w:rPr>
                <w:sz w:val="22"/>
                <w:szCs w:val="22"/>
              </w:rPr>
            </w:pPr>
            <w:r w:rsidRPr="00630129">
              <w:rPr>
                <w:sz w:val="22"/>
                <w:szCs w:val="22"/>
              </w:rPr>
              <w:t>=</w:t>
            </w:r>
          </w:p>
        </w:tc>
        <w:tc>
          <w:tcPr>
            <w:tcW w:w="4111" w:type="pct"/>
            <w:tcMar>
              <w:top w:w="85" w:type="dxa"/>
              <w:left w:w="85" w:type="dxa"/>
              <w:bottom w:w="85" w:type="dxa"/>
              <w:right w:w="85" w:type="dxa"/>
            </w:tcMar>
          </w:tcPr>
          <w:p w14:paraId="7BBD1D2C" w14:textId="77777777" w:rsidR="00D44F90" w:rsidRPr="00630129" w:rsidRDefault="00D44F90" w:rsidP="00D44F90">
            <w:pPr>
              <w:pStyle w:val="Header"/>
              <w:tabs>
                <w:tab w:val="clear" w:pos="4153"/>
                <w:tab w:val="clear" w:pos="8306"/>
              </w:tabs>
              <w:rPr>
                <w:sz w:val="22"/>
                <w:szCs w:val="22"/>
              </w:rPr>
            </w:pPr>
            <w:r w:rsidRPr="00630129">
              <w:rPr>
                <w:sz w:val="22"/>
                <w:szCs w:val="22"/>
              </w:rPr>
              <w:t>summed over all Suppliers (Z) and Line Loss Factor Classes (L) for any one valid combination of Standard Settlement Configuration and Time Pattern Regime for Standard Settlement Configuration (C) in Profile Class (P) within GSP Group (H);</w:t>
            </w:r>
          </w:p>
        </w:tc>
      </w:tr>
      <w:tr w:rsidR="00D44F90" w:rsidRPr="00630129" w14:paraId="6F4ECDEF" w14:textId="77777777" w:rsidTr="00A63BA8">
        <w:trPr>
          <w:cantSplit/>
        </w:trPr>
        <w:tc>
          <w:tcPr>
            <w:tcW w:w="727" w:type="pct"/>
            <w:tcMar>
              <w:top w:w="85" w:type="dxa"/>
              <w:left w:w="85" w:type="dxa"/>
              <w:bottom w:w="85" w:type="dxa"/>
              <w:right w:w="85" w:type="dxa"/>
            </w:tcMar>
          </w:tcPr>
          <w:p w14:paraId="3F7C724B" w14:textId="77777777" w:rsidR="00D44F90" w:rsidRPr="00630129" w:rsidRDefault="00D44F90" w:rsidP="00D44F90">
            <w:pPr>
              <w:pStyle w:val="Header"/>
              <w:tabs>
                <w:tab w:val="clear" w:pos="4153"/>
                <w:tab w:val="clear" w:pos="8306"/>
              </w:tabs>
              <w:rPr>
                <w:sz w:val="22"/>
                <w:szCs w:val="22"/>
              </w:rPr>
            </w:pPr>
            <w:r w:rsidRPr="00630129">
              <w:rPr>
                <w:sz w:val="22"/>
                <w:szCs w:val="22"/>
              </w:rPr>
              <w:sym w:font="Symbol" w:char="F0E5"/>
            </w:r>
            <w:r w:rsidRPr="00630129">
              <w:rPr>
                <w:sz w:val="22"/>
                <w:szCs w:val="22"/>
                <w:vertAlign w:val="superscript"/>
              </w:rPr>
              <w:t>HPT</w:t>
            </w:r>
            <w:r w:rsidRPr="00630129">
              <w:rPr>
                <w:sz w:val="22"/>
                <w:szCs w:val="22"/>
                <w:vertAlign w:val="subscript"/>
              </w:rPr>
              <w:t>C</w:t>
            </w:r>
          </w:p>
        </w:tc>
        <w:tc>
          <w:tcPr>
            <w:tcW w:w="163" w:type="pct"/>
            <w:tcMar>
              <w:top w:w="85" w:type="dxa"/>
              <w:left w:w="85" w:type="dxa"/>
              <w:bottom w:w="85" w:type="dxa"/>
              <w:right w:w="85" w:type="dxa"/>
            </w:tcMar>
          </w:tcPr>
          <w:p w14:paraId="24396EBB" w14:textId="77777777" w:rsidR="00D44F90" w:rsidRPr="00630129" w:rsidRDefault="00D44F90" w:rsidP="00D44F90">
            <w:pPr>
              <w:pStyle w:val="Header"/>
              <w:tabs>
                <w:tab w:val="clear" w:pos="4153"/>
                <w:tab w:val="clear" w:pos="8306"/>
              </w:tabs>
              <w:jc w:val="center"/>
              <w:rPr>
                <w:sz w:val="22"/>
                <w:szCs w:val="22"/>
              </w:rPr>
            </w:pPr>
            <w:r w:rsidRPr="00630129">
              <w:rPr>
                <w:sz w:val="22"/>
                <w:szCs w:val="22"/>
              </w:rPr>
              <w:t>=</w:t>
            </w:r>
          </w:p>
        </w:tc>
        <w:tc>
          <w:tcPr>
            <w:tcW w:w="4111" w:type="pct"/>
            <w:tcMar>
              <w:top w:w="85" w:type="dxa"/>
              <w:left w:w="85" w:type="dxa"/>
              <w:bottom w:w="85" w:type="dxa"/>
              <w:right w:w="85" w:type="dxa"/>
            </w:tcMar>
          </w:tcPr>
          <w:p w14:paraId="4A59BA59" w14:textId="77777777" w:rsidR="00D44F90" w:rsidRPr="00630129" w:rsidRDefault="00D44F90" w:rsidP="00D44F90">
            <w:pPr>
              <w:pStyle w:val="Header"/>
              <w:tabs>
                <w:tab w:val="clear" w:pos="4153"/>
                <w:tab w:val="clear" w:pos="8306"/>
              </w:tabs>
              <w:rPr>
                <w:sz w:val="22"/>
                <w:szCs w:val="22"/>
              </w:rPr>
            </w:pPr>
            <w:r w:rsidRPr="00630129">
              <w:rPr>
                <w:sz w:val="22"/>
                <w:szCs w:val="22"/>
              </w:rPr>
              <w:t>summed over all Standard Settlement Configurations (C) for Profile Class (P) within GSP Group (H) for Settlement Day (T);</w:t>
            </w:r>
          </w:p>
        </w:tc>
      </w:tr>
      <w:tr w:rsidR="00D44F90" w:rsidRPr="00630129" w14:paraId="2A2B0772" w14:textId="77777777" w:rsidTr="00A63BA8">
        <w:trPr>
          <w:cantSplit/>
        </w:trPr>
        <w:tc>
          <w:tcPr>
            <w:tcW w:w="727" w:type="pct"/>
            <w:tcMar>
              <w:top w:w="85" w:type="dxa"/>
              <w:left w:w="85" w:type="dxa"/>
              <w:bottom w:w="85" w:type="dxa"/>
              <w:right w:w="85" w:type="dxa"/>
            </w:tcMar>
          </w:tcPr>
          <w:p w14:paraId="3D3F2F5A" w14:textId="77777777" w:rsidR="00D44F90" w:rsidRPr="00630129" w:rsidRDefault="00D44F90" w:rsidP="00D44F90">
            <w:pPr>
              <w:pStyle w:val="Header"/>
              <w:tabs>
                <w:tab w:val="clear" w:pos="4153"/>
                <w:tab w:val="clear" w:pos="8306"/>
              </w:tabs>
              <w:rPr>
                <w:sz w:val="22"/>
                <w:szCs w:val="22"/>
              </w:rPr>
            </w:pPr>
            <w:r w:rsidRPr="00630129">
              <w:rPr>
                <w:sz w:val="22"/>
                <w:szCs w:val="22"/>
              </w:rPr>
              <w:sym w:font="Symbol" w:char="F0E5"/>
            </w:r>
            <w:r w:rsidRPr="00630129">
              <w:rPr>
                <w:sz w:val="22"/>
                <w:szCs w:val="22"/>
                <w:vertAlign w:val="superscript"/>
              </w:rPr>
              <w:t>HP</w:t>
            </w:r>
            <w:r w:rsidRPr="00630129">
              <w:rPr>
                <w:sz w:val="22"/>
                <w:szCs w:val="22"/>
                <w:vertAlign w:val="subscript"/>
              </w:rPr>
              <w:t>T</w:t>
            </w:r>
          </w:p>
        </w:tc>
        <w:tc>
          <w:tcPr>
            <w:tcW w:w="163" w:type="pct"/>
            <w:tcMar>
              <w:top w:w="85" w:type="dxa"/>
              <w:left w:w="85" w:type="dxa"/>
              <w:bottom w:w="85" w:type="dxa"/>
              <w:right w:w="85" w:type="dxa"/>
            </w:tcMar>
          </w:tcPr>
          <w:p w14:paraId="3C086E55" w14:textId="77777777" w:rsidR="00D44F90" w:rsidRPr="00630129" w:rsidRDefault="00D44F90" w:rsidP="00D44F90">
            <w:pPr>
              <w:pStyle w:val="Header"/>
              <w:tabs>
                <w:tab w:val="clear" w:pos="4153"/>
                <w:tab w:val="clear" w:pos="8306"/>
              </w:tabs>
              <w:jc w:val="center"/>
              <w:rPr>
                <w:sz w:val="22"/>
                <w:szCs w:val="22"/>
              </w:rPr>
            </w:pPr>
            <w:r w:rsidRPr="00630129">
              <w:rPr>
                <w:sz w:val="22"/>
                <w:szCs w:val="22"/>
              </w:rPr>
              <w:t>=</w:t>
            </w:r>
          </w:p>
        </w:tc>
        <w:tc>
          <w:tcPr>
            <w:tcW w:w="4111" w:type="pct"/>
            <w:tcMar>
              <w:top w:w="85" w:type="dxa"/>
              <w:left w:w="85" w:type="dxa"/>
              <w:bottom w:w="85" w:type="dxa"/>
              <w:right w:w="85" w:type="dxa"/>
            </w:tcMar>
          </w:tcPr>
          <w:p w14:paraId="2A7D762B" w14:textId="77777777" w:rsidR="00D44F90" w:rsidRPr="00630129" w:rsidRDefault="00D44F90" w:rsidP="00D44F90">
            <w:pPr>
              <w:pStyle w:val="Header"/>
              <w:tabs>
                <w:tab w:val="clear" w:pos="4153"/>
                <w:tab w:val="clear" w:pos="8306"/>
              </w:tabs>
              <w:rPr>
                <w:sz w:val="22"/>
                <w:szCs w:val="22"/>
              </w:rPr>
            </w:pPr>
            <w:r w:rsidRPr="00630129">
              <w:rPr>
                <w:sz w:val="22"/>
                <w:szCs w:val="22"/>
              </w:rPr>
              <w:t xml:space="preserve">summed </w:t>
            </w:r>
            <w:proofErr w:type="spellStart"/>
            <w:r w:rsidRPr="00630129">
              <w:rPr>
                <w:sz w:val="22"/>
                <w:szCs w:val="22"/>
              </w:rPr>
              <w:t>over all</w:t>
            </w:r>
            <w:proofErr w:type="spellEnd"/>
            <w:r w:rsidRPr="00630129">
              <w:rPr>
                <w:sz w:val="22"/>
                <w:szCs w:val="22"/>
              </w:rPr>
              <w:t xml:space="preserve"> Settlement Days (T) for Profile Class (P) within GSP Group (H).</w:t>
            </w:r>
          </w:p>
        </w:tc>
      </w:tr>
      <w:tr w:rsidR="00D44F90" w:rsidRPr="00630129" w14:paraId="23C1B0A9" w14:textId="77777777" w:rsidTr="00A63BA8">
        <w:trPr>
          <w:cantSplit/>
        </w:trPr>
        <w:tc>
          <w:tcPr>
            <w:tcW w:w="727" w:type="pct"/>
            <w:tcMar>
              <w:top w:w="85" w:type="dxa"/>
              <w:left w:w="85" w:type="dxa"/>
              <w:bottom w:w="85" w:type="dxa"/>
              <w:right w:w="85" w:type="dxa"/>
            </w:tcMar>
          </w:tcPr>
          <w:p w14:paraId="4FC96041" w14:textId="77777777" w:rsidR="00D44F90" w:rsidRPr="00630129" w:rsidRDefault="00D44F90" w:rsidP="00D44F90">
            <w:pPr>
              <w:rPr>
                <w:sz w:val="22"/>
                <w:szCs w:val="22"/>
                <w:vertAlign w:val="subscript"/>
              </w:rPr>
            </w:pPr>
            <w:r w:rsidRPr="00630129">
              <w:rPr>
                <w:sz w:val="22"/>
                <w:szCs w:val="22"/>
              </w:rPr>
              <w:sym w:font="Symbol" w:char="F053"/>
            </w:r>
            <w:r w:rsidRPr="00630129">
              <w:rPr>
                <w:sz w:val="22"/>
                <w:szCs w:val="22"/>
                <w:vertAlign w:val="subscript"/>
              </w:rPr>
              <w:t>N(AI)</w:t>
            </w:r>
          </w:p>
        </w:tc>
        <w:tc>
          <w:tcPr>
            <w:tcW w:w="163" w:type="pct"/>
            <w:tcMar>
              <w:top w:w="85" w:type="dxa"/>
              <w:left w:w="85" w:type="dxa"/>
              <w:bottom w:w="85" w:type="dxa"/>
              <w:right w:w="85" w:type="dxa"/>
            </w:tcMar>
          </w:tcPr>
          <w:p w14:paraId="7B7E6E28" w14:textId="77777777" w:rsidR="00D44F90" w:rsidRPr="00630129" w:rsidRDefault="00D44F90" w:rsidP="00D44F90">
            <w:pPr>
              <w:jc w:val="center"/>
              <w:rPr>
                <w:sz w:val="22"/>
                <w:szCs w:val="22"/>
              </w:rPr>
            </w:pPr>
            <w:r w:rsidRPr="00630129">
              <w:rPr>
                <w:sz w:val="22"/>
                <w:szCs w:val="22"/>
              </w:rPr>
              <w:t>=</w:t>
            </w:r>
          </w:p>
        </w:tc>
        <w:tc>
          <w:tcPr>
            <w:tcW w:w="4111" w:type="pct"/>
            <w:tcMar>
              <w:top w:w="85" w:type="dxa"/>
              <w:left w:w="85" w:type="dxa"/>
              <w:bottom w:w="85" w:type="dxa"/>
              <w:right w:w="85" w:type="dxa"/>
            </w:tcMar>
          </w:tcPr>
          <w:p w14:paraId="3C54FED9" w14:textId="77777777" w:rsidR="00D44F90" w:rsidRPr="00630129" w:rsidRDefault="00D44F90" w:rsidP="00D44F90">
            <w:pPr>
              <w:rPr>
                <w:sz w:val="22"/>
                <w:szCs w:val="22"/>
              </w:rPr>
            </w:pPr>
            <w:r w:rsidRPr="00630129">
              <w:rPr>
                <w:sz w:val="22"/>
                <w:szCs w:val="22"/>
              </w:rPr>
              <w:t xml:space="preserve">summed over all Consumption Component Classes N that are associated with active import. </w:t>
            </w:r>
          </w:p>
        </w:tc>
      </w:tr>
      <w:tr w:rsidR="00D44F90" w:rsidRPr="00630129" w14:paraId="6AB38E28" w14:textId="77777777" w:rsidTr="00A63BA8">
        <w:trPr>
          <w:cantSplit/>
        </w:trPr>
        <w:tc>
          <w:tcPr>
            <w:tcW w:w="727" w:type="pct"/>
            <w:tcMar>
              <w:top w:w="85" w:type="dxa"/>
              <w:left w:w="85" w:type="dxa"/>
              <w:bottom w:w="85" w:type="dxa"/>
              <w:right w:w="85" w:type="dxa"/>
            </w:tcMar>
          </w:tcPr>
          <w:p w14:paraId="58A31777" w14:textId="77777777" w:rsidR="00D44F90" w:rsidRPr="00630129" w:rsidRDefault="00D44F90" w:rsidP="00D44F90">
            <w:pPr>
              <w:rPr>
                <w:sz w:val="22"/>
                <w:szCs w:val="22"/>
              </w:rPr>
            </w:pPr>
            <w:r w:rsidRPr="00630129">
              <w:rPr>
                <w:sz w:val="22"/>
                <w:szCs w:val="22"/>
              </w:rPr>
              <w:sym w:font="Symbol" w:char="F053"/>
            </w:r>
            <w:proofErr w:type="spellStart"/>
            <w:r w:rsidRPr="00630129">
              <w:rPr>
                <w:sz w:val="22"/>
                <w:szCs w:val="22"/>
                <w:vertAlign w:val="superscript"/>
              </w:rPr>
              <w:t>ZqG</w:t>
            </w:r>
            <w:proofErr w:type="spellEnd"/>
          </w:p>
        </w:tc>
        <w:tc>
          <w:tcPr>
            <w:tcW w:w="163" w:type="pct"/>
            <w:tcMar>
              <w:top w:w="85" w:type="dxa"/>
              <w:left w:w="85" w:type="dxa"/>
              <w:bottom w:w="85" w:type="dxa"/>
              <w:right w:w="85" w:type="dxa"/>
            </w:tcMar>
          </w:tcPr>
          <w:p w14:paraId="03C8026E" w14:textId="77777777" w:rsidR="00D44F90" w:rsidRPr="00630129" w:rsidRDefault="00D44F90" w:rsidP="00D44F90">
            <w:pPr>
              <w:jc w:val="center"/>
              <w:rPr>
                <w:b/>
                <w:bCs/>
                <w:sz w:val="22"/>
                <w:szCs w:val="22"/>
              </w:rPr>
            </w:pPr>
            <w:r w:rsidRPr="00630129">
              <w:rPr>
                <w:sz w:val="22"/>
                <w:szCs w:val="22"/>
              </w:rPr>
              <w:t>=</w:t>
            </w:r>
          </w:p>
        </w:tc>
        <w:tc>
          <w:tcPr>
            <w:tcW w:w="4111" w:type="pct"/>
            <w:tcMar>
              <w:top w:w="85" w:type="dxa"/>
              <w:left w:w="85" w:type="dxa"/>
              <w:bottom w:w="85" w:type="dxa"/>
              <w:right w:w="85" w:type="dxa"/>
            </w:tcMar>
          </w:tcPr>
          <w:p w14:paraId="2B11F367" w14:textId="77777777" w:rsidR="00D44F90" w:rsidRPr="00630129" w:rsidRDefault="00D44F90" w:rsidP="00D44F90">
            <w:pPr>
              <w:rPr>
                <w:b/>
                <w:bCs/>
                <w:sz w:val="22"/>
                <w:szCs w:val="22"/>
              </w:rPr>
            </w:pPr>
            <w:r w:rsidRPr="00630129">
              <w:rPr>
                <w:sz w:val="22"/>
                <w:szCs w:val="22"/>
              </w:rPr>
              <w:t>summed by Supplier (Z) over a calendar quarter (q) by Supplier Volume Reporting Group (G);</w:t>
            </w:r>
          </w:p>
        </w:tc>
      </w:tr>
    </w:tbl>
    <w:p w14:paraId="05618946" w14:textId="77777777" w:rsidR="002A68CF" w:rsidRPr="00630129" w:rsidRDefault="002A68CF">
      <w:pPr>
        <w:pStyle w:val="BodyTextIndent3"/>
        <w:tabs>
          <w:tab w:val="clear" w:pos="-720"/>
          <w:tab w:val="clear" w:pos="0"/>
          <w:tab w:val="clear" w:pos="720"/>
          <w:tab w:val="clear" w:pos="1440"/>
          <w:tab w:val="clear" w:pos="2160"/>
          <w:tab w:val="clear" w:pos="2977"/>
        </w:tabs>
        <w:suppressAutoHyphens w:val="0"/>
        <w:ind w:left="0" w:firstLine="0"/>
        <w:jc w:val="both"/>
        <w:rPr>
          <w:rFonts w:ascii="Times New Roman" w:hAnsi="Times New Roman"/>
          <w:sz w:val="22"/>
          <w:szCs w:val="22"/>
        </w:rPr>
      </w:pPr>
    </w:p>
    <w:p w14:paraId="09DBF5C2" w14:textId="77777777" w:rsidR="002A68CF" w:rsidRPr="00630129" w:rsidRDefault="002A68CF">
      <w:pPr>
        <w:spacing w:after="220"/>
        <w:jc w:val="both"/>
        <w:rPr>
          <w:sz w:val="22"/>
          <w:szCs w:val="22"/>
        </w:rPr>
      </w:pPr>
    </w:p>
    <w:p w14:paraId="566FD736" w14:textId="77777777" w:rsidR="002A68CF" w:rsidRPr="00630129" w:rsidRDefault="002A68CF">
      <w:pPr>
        <w:spacing w:after="220"/>
        <w:jc w:val="both"/>
        <w:rPr>
          <w:sz w:val="22"/>
          <w:szCs w:val="22"/>
        </w:rPr>
      </w:pPr>
    </w:p>
    <w:p w14:paraId="1BA01440" w14:textId="77777777" w:rsidR="002A68CF" w:rsidRPr="00630129" w:rsidRDefault="001C7564">
      <w:pPr>
        <w:pageBreakBefore/>
        <w:spacing w:after="220"/>
        <w:jc w:val="center"/>
        <w:rPr>
          <w:b/>
          <w:sz w:val="22"/>
          <w:szCs w:val="22"/>
        </w:rPr>
      </w:pPr>
      <w:r w:rsidRPr="00630129">
        <w:rPr>
          <w:b/>
          <w:sz w:val="22"/>
          <w:szCs w:val="22"/>
        </w:rPr>
        <w:lastRenderedPageBreak/>
        <w:t>Table X–6</w:t>
      </w:r>
    </w:p>
    <w:p w14:paraId="6735A8B9" w14:textId="77777777" w:rsidR="002A68CF" w:rsidRPr="00630129" w:rsidRDefault="001C7564">
      <w:pPr>
        <w:spacing w:after="220"/>
        <w:jc w:val="center"/>
        <w:rPr>
          <w:b/>
          <w:sz w:val="22"/>
          <w:szCs w:val="22"/>
        </w:rPr>
      </w:pPr>
      <w:r w:rsidRPr="00630129">
        <w:rPr>
          <w:b/>
          <w:sz w:val="22"/>
          <w:szCs w:val="22"/>
        </w:rPr>
        <w:t>Definitions Applying To Section S</w:t>
      </w:r>
    </w:p>
    <w:p w14:paraId="1096BA5F" w14:textId="77777777" w:rsidR="002A68CF" w:rsidRPr="00630129" w:rsidRDefault="001C7564">
      <w:pPr>
        <w:spacing w:after="220"/>
        <w:jc w:val="both"/>
        <w:rPr>
          <w:sz w:val="22"/>
          <w:szCs w:val="22"/>
        </w:rPr>
      </w:pPr>
      <w:r w:rsidRPr="00630129">
        <w:rPr>
          <w:sz w:val="22"/>
          <w:szCs w:val="22"/>
        </w:rPr>
        <w:t>Unless otherwise expressly stated the expressions below bear the following meanings in Section S.</w:t>
      </w:r>
    </w:p>
    <w:p w14:paraId="017876FA" w14:textId="77777777" w:rsidR="002A68CF" w:rsidRPr="00630129" w:rsidRDefault="001C7564">
      <w:pPr>
        <w:spacing w:after="220"/>
        <w:jc w:val="both"/>
        <w:rPr>
          <w:sz w:val="22"/>
          <w:szCs w:val="22"/>
        </w:rPr>
      </w:pPr>
      <w:r w:rsidRPr="00630129">
        <w:rPr>
          <w:sz w:val="22"/>
          <w:szCs w:val="22"/>
        </w:rPr>
        <w:t>The definition of Non Half Hourly Supplier Deemed Take (</w:t>
      </w:r>
      <w:proofErr w:type="spellStart"/>
      <w:r w:rsidRPr="00630129">
        <w:rPr>
          <w:sz w:val="22"/>
          <w:szCs w:val="22"/>
        </w:rPr>
        <w:t>NHHSDT</w:t>
      </w:r>
      <w:r w:rsidRPr="00630129">
        <w:rPr>
          <w:sz w:val="22"/>
          <w:szCs w:val="22"/>
          <w:vertAlign w:val="subscript"/>
        </w:rPr>
        <w:t>HZj</w:t>
      </w:r>
      <w:proofErr w:type="spellEnd"/>
      <w:r w:rsidRPr="00630129">
        <w:rPr>
          <w:sz w:val="22"/>
          <w:szCs w:val="22"/>
        </w:rPr>
        <w:t>) also applies to Annex D-1. The definition of Measurement Class also applies to Section W.</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2158"/>
        <w:gridCol w:w="1856"/>
        <w:gridCol w:w="1110"/>
        <w:gridCol w:w="3933"/>
      </w:tblGrid>
      <w:tr w:rsidR="00FA6F10" w:rsidRPr="00630129" w14:paraId="55F3F297" w14:textId="77777777" w:rsidTr="00A63BA8">
        <w:trPr>
          <w:cantSplit/>
          <w:tblHeader/>
        </w:trPr>
        <w:tc>
          <w:tcPr>
            <w:tcW w:w="1191" w:type="pct"/>
          </w:tcPr>
          <w:p w14:paraId="05790B99" w14:textId="77777777" w:rsidR="00FA6F10" w:rsidRPr="00630129" w:rsidRDefault="00FA6F10">
            <w:pPr>
              <w:pStyle w:val="EndnoteText"/>
              <w:rPr>
                <w:b/>
                <w:sz w:val="22"/>
                <w:szCs w:val="22"/>
              </w:rPr>
            </w:pPr>
            <w:r w:rsidRPr="00630129">
              <w:rPr>
                <w:b/>
                <w:sz w:val="22"/>
                <w:szCs w:val="22"/>
              </w:rPr>
              <w:t>Expression</w:t>
            </w:r>
          </w:p>
        </w:tc>
        <w:tc>
          <w:tcPr>
            <w:tcW w:w="1024" w:type="pct"/>
          </w:tcPr>
          <w:p w14:paraId="0FBE9798" w14:textId="77777777" w:rsidR="00FA6F10" w:rsidRPr="00630129" w:rsidRDefault="00FA6F10">
            <w:pPr>
              <w:rPr>
                <w:b/>
                <w:sz w:val="22"/>
                <w:szCs w:val="22"/>
              </w:rPr>
            </w:pPr>
            <w:r w:rsidRPr="00630129">
              <w:rPr>
                <w:b/>
                <w:sz w:val="22"/>
                <w:szCs w:val="22"/>
              </w:rPr>
              <w:t>Acronym</w:t>
            </w:r>
          </w:p>
        </w:tc>
        <w:tc>
          <w:tcPr>
            <w:tcW w:w="613" w:type="pct"/>
          </w:tcPr>
          <w:p w14:paraId="1DCA6B3C" w14:textId="77777777" w:rsidR="00FA6F10" w:rsidRPr="00630129" w:rsidRDefault="00FA6F10">
            <w:pPr>
              <w:rPr>
                <w:b/>
                <w:sz w:val="22"/>
                <w:szCs w:val="22"/>
              </w:rPr>
            </w:pPr>
            <w:r w:rsidRPr="00630129">
              <w:rPr>
                <w:b/>
                <w:sz w:val="22"/>
                <w:szCs w:val="22"/>
              </w:rPr>
              <w:t>Units</w:t>
            </w:r>
          </w:p>
        </w:tc>
        <w:tc>
          <w:tcPr>
            <w:tcW w:w="2171" w:type="pct"/>
          </w:tcPr>
          <w:p w14:paraId="79809C2A" w14:textId="77777777" w:rsidR="00FA6F10" w:rsidRPr="00630129" w:rsidRDefault="00FA6F10">
            <w:pPr>
              <w:rPr>
                <w:b/>
                <w:sz w:val="22"/>
                <w:szCs w:val="22"/>
              </w:rPr>
            </w:pPr>
            <w:r w:rsidRPr="00630129">
              <w:rPr>
                <w:b/>
                <w:sz w:val="22"/>
                <w:szCs w:val="22"/>
              </w:rPr>
              <w:t>Definition</w:t>
            </w:r>
          </w:p>
        </w:tc>
      </w:tr>
      <w:tr w:rsidR="00FA6F10" w:rsidRPr="00630129" w14:paraId="6D716710" w14:textId="77777777" w:rsidTr="00A63BA8">
        <w:trPr>
          <w:cantSplit/>
        </w:trPr>
        <w:tc>
          <w:tcPr>
            <w:tcW w:w="1191" w:type="pct"/>
          </w:tcPr>
          <w:p w14:paraId="0AAE6419" w14:textId="77777777" w:rsidR="00FA6F10" w:rsidRPr="00630129" w:rsidRDefault="00FA6F10" w:rsidP="00FA6F10">
            <w:pPr>
              <w:pStyle w:val="EndnoteText"/>
              <w:rPr>
                <w:sz w:val="22"/>
                <w:szCs w:val="22"/>
              </w:rPr>
            </w:pPr>
          </w:p>
        </w:tc>
        <w:tc>
          <w:tcPr>
            <w:tcW w:w="1024" w:type="pct"/>
          </w:tcPr>
          <w:p w14:paraId="5F42D35E" w14:textId="77777777" w:rsidR="00FA6F10" w:rsidRPr="00630129" w:rsidRDefault="00FA6F10" w:rsidP="00FA6F10">
            <w:pPr>
              <w:pStyle w:val="EndnoteText"/>
              <w:rPr>
                <w:sz w:val="22"/>
                <w:szCs w:val="22"/>
              </w:rPr>
            </w:pPr>
            <w:r w:rsidRPr="00630129">
              <w:rPr>
                <w:sz w:val="22"/>
                <w:szCs w:val="22"/>
              </w:rPr>
              <w:t>K1</w:t>
            </w:r>
            <w:r w:rsidRPr="00630129">
              <w:rPr>
                <w:sz w:val="22"/>
                <w:szCs w:val="22"/>
                <w:vertAlign w:val="subscript"/>
              </w:rPr>
              <w:t>HPC</w:t>
            </w:r>
            <w:r w:rsidRPr="00630129">
              <w:rPr>
                <w:sz w:val="22"/>
                <w:szCs w:val="22"/>
              </w:rPr>
              <w:t xml:space="preserve"> and K2</w:t>
            </w:r>
            <w:r w:rsidRPr="00630129">
              <w:rPr>
                <w:sz w:val="22"/>
                <w:szCs w:val="22"/>
                <w:vertAlign w:val="subscript"/>
              </w:rPr>
              <w:t>HPC</w:t>
            </w:r>
          </w:p>
        </w:tc>
        <w:tc>
          <w:tcPr>
            <w:tcW w:w="613" w:type="pct"/>
          </w:tcPr>
          <w:p w14:paraId="21B3B782" w14:textId="77777777" w:rsidR="00FA6F10" w:rsidRPr="00630129" w:rsidRDefault="00FA6F10" w:rsidP="00FA6F10">
            <w:pPr>
              <w:pStyle w:val="EndnoteText"/>
              <w:rPr>
                <w:sz w:val="22"/>
                <w:szCs w:val="22"/>
              </w:rPr>
            </w:pPr>
            <w:r w:rsidRPr="00630129">
              <w:rPr>
                <w:sz w:val="22"/>
                <w:szCs w:val="22"/>
              </w:rPr>
              <w:t>Numbers</w:t>
            </w:r>
          </w:p>
        </w:tc>
        <w:tc>
          <w:tcPr>
            <w:tcW w:w="2171" w:type="pct"/>
          </w:tcPr>
          <w:p w14:paraId="0693C175" w14:textId="77777777" w:rsidR="00FA6F10" w:rsidRPr="00630129" w:rsidRDefault="00FA6F10" w:rsidP="00FA6F10">
            <w:pPr>
              <w:pStyle w:val="EndnoteText"/>
              <w:rPr>
                <w:sz w:val="22"/>
                <w:szCs w:val="22"/>
              </w:rPr>
            </w:pPr>
            <w:r w:rsidRPr="00630129">
              <w:rPr>
                <w:sz w:val="22"/>
                <w:szCs w:val="22"/>
              </w:rPr>
              <w:t>Baseload Profile Consumption during the ‘on’ and ‘off’ periods respectively of switched load Time Pattern Regimes for a valid Standard Settlement Configuration associated with switched load, determined pursuant to paragraph 6.6 of Annex S-2.</w:t>
            </w:r>
          </w:p>
        </w:tc>
      </w:tr>
      <w:tr w:rsidR="00FA6F10" w:rsidRPr="00630129" w14:paraId="53EF6C31"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328BCE8B" w14:textId="77777777" w:rsidR="00FA6F10" w:rsidRPr="00630129" w:rsidRDefault="00FA6F10" w:rsidP="00FA6F10">
            <w:pPr>
              <w:pStyle w:val="EndnoteText"/>
              <w:rPr>
                <w:sz w:val="22"/>
                <w:szCs w:val="22"/>
              </w:rPr>
            </w:pPr>
          </w:p>
        </w:tc>
        <w:tc>
          <w:tcPr>
            <w:tcW w:w="1024" w:type="pct"/>
            <w:tcBorders>
              <w:top w:val="single" w:sz="6" w:space="0" w:color="000000"/>
              <w:left w:val="single" w:sz="6" w:space="0" w:color="000000"/>
              <w:bottom w:val="single" w:sz="6" w:space="0" w:color="000000"/>
              <w:right w:val="single" w:sz="6" w:space="0" w:color="000000"/>
            </w:tcBorders>
          </w:tcPr>
          <w:p w14:paraId="387F7C8B" w14:textId="77777777" w:rsidR="00FA6F10" w:rsidRPr="00630129" w:rsidRDefault="00FA6F10" w:rsidP="00FA6F10">
            <w:pPr>
              <w:pStyle w:val="EndnoteText"/>
              <w:rPr>
                <w:sz w:val="22"/>
                <w:szCs w:val="22"/>
              </w:rPr>
            </w:pPr>
            <w:r w:rsidRPr="00630129">
              <w:rPr>
                <w:sz w:val="22"/>
                <w:szCs w:val="22"/>
              </w:rPr>
              <w:t>SIX_PM</w:t>
            </w:r>
          </w:p>
        </w:tc>
        <w:tc>
          <w:tcPr>
            <w:tcW w:w="613" w:type="pct"/>
            <w:tcBorders>
              <w:top w:val="single" w:sz="6" w:space="0" w:color="000000"/>
              <w:left w:val="single" w:sz="6" w:space="0" w:color="000000"/>
              <w:bottom w:val="single" w:sz="6" w:space="0" w:color="000000"/>
              <w:right w:val="single" w:sz="6" w:space="0" w:color="000000"/>
            </w:tcBorders>
          </w:tcPr>
          <w:p w14:paraId="0DD9B65E" w14:textId="77777777" w:rsidR="00FA6F10" w:rsidRPr="00630129" w:rsidRDefault="00FA6F10" w:rsidP="00FA6F10">
            <w:pPr>
              <w:pStyle w:val="EndnoteText"/>
              <w:rPr>
                <w:sz w:val="22"/>
                <w:szCs w:val="22"/>
              </w:rPr>
            </w:pPr>
            <w:r w:rsidRPr="00630129">
              <w:rPr>
                <w:sz w:val="22"/>
                <w:szCs w:val="22"/>
              </w:rPr>
              <w:t>Minutes</w:t>
            </w:r>
          </w:p>
        </w:tc>
        <w:tc>
          <w:tcPr>
            <w:tcW w:w="2171" w:type="pct"/>
            <w:tcBorders>
              <w:top w:val="single" w:sz="6" w:space="0" w:color="000000"/>
              <w:left w:val="single" w:sz="6" w:space="0" w:color="000000"/>
              <w:bottom w:val="single" w:sz="6" w:space="0" w:color="000000"/>
              <w:right w:val="single" w:sz="6" w:space="0" w:color="000000"/>
            </w:tcBorders>
          </w:tcPr>
          <w:p w14:paraId="7435EDC4" w14:textId="77777777" w:rsidR="00FA6F10" w:rsidRPr="00630129" w:rsidRDefault="00FA6F10" w:rsidP="00FA6F10">
            <w:pPr>
              <w:pStyle w:val="EndnoteText"/>
              <w:rPr>
                <w:sz w:val="22"/>
                <w:szCs w:val="22"/>
              </w:rPr>
            </w:pPr>
            <w:r w:rsidRPr="00630129">
              <w:rPr>
                <w:sz w:val="22"/>
                <w:szCs w:val="22"/>
              </w:rPr>
              <w:t>The time duration from the start of the Settlement Day to 1800 hours Greenwich Mean Time on that Settlement Day, determined pursuant to paragraph 6.5 of Annex S-2.</w:t>
            </w:r>
          </w:p>
        </w:tc>
      </w:tr>
      <w:tr w:rsidR="00D33E76" w:rsidRPr="00383F44" w14:paraId="140E338A" w14:textId="77777777" w:rsidTr="00A63BA8">
        <w:trPr>
          <w:cantSplit/>
        </w:trPr>
        <w:tc>
          <w:tcPr>
            <w:tcW w:w="1191" w:type="pct"/>
          </w:tcPr>
          <w:p w14:paraId="23167489" w14:textId="77777777" w:rsidR="00D33E76" w:rsidRPr="00630129" w:rsidRDefault="00D33E76" w:rsidP="00F60AD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383F44">
              <w:rPr>
                <w:rFonts w:ascii="Times New Roman" w:hAnsi="Times New Roman"/>
                <w:sz w:val="22"/>
                <w:szCs w:val="22"/>
              </w:rPr>
              <w:t>ABSVD BM Unit Delivered Volume</w:t>
            </w:r>
          </w:p>
        </w:tc>
        <w:tc>
          <w:tcPr>
            <w:tcW w:w="1024" w:type="pct"/>
          </w:tcPr>
          <w:p w14:paraId="2F81725A" w14:textId="77777777" w:rsidR="00D33E76" w:rsidRPr="00630129" w:rsidRDefault="00D33E76" w:rsidP="00F60AD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EE5386">
              <w:rPr>
                <w:rFonts w:ascii="Times New Roman" w:hAnsi="Times New Roman"/>
                <w:sz w:val="22"/>
                <w:szCs w:val="22"/>
              </w:rPr>
              <w:t>AQVMD</w:t>
            </w:r>
            <w:r w:rsidRPr="00EE5386">
              <w:rPr>
                <w:rFonts w:ascii="Times New Roman" w:hAnsi="Times New Roman"/>
                <w:sz w:val="22"/>
                <w:szCs w:val="22"/>
                <w:vertAlign w:val="subscript"/>
              </w:rPr>
              <w:t>NLKji</w:t>
            </w:r>
            <w:proofErr w:type="spellEnd"/>
          </w:p>
        </w:tc>
        <w:tc>
          <w:tcPr>
            <w:tcW w:w="613" w:type="pct"/>
          </w:tcPr>
          <w:p w14:paraId="140CC495" w14:textId="77777777" w:rsidR="00D33E76" w:rsidRPr="00630129" w:rsidRDefault="00D33E76" w:rsidP="00F60AD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383F44">
              <w:rPr>
                <w:rFonts w:ascii="Times New Roman" w:hAnsi="Times New Roman"/>
                <w:sz w:val="22"/>
                <w:szCs w:val="22"/>
              </w:rPr>
              <w:t>MWh</w:t>
            </w:r>
          </w:p>
        </w:tc>
        <w:tc>
          <w:tcPr>
            <w:tcW w:w="2171" w:type="pct"/>
          </w:tcPr>
          <w:p w14:paraId="48DE5275" w14:textId="77777777" w:rsidR="00D33E76" w:rsidRPr="00630129" w:rsidRDefault="00D33E76" w:rsidP="00F60AD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383F44">
              <w:rPr>
                <w:rFonts w:ascii="Times New Roman" w:hAnsi="Times New Roman"/>
                <w:sz w:val="22"/>
                <w:szCs w:val="22"/>
              </w:rPr>
              <w:t>The quantity determined in accordance with paragraph 7.1.1E of Annex S-2.</w:t>
            </w:r>
          </w:p>
        </w:tc>
      </w:tr>
      <w:tr w:rsidR="00FA6F10" w:rsidRPr="00630129" w14:paraId="677B2361" w14:textId="77777777" w:rsidTr="00A63BA8">
        <w:trPr>
          <w:cantSplit/>
        </w:trPr>
        <w:tc>
          <w:tcPr>
            <w:tcW w:w="1191" w:type="pct"/>
          </w:tcPr>
          <w:p w14:paraId="7FDBF139" w14:textId="77777777" w:rsidR="00FA6F10" w:rsidRPr="00630129" w:rsidRDefault="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Adjusted Interval</w:t>
            </w:r>
          </w:p>
        </w:tc>
        <w:tc>
          <w:tcPr>
            <w:tcW w:w="1024" w:type="pct"/>
          </w:tcPr>
          <w:p w14:paraId="33C20B79" w14:textId="77777777" w:rsidR="00FA6F10" w:rsidRPr="00630129" w:rsidRDefault="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363EECDC" w14:textId="77777777" w:rsidR="00FA6F10" w:rsidRPr="00630129" w:rsidRDefault="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27118DD6" w14:textId="77777777" w:rsidR="00FA6F10" w:rsidRPr="00630129" w:rsidRDefault="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 period of time associated with a particular Time Pattern Regime based on a time period for which the associated Settlement Registers record Metered Data and determined pursuant to paragraph 6.4 of Annex S-2.</w:t>
            </w:r>
          </w:p>
        </w:tc>
      </w:tr>
      <w:tr w:rsidR="00FA6F10" w:rsidRPr="00630129" w14:paraId="33627A56" w14:textId="77777777" w:rsidTr="00A63BA8">
        <w:trPr>
          <w:cantSplit/>
        </w:trPr>
        <w:tc>
          <w:tcPr>
            <w:tcW w:w="1191" w:type="pct"/>
          </w:tcPr>
          <w:p w14:paraId="7A093BDE"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Adjusted Interval End Time</w:t>
            </w:r>
          </w:p>
        </w:tc>
        <w:tc>
          <w:tcPr>
            <w:tcW w:w="1024" w:type="pct"/>
          </w:tcPr>
          <w:p w14:paraId="4F4AA89C"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7E335756"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12AA8950"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 time associated with a particular Time Pattern Regime and Standard Settlement Configuration determined pursuant to paragraph 6.4 of Annex S-2.</w:t>
            </w:r>
          </w:p>
        </w:tc>
      </w:tr>
      <w:tr w:rsidR="00FA6F10" w:rsidRPr="00630129" w14:paraId="4530D7D9" w14:textId="77777777" w:rsidTr="00A63BA8">
        <w:trPr>
          <w:cantSplit/>
        </w:trPr>
        <w:tc>
          <w:tcPr>
            <w:tcW w:w="1191" w:type="pct"/>
          </w:tcPr>
          <w:p w14:paraId="63FBF887"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Adjusted Interval Start Time</w:t>
            </w:r>
          </w:p>
        </w:tc>
        <w:tc>
          <w:tcPr>
            <w:tcW w:w="1024" w:type="pct"/>
          </w:tcPr>
          <w:p w14:paraId="547A313A"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6EBF6445"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3F76A1FA"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 time associated with a particular Time Pattern Regime and Standard Settlement Configuration determined pursuant to paragraph 6.4 of Annex S-2.</w:t>
            </w:r>
          </w:p>
        </w:tc>
      </w:tr>
      <w:tr w:rsidR="00FA6F10" w:rsidRPr="00630129" w14:paraId="590A6BA1"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7DD58C79" w14:textId="77777777" w:rsidR="00FA6F10" w:rsidRPr="00630129" w:rsidRDefault="00FA6F10" w:rsidP="00FA6F10">
            <w:pPr>
              <w:pStyle w:val="EndnoteText"/>
              <w:rPr>
                <w:sz w:val="22"/>
                <w:szCs w:val="22"/>
              </w:rPr>
            </w:pPr>
            <w:r w:rsidRPr="00630129">
              <w:rPr>
                <w:sz w:val="22"/>
                <w:szCs w:val="22"/>
              </w:rPr>
              <w:t>Allocated BM Unit’s Demand Disconnection Volume</w:t>
            </w:r>
          </w:p>
        </w:tc>
        <w:tc>
          <w:tcPr>
            <w:tcW w:w="1024" w:type="pct"/>
            <w:tcBorders>
              <w:top w:val="single" w:sz="6" w:space="0" w:color="000000"/>
              <w:left w:val="single" w:sz="6" w:space="0" w:color="000000"/>
              <w:bottom w:val="single" w:sz="6" w:space="0" w:color="000000"/>
              <w:right w:val="single" w:sz="6" w:space="0" w:color="000000"/>
            </w:tcBorders>
          </w:tcPr>
          <w:p w14:paraId="047B0CB3" w14:textId="77777777" w:rsidR="00FA6F10" w:rsidRPr="00630129" w:rsidRDefault="00FA6F10" w:rsidP="00FA6F10">
            <w:pPr>
              <w:pStyle w:val="EndnoteText"/>
              <w:rPr>
                <w:sz w:val="22"/>
                <w:szCs w:val="22"/>
              </w:rPr>
            </w:pPr>
            <w:proofErr w:type="spellStart"/>
            <w:r w:rsidRPr="00630129">
              <w:rPr>
                <w:sz w:val="22"/>
                <w:szCs w:val="22"/>
              </w:rPr>
              <w:t>ABDD</w:t>
            </w:r>
            <w:r w:rsidRPr="00630129">
              <w:rPr>
                <w:sz w:val="22"/>
                <w:szCs w:val="22"/>
                <w:vertAlign w:val="subscript"/>
              </w:rPr>
              <w:t>iaNLKj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7FA2E38C" w14:textId="77777777" w:rsidR="00FA6F10" w:rsidRPr="00630129" w:rsidRDefault="00FA6F10" w:rsidP="00FA6F10">
            <w:pPr>
              <w:pStyle w:val="EndnoteText"/>
              <w:rPr>
                <w:sz w:val="22"/>
                <w:szCs w:val="22"/>
              </w:rPr>
            </w:pPr>
            <w:r w:rsidRPr="00630129">
              <w:rPr>
                <w:sz w:val="22"/>
                <w:szCs w:val="22"/>
              </w:rPr>
              <w:t>kWh</w:t>
            </w:r>
          </w:p>
        </w:tc>
        <w:tc>
          <w:tcPr>
            <w:tcW w:w="2171" w:type="pct"/>
            <w:tcBorders>
              <w:top w:val="single" w:sz="6" w:space="0" w:color="000000"/>
              <w:left w:val="single" w:sz="6" w:space="0" w:color="000000"/>
              <w:bottom w:val="single" w:sz="6" w:space="0" w:color="000000"/>
              <w:right w:val="single" w:sz="6" w:space="0" w:color="000000"/>
            </w:tcBorders>
          </w:tcPr>
          <w:p w14:paraId="27007EBA" w14:textId="77777777" w:rsidR="00FA6F10" w:rsidRPr="00630129" w:rsidRDefault="00FA6F10" w:rsidP="00FA6F10">
            <w:pPr>
              <w:pStyle w:val="EndnoteText"/>
              <w:rPr>
                <w:sz w:val="22"/>
                <w:szCs w:val="22"/>
              </w:rPr>
            </w:pPr>
            <w:r w:rsidRPr="00630129">
              <w:rPr>
                <w:sz w:val="22"/>
                <w:szCs w:val="22"/>
              </w:rPr>
              <w:t>The half hour Demand Disconnection volume of a Metering System determined pursuant to paragraph 3.8 of Annex S-2.</w:t>
            </w:r>
          </w:p>
        </w:tc>
      </w:tr>
      <w:tr w:rsidR="00FA6F10" w:rsidRPr="00630129" w14:paraId="08D46FCE" w14:textId="77777777" w:rsidTr="00A63BA8">
        <w:trPr>
          <w:cantSplit/>
        </w:trPr>
        <w:tc>
          <w:tcPr>
            <w:tcW w:w="1191" w:type="pct"/>
          </w:tcPr>
          <w:p w14:paraId="7FCFD2F4"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Allocated BM Unit’s Metering System Metered Consumption</w:t>
            </w:r>
          </w:p>
        </w:tc>
        <w:tc>
          <w:tcPr>
            <w:tcW w:w="1024" w:type="pct"/>
          </w:tcPr>
          <w:p w14:paraId="62DCE82E"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630129">
              <w:rPr>
                <w:rFonts w:ascii="Times New Roman" w:hAnsi="Times New Roman"/>
                <w:sz w:val="22"/>
                <w:szCs w:val="22"/>
              </w:rPr>
              <w:t>ABMMMC</w:t>
            </w:r>
            <w:r w:rsidRPr="00630129">
              <w:rPr>
                <w:rFonts w:ascii="Times New Roman" w:hAnsi="Times New Roman"/>
                <w:sz w:val="22"/>
                <w:szCs w:val="22"/>
                <w:vertAlign w:val="subscript"/>
              </w:rPr>
              <w:t>iaNLKj</w:t>
            </w:r>
            <w:proofErr w:type="spellEnd"/>
          </w:p>
        </w:tc>
        <w:tc>
          <w:tcPr>
            <w:tcW w:w="613" w:type="pct"/>
          </w:tcPr>
          <w:p w14:paraId="4FC40B32"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kWh</w:t>
            </w:r>
          </w:p>
        </w:tc>
        <w:tc>
          <w:tcPr>
            <w:tcW w:w="2171" w:type="pct"/>
          </w:tcPr>
          <w:p w14:paraId="2EEE58E1"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The half hour metered Consumption of a Metering System determined pursuant to paragraph 3.6 of Annex S-2.</w:t>
            </w:r>
          </w:p>
        </w:tc>
      </w:tr>
      <w:tr w:rsidR="00FA6F10" w:rsidRPr="00630129" w14:paraId="3E616270" w14:textId="77777777" w:rsidTr="00A63BA8">
        <w:trPr>
          <w:cantSplit/>
        </w:trPr>
        <w:tc>
          <w:tcPr>
            <w:tcW w:w="1191" w:type="pct"/>
          </w:tcPr>
          <w:p w14:paraId="58D1F0ED"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lastRenderedPageBreak/>
              <w:t>Allocated Metering System Metered Consumption</w:t>
            </w:r>
          </w:p>
        </w:tc>
        <w:tc>
          <w:tcPr>
            <w:tcW w:w="1024" w:type="pct"/>
          </w:tcPr>
          <w:p w14:paraId="09148BB1" w14:textId="77777777" w:rsidR="00FA6F10" w:rsidRPr="00630129" w:rsidRDefault="00FA6F10" w:rsidP="00FA6F10">
            <w:pPr>
              <w:pStyle w:val="qmstext-cell"/>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AVMMC</w:t>
            </w:r>
            <w:r w:rsidRPr="00630129">
              <w:rPr>
                <w:rFonts w:ascii="Times New Roman" w:hAnsi="Times New Roman"/>
                <w:sz w:val="22"/>
                <w:szCs w:val="22"/>
                <w:vertAlign w:val="subscript"/>
              </w:rPr>
              <w:t>HZaNLKji</w:t>
            </w:r>
            <w:proofErr w:type="spellEnd"/>
          </w:p>
        </w:tc>
        <w:tc>
          <w:tcPr>
            <w:tcW w:w="613" w:type="pct"/>
          </w:tcPr>
          <w:p w14:paraId="743FC5BC" w14:textId="77777777" w:rsidR="00FA6F10" w:rsidRPr="00630129" w:rsidRDefault="00FA6F10" w:rsidP="00FA6F1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MWh</w:t>
            </w:r>
          </w:p>
        </w:tc>
        <w:tc>
          <w:tcPr>
            <w:tcW w:w="2171" w:type="pct"/>
          </w:tcPr>
          <w:p w14:paraId="4D91C597" w14:textId="77777777" w:rsidR="00FA6F10" w:rsidRPr="00630129" w:rsidRDefault="00FA6F10" w:rsidP="00FA6F10">
            <w:pPr>
              <w:pStyle w:val="qmstext-cell"/>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120"/>
              <w:rPr>
                <w:rFonts w:ascii="Times New Roman" w:hAnsi="Times New Roman"/>
                <w:sz w:val="22"/>
                <w:szCs w:val="22"/>
              </w:rPr>
            </w:pPr>
            <w:r w:rsidRPr="00630129">
              <w:rPr>
                <w:rFonts w:ascii="Times New Roman" w:hAnsi="Times New Roman"/>
                <w:sz w:val="22"/>
                <w:szCs w:val="22"/>
              </w:rPr>
              <w:t>The quantity determined in accordance with paragraph 3.9.2 of Annex S-2.</w:t>
            </w:r>
          </w:p>
          <w:p w14:paraId="6C561B47" w14:textId="77777777" w:rsidR="00FA6F10" w:rsidRPr="00630129" w:rsidRDefault="00FA6F10" w:rsidP="00CC6C5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i/>
                <w:sz w:val="22"/>
                <w:szCs w:val="22"/>
              </w:rPr>
              <w:t>The Allocated Metering System Metered Consumption is the Half Hourly metered volume per Settlement Period of SVA Metering Systems</w:t>
            </w:r>
          </w:p>
        </w:tc>
      </w:tr>
      <w:tr w:rsidR="00AF3E4D" w:rsidRPr="00630129" w14:paraId="0A8C85A1"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390A2F0A" w14:textId="142DE159" w:rsidR="00AF3E4D" w:rsidRPr="00630129" w:rsidRDefault="00AF3E4D" w:rsidP="00AF3E4D">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3C1A70">
              <w:rPr>
                <w:rFonts w:ascii="Times New Roman" w:hAnsi="Times New Roman"/>
                <w:sz w:val="22"/>
                <w:szCs w:val="22"/>
              </w:rPr>
              <w:t>Allocated Asset Metering System Metered Consumption</w:t>
            </w:r>
          </w:p>
        </w:tc>
        <w:tc>
          <w:tcPr>
            <w:tcW w:w="1024" w:type="pct"/>
            <w:tcBorders>
              <w:top w:val="single" w:sz="6" w:space="0" w:color="000000"/>
              <w:left w:val="single" w:sz="6" w:space="0" w:color="000000"/>
              <w:bottom w:val="single" w:sz="6" w:space="0" w:color="000000"/>
              <w:right w:val="single" w:sz="6" w:space="0" w:color="000000"/>
            </w:tcBorders>
          </w:tcPr>
          <w:p w14:paraId="56BB6FFE" w14:textId="77777777" w:rsidR="00AF3E4D" w:rsidRDefault="00AF3E4D" w:rsidP="00AF3E4D">
            <w:pPr>
              <w:autoSpaceDE w:val="0"/>
              <w:autoSpaceDN w:val="0"/>
              <w:rPr>
                <w:sz w:val="22"/>
                <w:lang w:eastAsia="en-GB"/>
              </w:rPr>
            </w:pPr>
            <w:proofErr w:type="spellStart"/>
            <w:r>
              <w:rPr>
                <w:szCs w:val="24"/>
              </w:rPr>
              <w:t>AAVMMC</w:t>
            </w:r>
            <w:r>
              <w:rPr>
                <w:szCs w:val="24"/>
                <w:vertAlign w:val="subscript"/>
              </w:rPr>
              <w:t>HNLKj</w:t>
            </w:r>
            <w:proofErr w:type="spellEnd"/>
          </w:p>
          <w:p w14:paraId="6FC4498C" w14:textId="77777777" w:rsidR="00AF3E4D" w:rsidRPr="00630129" w:rsidRDefault="00AF3E4D" w:rsidP="00AF3E4D">
            <w:pPr>
              <w:pStyle w:val="qmstext-cell"/>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
        </w:tc>
        <w:tc>
          <w:tcPr>
            <w:tcW w:w="613" w:type="pct"/>
            <w:tcBorders>
              <w:top w:val="single" w:sz="6" w:space="0" w:color="000000"/>
              <w:left w:val="single" w:sz="6" w:space="0" w:color="000000"/>
              <w:bottom w:val="single" w:sz="6" w:space="0" w:color="000000"/>
              <w:right w:val="single" w:sz="6" w:space="0" w:color="000000"/>
            </w:tcBorders>
          </w:tcPr>
          <w:p w14:paraId="58467DBD" w14:textId="77777777" w:rsidR="00AF3E4D" w:rsidRPr="00630129" w:rsidRDefault="00AF3E4D" w:rsidP="00AF3E4D">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sz w:val="22"/>
                <w:szCs w:val="22"/>
              </w:rPr>
              <w:t>kWh</w:t>
            </w:r>
          </w:p>
        </w:tc>
        <w:tc>
          <w:tcPr>
            <w:tcW w:w="2171" w:type="pct"/>
            <w:tcBorders>
              <w:top w:val="single" w:sz="6" w:space="0" w:color="000000"/>
              <w:left w:val="single" w:sz="6" w:space="0" w:color="000000"/>
              <w:bottom w:val="single" w:sz="6" w:space="0" w:color="000000"/>
              <w:right w:val="single" w:sz="6" w:space="0" w:color="000000"/>
            </w:tcBorders>
          </w:tcPr>
          <w:p w14:paraId="23529B7F" w14:textId="77777777" w:rsidR="00AF3E4D" w:rsidRPr="00630129" w:rsidRDefault="00AF3E4D" w:rsidP="00AF3E4D">
            <w:pPr>
              <w:pStyle w:val="qmstext-cell"/>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120"/>
              <w:rPr>
                <w:rFonts w:ascii="Times New Roman" w:hAnsi="Times New Roman"/>
                <w:sz w:val="22"/>
                <w:szCs w:val="22"/>
              </w:rPr>
            </w:pPr>
            <w:r w:rsidRPr="00630129">
              <w:rPr>
                <w:rFonts w:ascii="Times New Roman" w:hAnsi="Times New Roman"/>
                <w:sz w:val="22"/>
                <w:szCs w:val="22"/>
              </w:rPr>
              <w:t>The quantity determined in accordance with paragraph 3.9.2</w:t>
            </w:r>
            <w:r>
              <w:rPr>
                <w:rFonts w:ascii="Times New Roman" w:hAnsi="Times New Roman"/>
                <w:sz w:val="22"/>
                <w:szCs w:val="22"/>
              </w:rPr>
              <w:t>A</w:t>
            </w:r>
            <w:r w:rsidRPr="00630129">
              <w:rPr>
                <w:rFonts w:ascii="Times New Roman" w:hAnsi="Times New Roman"/>
                <w:sz w:val="22"/>
                <w:szCs w:val="22"/>
              </w:rPr>
              <w:t xml:space="preserve"> of Annex S-2.</w:t>
            </w:r>
          </w:p>
          <w:p w14:paraId="332416D4" w14:textId="77777777" w:rsidR="00AF3E4D" w:rsidRPr="00AF3E4D" w:rsidRDefault="00AF3E4D" w:rsidP="00AF3E4D">
            <w:pPr>
              <w:pStyle w:val="qmstext-cell"/>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120"/>
              <w:rPr>
                <w:rFonts w:ascii="Times New Roman" w:hAnsi="Times New Roman"/>
                <w:sz w:val="22"/>
                <w:szCs w:val="22"/>
              </w:rPr>
            </w:pPr>
            <w:r w:rsidRPr="00B841C4">
              <w:rPr>
                <w:rFonts w:ascii="Times New Roman" w:hAnsi="Times New Roman"/>
                <w:i/>
                <w:sz w:val="22"/>
                <w:szCs w:val="22"/>
              </w:rPr>
              <w:t>The Allocated Asset Metering System Metered Consumption is the Half Hourly metered volume per Settlement Period of Asset Metering Systems</w:t>
            </w:r>
          </w:p>
        </w:tc>
      </w:tr>
      <w:tr w:rsidR="009C5E54" w:rsidRPr="00630129" w14:paraId="4CBDB976"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718A1B1B" w14:textId="3F2ACC47" w:rsidR="009C5E54" w:rsidRPr="00630129" w:rsidRDefault="009C5E54" w:rsidP="009C5E54">
            <w:pPr>
              <w:pStyle w:val="EndnoteText"/>
              <w:rPr>
                <w:sz w:val="22"/>
                <w:szCs w:val="22"/>
              </w:rPr>
            </w:pPr>
            <w:r>
              <w:rPr>
                <w:sz w:val="22"/>
                <w:szCs w:val="22"/>
              </w:rPr>
              <w:t>Asset</w:t>
            </w:r>
            <w:r w:rsidRPr="00630129">
              <w:rPr>
                <w:sz w:val="22"/>
                <w:szCs w:val="22"/>
              </w:rPr>
              <w:t xml:space="preserve"> Metering System Metered Consumption</w:t>
            </w:r>
          </w:p>
        </w:tc>
        <w:tc>
          <w:tcPr>
            <w:tcW w:w="1024" w:type="pct"/>
            <w:tcBorders>
              <w:top w:val="single" w:sz="6" w:space="0" w:color="000000"/>
              <w:left w:val="single" w:sz="6" w:space="0" w:color="000000"/>
              <w:bottom w:val="single" w:sz="6" w:space="0" w:color="000000"/>
              <w:right w:val="single" w:sz="6" w:space="0" w:color="000000"/>
            </w:tcBorders>
          </w:tcPr>
          <w:p w14:paraId="5A3EE07B" w14:textId="5B64DD5C" w:rsidR="009C5E54" w:rsidRPr="00630129" w:rsidRDefault="009C5E54" w:rsidP="009C5E54">
            <w:pPr>
              <w:pStyle w:val="EndnoteText"/>
              <w:rPr>
                <w:sz w:val="22"/>
                <w:szCs w:val="22"/>
              </w:rPr>
            </w:pPr>
            <w:r>
              <w:rPr>
                <w:sz w:val="22"/>
                <w:szCs w:val="22"/>
              </w:rPr>
              <w:t>A</w:t>
            </w:r>
            <w:r w:rsidRPr="00630129">
              <w:rPr>
                <w:sz w:val="22"/>
                <w:szCs w:val="22"/>
              </w:rPr>
              <w:t>MMC</w:t>
            </w:r>
            <w:r>
              <w:rPr>
                <w:sz w:val="22"/>
                <w:szCs w:val="22"/>
                <w:vertAlign w:val="subscript"/>
              </w:rPr>
              <w:t xml:space="preserve"> </w:t>
            </w:r>
            <w:proofErr w:type="spellStart"/>
            <w:r w:rsidRPr="00630129">
              <w:rPr>
                <w:sz w:val="22"/>
                <w:szCs w:val="22"/>
                <w:vertAlign w:val="subscript"/>
              </w:rPr>
              <w:t>Kj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3936AA52" w14:textId="0797CDA6" w:rsidR="009C5E54" w:rsidRPr="00630129" w:rsidRDefault="009C5E54" w:rsidP="009C5E54">
            <w:pPr>
              <w:pStyle w:val="EndnoteText"/>
              <w:rPr>
                <w:sz w:val="22"/>
                <w:szCs w:val="22"/>
              </w:rPr>
            </w:pPr>
            <w:r w:rsidRPr="00630129">
              <w:rPr>
                <w:sz w:val="22"/>
                <w:szCs w:val="22"/>
              </w:rPr>
              <w:t>kWh</w:t>
            </w:r>
          </w:p>
        </w:tc>
        <w:tc>
          <w:tcPr>
            <w:tcW w:w="2171" w:type="pct"/>
            <w:tcBorders>
              <w:top w:val="single" w:sz="6" w:space="0" w:color="000000"/>
              <w:left w:val="single" w:sz="6" w:space="0" w:color="000000"/>
              <w:bottom w:val="single" w:sz="6" w:space="0" w:color="000000"/>
              <w:right w:val="single" w:sz="6" w:space="0" w:color="000000"/>
            </w:tcBorders>
          </w:tcPr>
          <w:p w14:paraId="0130EB40" w14:textId="65B8FD58" w:rsidR="009C5E54" w:rsidRPr="00630129" w:rsidRDefault="009C5E54" w:rsidP="009C5E54">
            <w:pPr>
              <w:pStyle w:val="EndnoteText"/>
              <w:rPr>
                <w:sz w:val="22"/>
                <w:szCs w:val="22"/>
              </w:rPr>
            </w:pPr>
            <w:r w:rsidRPr="00630129">
              <w:rPr>
                <w:sz w:val="22"/>
                <w:szCs w:val="22"/>
              </w:rPr>
              <w:t>The half hourly metered Consumption for a SVA Metering System, determined pursuant to paragraph 3.5 of Annex S-2.</w:t>
            </w:r>
          </w:p>
        </w:tc>
      </w:tr>
      <w:tr w:rsidR="002B4C1E" w:rsidRPr="00630129" w14:paraId="28905554"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6158EF49" w14:textId="67EB9B6E" w:rsidR="002B4C1E" w:rsidRPr="00630129" w:rsidRDefault="002B4C1E" w:rsidP="002B4C1E">
            <w:pPr>
              <w:pStyle w:val="EndnoteText"/>
              <w:rPr>
                <w:sz w:val="22"/>
                <w:szCs w:val="22"/>
              </w:rPr>
            </w:pPr>
            <w:r>
              <w:rPr>
                <w:sz w:val="22"/>
                <w:szCs w:val="22"/>
              </w:rPr>
              <w:t>Asset</w:t>
            </w:r>
            <w:r w:rsidRPr="00630129">
              <w:rPr>
                <w:sz w:val="22"/>
                <w:szCs w:val="22"/>
              </w:rPr>
              <w:t xml:space="preserve"> Metering System Metered Consumption</w:t>
            </w:r>
          </w:p>
        </w:tc>
        <w:tc>
          <w:tcPr>
            <w:tcW w:w="1024" w:type="pct"/>
            <w:tcBorders>
              <w:top w:val="single" w:sz="6" w:space="0" w:color="000000"/>
              <w:left w:val="single" w:sz="6" w:space="0" w:color="000000"/>
              <w:bottom w:val="single" w:sz="6" w:space="0" w:color="000000"/>
              <w:right w:val="single" w:sz="6" w:space="0" w:color="000000"/>
            </w:tcBorders>
          </w:tcPr>
          <w:p w14:paraId="2BE0ABBF" w14:textId="12A0D2F8" w:rsidR="002B4C1E" w:rsidRPr="00630129" w:rsidRDefault="002B4C1E" w:rsidP="002B4C1E">
            <w:pPr>
              <w:pStyle w:val="EndnoteText"/>
              <w:rPr>
                <w:sz w:val="22"/>
                <w:szCs w:val="22"/>
              </w:rPr>
            </w:pPr>
            <w:r>
              <w:rPr>
                <w:sz w:val="22"/>
                <w:szCs w:val="22"/>
              </w:rPr>
              <w:t>V</w:t>
            </w:r>
            <w:r w:rsidRPr="00630129">
              <w:rPr>
                <w:sz w:val="22"/>
                <w:szCs w:val="22"/>
              </w:rPr>
              <w:t>MMC</w:t>
            </w:r>
            <w:r>
              <w:rPr>
                <w:sz w:val="22"/>
                <w:szCs w:val="22"/>
                <w:vertAlign w:val="subscript"/>
              </w:rPr>
              <w:t xml:space="preserve"> </w:t>
            </w:r>
            <w:proofErr w:type="spellStart"/>
            <w:r w:rsidR="00B81A7B" w:rsidRPr="00B378DF">
              <w:rPr>
                <w:sz w:val="22"/>
                <w:szCs w:val="22"/>
                <w:vertAlign w:val="subscript"/>
              </w:rPr>
              <w:t>HNLK</w:t>
            </w:r>
            <w:r w:rsidR="00B81A7B">
              <w:rPr>
                <w:sz w:val="22"/>
                <w:szCs w:val="22"/>
              </w:rPr>
              <w:t>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65298B43" w14:textId="00A4C9D7" w:rsidR="002B4C1E" w:rsidRPr="00630129" w:rsidRDefault="0054697E" w:rsidP="0054697E">
            <w:pPr>
              <w:pStyle w:val="EndnoteText"/>
              <w:rPr>
                <w:sz w:val="22"/>
                <w:szCs w:val="22"/>
              </w:rPr>
            </w:pPr>
            <w:r>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05D0711F" w14:textId="0C28F7EC" w:rsidR="002B4C1E" w:rsidRPr="00630129" w:rsidRDefault="002B4C1E" w:rsidP="00B81A7B">
            <w:pPr>
              <w:pStyle w:val="EndnoteText"/>
              <w:rPr>
                <w:sz w:val="22"/>
                <w:szCs w:val="22"/>
              </w:rPr>
            </w:pPr>
            <w:r w:rsidRPr="00630129">
              <w:rPr>
                <w:sz w:val="22"/>
                <w:szCs w:val="22"/>
              </w:rPr>
              <w:t xml:space="preserve">The </w:t>
            </w:r>
            <w:r w:rsidR="00B81A7B">
              <w:rPr>
                <w:sz w:val="22"/>
                <w:szCs w:val="22"/>
              </w:rPr>
              <w:t>Metering System Metered</w:t>
            </w:r>
            <w:r w:rsidRPr="00630129">
              <w:rPr>
                <w:sz w:val="22"/>
                <w:szCs w:val="22"/>
              </w:rPr>
              <w:t xml:space="preserve"> Consumption for a</w:t>
            </w:r>
            <w:r w:rsidR="00B81A7B">
              <w:rPr>
                <w:sz w:val="22"/>
                <w:szCs w:val="22"/>
              </w:rPr>
              <w:t>n Asset</w:t>
            </w:r>
            <w:r w:rsidRPr="00630129">
              <w:rPr>
                <w:sz w:val="22"/>
                <w:szCs w:val="22"/>
              </w:rPr>
              <w:t xml:space="preserve"> Metering System, dete</w:t>
            </w:r>
            <w:r w:rsidR="00B81A7B">
              <w:rPr>
                <w:sz w:val="22"/>
                <w:szCs w:val="22"/>
              </w:rPr>
              <w:t>rmined pursuant to paragraph 7.1.1C</w:t>
            </w:r>
            <w:r w:rsidRPr="00630129">
              <w:rPr>
                <w:sz w:val="22"/>
                <w:szCs w:val="22"/>
              </w:rPr>
              <w:t xml:space="preserve"> of Annex S-2.</w:t>
            </w:r>
          </w:p>
        </w:tc>
      </w:tr>
      <w:tr w:rsidR="002B4C1E" w:rsidRPr="00630129" w14:paraId="70BEFAD4"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4BEF3752" w14:textId="77777777" w:rsidR="002B4C1E" w:rsidRPr="00630129" w:rsidRDefault="002B4C1E" w:rsidP="002B4C1E">
            <w:pPr>
              <w:pStyle w:val="EndnoteText"/>
              <w:rPr>
                <w:sz w:val="22"/>
                <w:szCs w:val="22"/>
              </w:rPr>
            </w:pPr>
            <w:r w:rsidRPr="00630129">
              <w:rPr>
                <w:sz w:val="22"/>
                <w:szCs w:val="22"/>
              </w:rPr>
              <w:t>Allocated Supplier’s Demand Disconnection Volume</w:t>
            </w:r>
          </w:p>
        </w:tc>
        <w:tc>
          <w:tcPr>
            <w:tcW w:w="1024" w:type="pct"/>
            <w:tcBorders>
              <w:top w:val="single" w:sz="6" w:space="0" w:color="000000"/>
              <w:left w:val="single" w:sz="6" w:space="0" w:color="000000"/>
              <w:bottom w:val="single" w:sz="6" w:space="0" w:color="000000"/>
              <w:right w:val="single" w:sz="6" w:space="0" w:color="000000"/>
            </w:tcBorders>
          </w:tcPr>
          <w:p w14:paraId="332A29B8" w14:textId="77777777" w:rsidR="002B4C1E" w:rsidRPr="00630129" w:rsidRDefault="002B4C1E" w:rsidP="002B4C1E">
            <w:pPr>
              <w:pStyle w:val="EndnoteText"/>
              <w:rPr>
                <w:sz w:val="22"/>
                <w:szCs w:val="22"/>
              </w:rPr>
            </w:pPr>
            <w:proofErr w:type="spellStart"/>
            <w:r w:rsidRPr="00630129">
              <w:rPr>
                <w:sz w:val="22"/>
                <w:szCs w:val="22"/>
              </w:rPr>
              <w:t>ASDD</w:t>
            </w:r>
            <w:r w:rsidRPr="00630129">
              <w:rPr>
                <w:sz w:val="22"/>
                <w:szCs w:val="22"/>
                <w:vertAlign w:val="subscript"/>
              </w:rPr>
              <w:t>HZaNLKj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738F4504" w14:textId="77777777" w:rsidR="002B4C1E" w:rsidRPr="00630129" w:rsidRDefault="002B4C1E" w:rsidP="002B4C1E">
            <w:pPr>
              <w:pStyle w:val="EndnoteText"/>
              <w:rPr>
                <w:sz w:val="22"/>
                <w:szCs w:val="22"/>
              </w:rPr>
            </w:pPr>
            <w:r w:rsidRPr="00630129">
              <w:rPr>
                <w:sz w:val="22"/>
                <w:szCs w:val="22"/>
              </w:rPr>
              <w:t>kWh</w:t>
            </w:r>
          </w:p>
        </w:tc>
        <w:tc>
          <w:tcPr>
            <w:tcW w:w="2171" w:type="pct"/>
            <w:tcBorders>
              <w:top w:val="single" w:sz="6" w:space="0" w:color="000000"/>
              <w:left w:val="single" w:sz="6" w:space="0" w:color="000000"/>
              <w:bottom w:val="single" w:sz="6" w:space="0" w:color="000000"/>
              <w:right w:val="single" w:sz="6" w:space="0" w:color="000000"/>
            </w:tcBorders>
          </w:tcPr>
          <w:p w14:paraId="5A57AE1A" w14:textId="77777777" w:rsidR="002B4C1E" w:rsidRPr="00630129" w:rsidRDefault="002B4C1E" w:rsidP="002B4C1E">
            <w:pPr>
              <w:pStyle w:val="EndnoteText"/>
              <w:rPr>
                <w:sz w:val="22"/>
                <w:szCs w:val="22"/>
              </w:rPr>
            </w:pPr>
            <w:r w:rsidRPr="00630129">
              <w:rPr>
                <w:sz w:val="22"/>
                <w:szCs w:val="22"/>
              </w:rPr>
              <w:t>The half hour Demand Disconnection volume of a SVA Metering System determined pursuant to paragraph 3.7 of Annex S-2.</w:t>
            </w:r>
          </w:p>
        </w:tc>
      </w:tr>
      <w:tr w:rsidR="002B4C1E" w:rsidRPr="00630129" w14:paraId="2873FCAA" w14:textId="77777777" w:rsidTr="00A63BA8">
        <w:trPr>
          <w:cantSplit/>
        </w:trPr>
        <w:tc>
          <w:tcPr>
            <w:tcW w:w="1191" w:type="pct"/>
          </w:tcPr>
          <w:p w14:paraId="69A9799E"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Allocated Supplier’s Metering System Metered Consumption</w:t>
            </w:r>
          </w:p>
        </w:tc>
        <w:tc>
          <w:tcPr>
            <w:tcW w:w="1024" w:type="pct"/>
          </w:tcPr>
          <w:p w14:paraId="25ABA41A"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630129">
              <w:rPr>
                <w:rFonts w:ascii="Times New Roman" w:hAnsi="Times New Roman"/>
                <w:sz w:val="22"/>
                <w:szCs w:val="22"/>
              </w:rPr>
              <w:t>ASMMC</w:t>
            </w:r>
            <w:r w:rsidRPr="00630129">
              <w:rPr>
                <w:rFonts w:ascii="Times New Roman" w:hAnsi="Times New Roman"/>
                <w:sz w:val="22"/>
                <w:szCs w:val="22"/>
                <w:vertAlign w:val="subscript"/>
              </w:rPr>
              <w:t>HZaNLKj</w:t>
            </w:r>
            <w:proofErr w:type="spellEnd"/>
          </w:p>
        </w:tc>
        <w:tc>
          <w:tcPr>
            <w:tcW w:w="613" w:type="pct"/>
          </w:tcPr>
          <w:p w14:paraId="44C33D08"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kWh</w:t>
            </w:r>
          </w:p>
        </w:tc>
        <w:tc>
          <w:tcPr>
            <w:tcW w:w="2171" w:type="pct"/>
          </w:tcPr>
          <w:p w14:paraId="11092F9B"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The half hour metered Consumption of a SVA Metering System determined pursuant to paragraph 3.5 of Annex S-2.</w:t>
            </w:r>
          </w:p>
        </w:tc>
      </w:tr>
      <w:tr w:rsidR="002B4C1E" w:rsidRPr="00630129" w14:paraId="04F9EB3D" w14:textId="77777777" w:rsidTr="00A63BA8">
        <w:trPr>
          <w:cantSplit/>
        </w:trPr>
        <w:tc>
          <w:tcPr>
            <w:tcW w:w="1191" w:type="pct"/>
          </w:tcPr>
          <w:p w14:paraId="04B0D7CF" w14:textId="54B6AA6B"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E24201">
              <w:rPr>
                <w:rFonts w:ascii="Times New Roman" w:hAnsi="Times New Roman"/>
                <w:sz w:val="22"/>
                <w:szCs w:val="22"/>
              </w:rPr>
              <w:t>AMSID Pair Data</w:t>
            </w:r>
          </w:p>
        </w:tc>
        <w:tc>
          <w:tcPr>
            <w:tcW w:w="1024" w:type="pct"/>
          </w:tcPr>
          <w:p w14:paraId="0F53CFB5"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1D540C60"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3C6B8C80" w14:textId="77777777" w:rsidR="002B4C1E" w:rsidRPr="00AF3E4D"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B841C4">
              <w:rPr>
                <w:rFonts w:ascii="Times New Roman" w:hAnsi="Times New Roman"/>
                <w:sz w:val="22"/>
                <w:szCs w:val="22"/>
              </w:rPr>
              <w:t>The data comprising the data items pursuant to Section S10.1A</w:t>
            </w:r>
          </w:p>
        </w:tc>
      </w:tr>
      <w:tr w:rsidR="002B4C1E" w:rsidRPr="00630129" w14:paraId="4EBBA11B" w14:textId="77777777" w:rsidTr="00A63BA8">
        <w:trPr>
          <w:cantSplit/>
        </w:trPr>
        <w:tc>
          <w:tcPr>
            <w:tcW w:w="1191" w:type="pct"/>
          </w:tcPr>
          <w:p w14:paraId="02C22362" w14:textId="7EB4B471" w:rsidR="002B4C1E"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E24201">
              <w:rPr>
                <w:rFonts w:ascii="Times New Roman" w:hAnsi="Times New Roman"/>
                <w:sz w:val="22"/>
                <w:szCs w:val="22"/>
              </w:rPr>
              <w:t>AMSID Pair Delivered Volume</w:t>
            </w:r>
          </w:p>
        </w:tc>
        <w:tc>
          <w:tcPr>
            <w:tcW w:w="1024" w:type="pct"/>
          </w:tcPr>
          <w:p w14:paraId="6CD41E1F"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Pr>
                <w:rFonts w:ascii="Times New Roman" w:hAnsi="Times New Roman"/>
                <w:sz w:val="22"/>
                <w:szCs w:val="22"/>
              </w:rPr>
              <w:t>AMPDV</w:t>
            </w:r>
            <w:r w:rsidRPr="00630129">
              <w:rPr>
                <w:rFonts w:ascii="Times New Roman" w:hAnsi="Times New Roman"/>
                <w:sz w:val="22"/>
                <w:szCs w:val="22"/>
                <w:vertAlign w:val="subscript"/>
              </w:rPr>
              <w:t>j</w:t>
            </w:r>
            <w:proofErr w:type="spellEnd"/>
          </w:p>
        </w:tc>
        <w:tc>
          <w:tcPr>
            <w:tcW w:w="613" w:type="pct"/>
          </w:tcPr>
          <w:p w14:paraId="20947BF5"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4C7C3F">
              <w:rPr>
                <w:rFonts w:ascii="Times New Roman" w:hAnsi="Times New Roman"/>
                <w:sz w:val="22"/>
                <w:szCs w:val="22"/>
              </w:rPr>
              <w:t>MWh</w:t>
            </w:r>
          </w:p>
        </w:tc>
        <w:tc>
          <w:tcPr>
            <w:tcW w:w="2171" w:type="pct"/>
          </w:tcPr>
          <w:p w14:paraId="7B6437BF" w14:textId="77777777" w:rsidR="002B4C1E" w:rsidRPr="00AF3E4D"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Pr>
                <w:rFonts w:ascii="Times New Roman" w:hAnsi="Times New Roman"/>
                <w:sz w:val="22"/>
                <w:szCs w:val="22"/>
              </w:rPr>
              <w:t>A</w:t>
            </w:r>
            <w:r w:rsidRPr="0036412D">
              <w:rPr>
                <w:rFonts w:ascii="Times New Roman" w:hAnsi="Times New Roman"/>
                <w:sz w:val="22"/>
                <w:szCs w:val="22"/>
              </w:rPr>
              <w:t xml:space="preserve">MSID Pair Delivered Volume is such volumes of Active Energy notified by the Virtual Lead Party </w:t>
            </w:r>
            <w:r>
              <w:rPr>
                <w:rFonts w:ascii="Times New Roman" w:hAnsi="Times New Roman"/>
                <w:sz w:val="22"/>
                <w:szCs w:val="22"/>
              </w:rPr>
              <w:t xml:space="preserve">in relation to an AMSID Pair and each Associated MSID Pair </w:t>
            </w:r>
            <w:r w:rsidRPr="0036412D">
              <w:rPr>
                <w:rFonts w:ascii="Times New Roman" w:hAnsi="Times New Roman"/>
                <w:sz w:val="22"/>
                <w:szCs w:val="22"/>
              </w:rPr>
              <w:t>for the purposes of aggregating Secondary BM Unit Supplier Delivered Volume (</w:t>
            </w:r>
            <w:proofErr w:type="spellStart"/>
            <w:r w:rsidRPr="0036412D">
              <w:rPr>
                <w:rFonts w:ascii="Times New Roman" w:hAnsi="Times New Roman"/>
                <w:sz w:val="22"/>
                <w:szCs w:val="22"/>
              </w:rPr>
              <w:t>VBMUSDV</w:t>
            </w:r>
            <w:r w:rsidRPr="0036412D">
              <w:rPr>
                <w:rFonts w:ascii="Times New Roman" w:hAnsi="Times New Roman"/>
                <w:sz w:val="22"/>
                <w:szCs w:val="22"/>
                <w:vertAlign w:val="subscript"/>
              </w:rPr>
              <w:t>iZj</w:t>
            </w:r>
            <w:proofErr w:type="spellEnd"/>
            <w:r w:rsidRPr="0036412D">
              <w:rPr>
                <w:rFonts w:ascii="Times New Roman" w:hAnsi="Times New Roman"/>
                <w:sz w:val="22"/>
                <w:szCs w:val="22"/>
              </w:rPr>
              <w:t>)</w:t>
            </w:r>
          </w:p>
        </w:tc>
      </w:tr>
      <w:tr w:rsidR="002B4C1E" w:rsidRPr="00630129" w14:paraId="18384245" w14:textId="77777777" w:rsidTr="00A63BA8">
        <w:trPr>
          <w:cantSplit/>
        </w:trPr>
        <w:tc>
          <w:tcPr>
            <w:tcW w:w="1191" w:type="pct"/>
          </w:tcPr>
          <w:p w14:paraId="0F20796E"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Alternative Average Fraction of Yearly Consumption</w:t>
            </w:r>
          </w:p>
        </w:tc>
        <w:tc>
          <w:tcPr>
            <w:tcW w:w="1024" w:type="pct"/>
          </w:tcPr>
          <w:p w14:paraId="6BDF24A9"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AAFYC</w:t>
            </w:r>
            <w:r w:rsidRPr="00630129">
              <w:rPr>
                <w:rFonts w:ascii="Times New Roman" w:hAnsi="Times New Roman"/>
                <w:sz w:val="22"/>
                <w:szCs w:val="22"/>
                <w:vertAlign w:val="subscript"/>
              </w:rPr>
              <w:t>HPC</w:t>
            </w:r>
          </w:p>
        </w:tc>
        <w:tc>
          <w:tcPr>
            <w:tcW w:w="613" w:type="pct"/>
          </w:tcPr>
          <w:p w14:paraId="6A8E4DF8"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7052168E"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 value set from time to time by the Panel for one or more multi</w:t>
            </w:r>
            <w:r w:rsidRPr="00630129">
              <w:rPr>
                <w:rFonts w:ascii="Times New Roman" w:hAnsi="Times New Roman"/>
                <w:sz w:val="22"/>
                <w:szCs w:val="22"/>
              </w:rPr>
              <w:noBreakHyphen/>
              <w:t>register Standard Settlement Configurations, and used in place of the corresponding Average Fraction of Yearly Consumption value for the purpose of calculating profile coefficients pursuant to paragraph 5.1 of Annex S-2.</w:t>
            </w:r>
          </w:p>
        </w:tc>
      </w:tr>
      <w:tr w:rsidR="002B4C1E" w:rsidRPr="00630129" w14:paraId="0B3AA06A" w14:textId="77777777" w:rsidTr="00A63BA8">
        <w:trPr>
          <w:cantSplit/>
        </w:trPr>
        <w:tc>
          <w:tcPr>
            <w:tcW w:w="1191" w:type="pct"/>
          </w:tcPr>
          <w:p w14:paraId="41530E22"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lastRenderedPageBreak/>
              <w:t>Analysis Class</w:t>
            </w:r>
          </w:p>
        </w:tc>
        <w:tc>
          <w:tcPr>
            <w:tcW w:w="1024" w:type="pct"/>
          </w:tcPr>
          <w:p w14:paraId="2A52099E"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2847AF04"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61120444"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 combination of Season Type and Day Type.</w:t>
            </w:r>
          </w:p>
        </w:tc>
      </w:tr>
      <w:tr w:rsidR="002B4C1E" w:rsidRPr="00630129" w14:paraId="59795166" w14:textId="77777777" w:rsidTr="00A63BA8">
        <w:trPr>
          <w:cantSplit/>
        </w:trPr>
        <w:tc>
          <w:tcPr>
            <w:tcW w:w="1191" w:type="pct"/>
          </w:tcPr>
          <w:p w14:paraId="6328B1B6"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Annual Fraction of Yearly Consumption Adjustment</w:t>
            </w:r>
          </w:p>
        </w:tc>
        <w:tc>
          <w:tcPr>
            <w:tcW w:w="1024" w:type="pct"/>
          </w:tcPr>
          <w:p w14:paraId="2B367D98"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AFYCA</w:t>
            </w:r>
            <w:r w:rsidRPr="00630129">
              <w:rPr>
                <w:rFonts w:ascii="Times New Roman" w:hAnsi="Times New Roman"/>
                <w:sz w:val="22"/>
                <w:szCs w:val="22"/>
                <w:vertAlign w:val="subscript"/>
              </w:rPr>
              <w:t>HPC</w:t>
            </w:r>
          </w:p>
        </w:tc>
        <w:tc>
          <w:tcPr>
            <w:tcW w:w="613" w:type="pct"/>
          </w:tcPr>
          <w:p w14:paraId="647CE7F7"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26DBCDF7" w14:textId="77777777" w:rsidR="002B4C1E" w:rsidRPr="00630129" w:rsidRDefault="002B4C1E" w:rsidP="002B4C1E">
            <w:pPr>
              <w:rPr>
                <w:sz w:val="22"/>
                <w:szCs w:val="22"/>
              </w:rPr>
            </w:pPr>
            <w:r w:rsidRPr="00630129">
              <w:rPr>
                <w:sz w:val="22"/>
                <w:szCs w:val="22"/>
              </w:rPr>
              <w:t>The difference due to rounding between unity and the sum of the Unadjusted Average Fraction of Yearly Consumption Values for a Standard Settlement Configuration and Profile Class within a GSP Group, determined pursuant to paragraph 5.1 of Annex S-2.</w:t>
            </w:r>
          </w:p>
        </w:tc>
      </w:tr>
      <w:tr w:rsidR="002B4C1E" w:rsidRPr="00630129" w14:paraId="33F049A0" w14:textId="77777777" w:rsidTr="00A63BA8">
        <w:trPr>
          <w:cantSplit/>
        </w:trPr>
        <w:tc>
          <w:tcPr>
            <w:tcW w:w="1191" w:type="pct"/>
          </w:tcPr>
          <w:p w14:paraId="1E3499A3"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Annualised Advance</w:t>
            </w:r>
          </w:p>
        </w:tc>
        <w:tc>
          <w:tcPr>
            <w:tcW w:w="1024" w:type="pct"/>
          </w:tcPr>
          <w:p w14:paraId="62F6C50D"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AA</w:t>
            </w:r>
            <w:r w:rsidRPr="00630129">
              <w:rPr>
                <w:rFonts w:ascii="Times New Roman" w:hAnsi="Times New Roman"/>
                <w:sz w:val="22"/>
                <w:szCs w:val="22"/>
                <w:vertAlign w:val="subscript"/>
              </w:rPr>
              <w:t>KR</w:t>
            </w:r>
          </w:p>
        </w:tc>
        <w:tc>
          <w:tcPr>
            <w:tcW w:w="613" w:type="pct"/>
          </w:tcPr>
          <w:p w14:paraId="2FF25E76"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kWh</w:t>
            </w:r>
          </w:p>
        </w:tc>
        <w:tc>
          <w:tcPr>
            <w:tcW w:w="2171" w:type="pct"/>
          </w:tcPr>
          <w:p w14:paraId="001EAD70"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An estimation of the Meter Advance on a Settlement Register over a period of a year determined pursuant to paragraph 4.3 of Annex S-2.</w:t>
            </w:r>
          </w:p>
        </w:tc>
      </w:tr>
      <w:tr w:rsidR="002B4C1E" w:rsidRPr="00630129" w14:paraId="69A98C39" w14:textId="77777777" w:rsidTr="00A63BA8">
        <w:trPr>
          <w:cantSplit/>
        </w:trPr>
        <w:tc>
          <w:tcPr>
            <w:tcW w:w="1191" w:type="pct"/>
          </w:tcPr>
          <w:p w14:paraId="244551D9"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Annualised Advance Adjustment Factor</w:t>
            </w:r>
          </w:p>
        </w:tc>
        <w:tc>
          <w:tcPr>
            <w:tcW w:w="1024" w:type="pct"/>
          </w:tcPr>
          <w:p w14:paraId="1261C814"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AAAF</w:t>
            </w:r>
            <w:r w:rsidRPr="00630129">
              <w:rPr>
                <w:rFonts w:ascii="Times New Roman" w:hAnsi="Times New Roman"/>
                <w:sz w:val="22"/>
                <w:szCs w:val="22"/>
                <w:vertAlign w:val="subscript"/>
              </w:rPr>
              <w:t>KR</w:t>
            </w:r>
          </w:p>
        </w:tc>
        <w:tc>
          <w:tcPr>
            <w:tcW w:w="613" w:type="pct"/>
          </w:tcPr>
          <w:p w14:paraId="4C455D5D"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Number</w:t>
            </w:r>
          </w:p>
        </w:tc>
        <w:tc>
          <w:tcPr>
            <w:tcW w:w="2171" w:type="pct"/>
          </w:tcPr>
          <w:p w14:paraId="1C1B982C"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 factor used in the determination of Estimated Annual Consumption and determined pursuant to paragraph 4.3 of Annex S-2.</w:t>
            </w:r>
          </w:p>
        </w:tc>
      </w:tr>
      <w:tr w:rsidR="002B4C1E" w:rsidRPr="00630129" w14:paraId="12C5E54E" w14:textId="77777777" w:rsidTr="00A63BA8">
        <w:trPr>
          <w:cantSplit/>
        </w:trPr>
        <w:tc>
          <w:tcPr>
            <w:tcW w:w="1191" w:type="pct"/>
          </w:tcPr>
          <w:p w14:paraId="28756869" w14:textId="757B50A1"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E24201">
              <w:rPr>
                <w:rFonts w:ascii="Times New Roman" w:hAnsi="Times New Roman"/>
                <w:sz w:val="22"/>
                <w:szCs w:val="22"/>
              </w:rPr>
              <w:t>Asset Meter Register Consumption</w:t>
            </w:r>
          </w:p>
        </w:tc>
        <w:tc>
          <w:tcPr>
            <w:tcW w:w="1024" w:type="pct"/>
          </w:tcPr>
          <w:p w14:paraId="3B3347BB" w14:textId="77777777" w:rsidR="002B4C1E" w:rsidRPr="00AF3E4D"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B841C4">
              <w:rPr>
                <w:rFonts w:ascii="Times New Roman" w:hAnsi="Times New Roman"/>
                <w:sz w:val="22"/>
                <w:szCs w:val="22"/>
              </w:rPr>
              <w:t>AMRC</w:t>
            </w:r>
            <w:r w:rsidRPr="00B841C4">
              <w:rPr>
                <w:rFonts w:ascii="Times New Roman" w:hAnsi="Times New Roman"/>
                <w:sz w:val="22"/>
                <w:szCs w:val="22"/>
                <w:vertAlign w:val="subscript"/>
              </w:rPr>
              <w:t>KJj</w:t>
            </w:r>
            <w:proofErr w:type="spellEnd"/>
          </w:p>
        </w:tc>
        <w:tc>
          <w:tcPr>
            <w:tcW w:w="613" w:type="pct"/>
          </w:tcPr>
          <w:p w14:paraId="3953A4A1"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kWh</w:t>
            </w:r>
          </w:p>
        </w:tc>
        <w:tc>
          <w:tcPr>
            <w:tcW w:w="2171" w:type="pct"/>
          </w:tcPr>
          <w:p w14:paraId="58DF8A34"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534D4">
              <w:rPr>
                <w:rFonts w:ascii="Times New Roman" w:hAnsi="Times New Roman"/>
                <w:sz w:val="22"/>
                <w:szCs w:val="22"/>
              </w:rPr>
              <w:t>The half hourly metered Consumption for a Settlement Register within a</w:t>
            </w:r>
            <w:r>
              <w:rPr>
                <w:rFonts w:ascii="Times New Roman" w:hAnsi="Times New Roman"/>
                <w:sz w:val="22"/>
                <w:szCs w:val="22"/>
              </w:rPr>
              <w:t>n</w:t>
            </w:r>
            <w:r w:rsidRPr="006534D4">
              <w:rPr>
                <w:rFonts w:ascii="Times New Roman" w:hAnsi="Times New Roman"/>
                <w:sz w:val="22"/>
                <w:szCs w:val="22"/>
              </w:rPr>
              <w:t xml:space="preserve"> </w:t>
            </w:r>
            <w:r>
              <w:rPr>
                <w:rFonts w:ascii="Times New Roman" w:hAnsi="Times New Roman"/>
                <w:sz w:val="22"/>
                <w:szCs w:val="22"/>
              </w:rPr>
              <w:t>Asset</w:t>
            </w:r>
            <w:r w:rsidRPr="006534D4">
              <w:rPr>
                <w:rFonts w:ascii="Times New Roman" w:hAnsi="Times New Roman"/>
                <w:sz w:val="22"/>
                <w:szCs w:val="22"/>
              </w:rPr>
              <w:t xml:space="preserve"> Metering System.</w:t>
            </w:r>
          </w:p>
        </w:tc>
      </w:tr>
      <w:tr w:rsidR="002B4C1E" w:rsidRPr="00630129" w14:paraId="6D7AE5F3" w14:textId="77777777" w:rsidTr="00A63BA8">
        <w:trPr>
          <w:cantSplit/>
        </w:trPr>
        <w:tc>
          <w:tcPr>
            <w:tcW w:w="1191" w:type="pct"/>
          </w:tcPr>
          <w:p w14:paraId="4CFA90D7"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 xml:space="preserve">Average Fraction Of Yearly Consumption </w:t>
            </w:r>
          </w:p>
        </w:tc>
        <w:tc>
          <w:tcPr>
            <w:tcW w:w="1024" w:type="pct"/>
          </w:tcPr>
          <w:p w14:paraId="43936817"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AFYC</w:t>
            </w:r>
            <w:r w:rsidRPr="00630129">
              <w:rPr>
                <w:rFonts w:ascii="Times New Roman" w:hAnsi="Times New Roman"/>
                <w:sz w:val="22"/>
                <w:szCs w:val="22"/>
                <w:vertAlign w:val="subscript"/>
              </w:rPr>
              <w:t>HPR</w:t>
            </w:r>
          </w:p>
        </w:tc>
        <w:tc>
          <w:tcPr>
            <w:tcW w:w="613" w:type="pct"/>
          </w:tcPr>
          <w:p w14:paraId="090D07FC"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53F808EA"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An estimate of the fraction of the total Consumption of a multi-register Standard Settlement Configuration attributable to each Settlement Register of that Standard Settlement Configuration pursuant to paragraph 4.4 of Annex S-2.</w:t>
            </w:r>
          </w:p>
        </w:tc>
      </w:tr>
      <w:tr w:rsidR="002B4C1E" w:rsidRPr="00630129" w14:paraId="748F793E" w14:textId="77777777" w:rsidTr="00A63BA8">
        <w:trPr>
          <w:cantSplit/>
        </w:trPr>
        <w:tc>
          <w:tcPr>
            <w:tcW w:w="1191" w:type="pct"/>
          </w:tcPr>
          <w:p w14:paraId="1ED49F87"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Base Fraction</w:t>
            </w:r>
          </w:p>
        </w:tc>
        <w:tc>
          <w:tcPr>
            <w:tcW w:w="1024" w:type="pct"/>
          </w:tcPr>
          <w:p w14:paraId="5DF8C872"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BF</w:t>
            </w:r>
            <w:r w:rsidRPr="00630129">
              <w:rPr>
                <w:rFonts w:ascii="Times New Roman" w:hAnsi="Times New Roman"/>
                <w:sz w:val="22"/>
                <w:szCs w:val="22"/>
                <w:vertAlign w:val="subscript"/>
              </w:rPr>
              <w:t>HPC</w:t>
            </w:r>
          </w:p>
        </w:tc>
        <w:tc>
          <w:tcPr>
            <w:tcW w:w="613" w:type="pct"/>
          </w:tcPr>
          <w:p w14:paraId="2C2EA56B"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Number</w:t>
            </w:r>
          </w:p>
        </w:tc>
        <w:tc>
          <w:tcPr>
            <w:tcW w:w="2171" w:type="pct"/>
          </w:tcPr>
          <w:p w14:paraId="148CB1D8"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The deemed proportion of Consumption for a Switched Load Metering System which is baseload determined pursuant to paragraph 6.6 of Annex S-2.</w:t>
            </w:r>
          </w:p>
        </w:tc>
      </w:tr>
      <w:tr w:rsidR="002B4C1E" w:rsidRPr="00630129" w14:paraId="51CE9F68" w14:textId="77777777" w:rsidTr="00A63BA8">
        <w:trPr>
          <w:cantSplit/>
        </w:trPr>
        <w:tc>
          <w:tcPr>
            <w:tcW w:w="1191" w:type="pct"/>
          </w:tcPr>
          <w:p w14:paraId="3F2B2E31"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Baseload Profile</w:t>
            </w:r>
          </w:p>
        </w:tc>
        <w:tc>
          <w:tcPr>
            <w:tcW w:w="1024" w:type="pct"/>
          </w:tcPr>
          <w:p w14:paraId="7697F294"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3E41FD5E"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04A1E4AE"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The half-hourly profile of all non-switched loads in the Profile Class population, including non-switched loads taken during the periods when the switched load registers are recording Consumption and referred to in paragraph 6.6 of Annex S-2.</w:t>
            </w:r>
          </w:p>
        </w:tc>
      </w:tr>
      <w:tr w:rsidR="002B4C1E" w:rsidRPr="00630129" w14:paraId="7804E10B" w14:textId="77777777" w:rsidTr="00A63BA8">
        <w:trPr>
          <w:cantSplit/>
        </w:trPr>
        <w:tc>
          <w:tcPr>
            <w:tcW w:w="1191" w:type="pct"/>
          </w:tcPr>
          <w:p w14:paraId="7EC63B75" w14:textId="77777777" w:rsidR="002B4C1E" w:rsidRPr="00630129" w:rsidRDefault="002B4C1E" w:rsidP="002B4C1E">
            <w:pPr>
              <w:rPr>
                <w:sz w:val="22"/>
                <w:szCs w:val="22"/>
              </w:rPr>
            </w:pPr>
            <w:r w:rsidRPr="00630129">
              <w:rPr>
                <w:sz w:val="22"/>
                <w:szCs w:val="22"/>
              </w:rPr>
              <w:t>Baseload Profile Coefficient</w:t>
            </w:r>
          </w:p>
        </w:tc>
        <w:tc>
          <w:tcPr>
            <w:tcW w:w="1024" w:type="pct"/>
          </w:tcPr>
          <w:p w14:paraId="15E4002D" w14:textId="77777777" w:rsidR="002B4C1E" w:rsidRPr="00630129" w:rsidRDefault="002B4C1E" w:rsidP="002B4C1E">
            <w:pPr>
              <w:rPr>
                <w:sz w:val="22"/>
                <w:szCs w:val="22"/>
              </w:rPr>
            </w:pPr>
            <w:proofErr w:type="spellStart"/>
            <w:r w:rsidRPr="00630129">
              <w:rPr>
                <w:sz w:val="22"/>
                <w:szCs w:val="22"/>
              </w:rPr>
              <w:t>BAP</w:t>
            </w:r>
            <w:r w:rsidRPr="00630129">
              <w:rPr>
                <w:sz w:val="22"/>
                <w:szCs w:val="22"/>
                <w:vertAlign w:val="subscript"/>
              </w:rPr>
              <w:t>HQj</w:t>
            </w:r>
            <w:proofErr w:type="spellEnd"/>
          </w:p>
        </w:tc>
        <w:tc>
          <w:tcPr>
            <w:tcW w:w="613" w:type="pct"/>
          </w:tcPr>
          <w:p w14:paraId="66E77DCF" w14:textId="77777777" w:rsidR="002B4C1E" w:rsidRPr="00630129" w:rsidRDefault="002B4C1E" w:rsidP="002B4C1E">
            <w:pPr>
              <w:rPr>
                <w:sz w:val="22"/>
                <w:szCs w:val="22"/>
              </w:rPr>
            </w:pPr>
            <w:r w:rsidRPr="00630129">
              <w:rPr>
                <w:sz w:val="22"/>
                <w:szCs w:val="22"/>
              </w:rPr>
              <w:t>Number</w:t>
            </w:r>
          </w:p>
        </w:tc>
        <w:tc>
          <w:tcPr>
            <w:tcW w:w="2171" w:type="pct"/>
          </w:tcPr>
          <w:p w14:paraId="59D268A1" w14:textId="77777777" w:rsidR="002B4C1E" w:rsidRPr="00630129" w:rsidRDefault="002B4C1E" w:rsidP="002B4C1E">
            <w:pPr>
              <w:rPr>
                <w:sz w:val="22"/>
                <w:szCs w:val="22"/>
              </w:rPr>
            </w:pPr>
            <w:r w:rsidRPr="00630129">
              <w:rPr>
                <w:sz w:val="22"/>
                <w:szCs w:val="22"/>
              </w:rPr>
              <w:t>One of the Basic Period Profile Coefficients which correspond to the Baseload Profile associated with a Switched Load Metering System, determined pursuant to paragraph 6.6 of Annex S-2.</w:t>
            </w:r>
          </w:p>
        </w:tc>
      </w:tr>
      <w:tr w:rsidR="002B4C1E" w:rsidRPr="00630129" w14:paraId="439F1E4D" w14:textId="77777777" w:rsidTr="00A63BA8">
        <w:trPr>
          <w:cantSplit/>
        </w:trPr>
        <w:tc>
          <w:tcPr>
            <w:tcW w:w="1191" w:type="pct"/>
          </w:tcPr>
          <w:p w14:paraId="6E3A6D29"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lastRenderedPageBreak/>
              <w:t>Basic Period Profile Coefficient</w:t>
            </w:r>
          </w:p>
        </w:tc>
        <w:tc>
          <w:tcPr>
            <w:tcW w:w="1024" w:type="pct"/>
          </w:tcPr>
          <w:p w14:paraId="527ABC00"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630129">
              <w:rPr>
                <w:rFonts w:ascii="Times New Roman" w:hAnsi="Times New Roman"/>
                <w:sz w:val="22"/>
                <w:szCs w:val="22"/>
              </w:rPr>
              <w:t>P</w:t>
            </w:r>
            <w:r w:rsidRPr="00630129">
              <w:rPr>
                <w:rFonts w:ascii="Times New Roman" w:hAnsi="Times New Roman"/>
                <w:sz w:val="22"/>
                <w:szCs w:val="22"/>
                <w:vertAlign w:val="subscript"/>
              </w:rPr>
              <w:t>HQj</w:t>
            </w:r>
            <w:proofErr w:type="spellEnd"/>
          </w:p>
        </w:tc>
        <w:tc>
          <w:tcPr>
            <w:tcW w:w="613" w:type="pct"/>
          </w:tcPr>
          <w:p w14:paraId="498B1A73"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Number</w:t>
            </w:r>
          </w:p>
        </w:tc>
        <w:tc>
          <w:tcPr>
            <w:tcW w:w="2171" w:type="pct"/>
          </w:tcPr>
          <w:p w14:paraId="78828E6F"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 number determined pursuant to paragraph 6.5 of Annex S-2 and representing the fraction of annual Consumption in a given Settlement Period for a particular profile.</w:t>
            </w:r>
          </w:p>
        </w:tc>
      </w:tr>
      <w:tr w:rsidR="002B4C1E" w:rsidRPr="00630129" w14:paraId="22D9CC1A"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4A5A520E" w14:textId="77777777" w:rsidR="002B4C1E" w:rsidRPr="00630129" w:rsidRDefault="002B4C1E" w:rsidP="002B4C1E">
            <w:pPr>
              <w:pStyle w:val="EndnoteText"/>
              <w:rPr>
                <w:sz w:val="22"/>
                <w:szCs w:val="22"/>
              </w:rPr>
            </w:pPr>
            <w:r w:rsidRPr="00630129">
              <w:rPr>
                <w:sz w:val="22"/>
                <w:szCs w:val="22"/>
              </w:rPr>
              <w:t>BM Unit Allocated Demand Disconnection Volume</w:t>
            </w:r>
          </w:p>
        </w:tc>
        <w:tc>
          <w:tcPr>
            <w:tcW w:w="1024" w:type="pct"/>
            <w:tcBorders>
              <w:top w:val="single" w:sz="6" w:space="0" w:color="000000"/>
              <w:left w:val="single" w:sz="6" w:space="0" w:color="000000"/>
              <w:bottom w:val="single" w:sz="6" w:space="0" w:color="000000"/>
              <w:right w:val="single" w:sz="6" w:space="0" w:color="000000"/>
            </w:tcBorders>
          </w:tcPr>
          <w:p w14:paraId="060AB403" w14:textId="77777777" w:rsidR="002B4C1E" w:rsidRPr="00630129" w:rsidRDefault="002B4C1E" w:rsidP="002B4C1E">
            <w:pPr>
              <w:pStyle w:val="EndnoteText"/>
              <w:rPr>
                <w:sz w:val="22"/>
                <w:szCs w:val="22"/>
              </w:rPr>
            </w:pPr>
            <w:proofErr w:type="spellStart"/>
            <w:r w:rsidRPr="00630129">
              <w:rPr>
                <w:sz w:val="22"/>
                <w:szCs w:val="22"/>
              </w:rPr>
              <w:t>BMUADDV</w:t>
            </w:r>
            <w:r w:rsidRPr="00630129">
              <w:rPr>
                <w:sz w:val="22"/>
                <w:szCs w:val="22"/>
                <w:vertAlign w:val="subscript"/>
              </w:rPr>
              <w:t>ij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63A89128" w14:textId="77777777" w:rsidR="002B4C1E" w:rsidRPr="00630129" w:rsidRDefault="002B4C1E" w:rsidP="002B4C1E">
            <w:pPr>
              <w:pStyle w:val="EndnoteText"/>
              <w:rPr>
                <w:sz w:val="22"/>
                <w:szCs w:val="22"/>
              </w:rPr>
            </w:pPr>
            <w:r w:rsidRPr="00630129">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54D5A2F7" w14:textId="77777777" w:rsidR="002B4C1E" w:rsidRPr="00630129" w:rsidRDefault="002B4C1E" w:rsidP="002B4C1E">
            <w:pPr>
              <w:pStyle w:val="EndnoteText"/>
              <w:rPr>
                <w:sz w:val="22"/>
                <w:szCs w:val="22"/>
              </w:rPr>
            </w:pPr>
            <w:r w:rsidRPr="00630129">
              <w:rPr>
                <w:sz w:val="22"/>
                <w:szCs w:val="22"/>
              </w:rPr>
              <w:t>The disconnection volume per Settlement Period for a Supplier BM Unit determined pursuant to paragraph 9.6.1A of Annex S-2.</w:t>
            </w:r>
          </w:p>
        </w:tc>
      </w:tr>
      <w:tr w:rsidR="002B4C1E" w:rsidRPr="00630129" w14:paraId="5869BB88" w14:textId="77777777" w:rsidTr="00A63BA8">
        <w:trPr>
          <w:cantSplit/>
        </w:trPr>
        <w:tc>
          <w:tcPr>
            <w:tcW w:w="1191" w:type="pct"/>
          </w:tcPr>
          <w:p w14:paraId="1877CA47"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BM Unit Allocated Demand Volume</w:t>
            </w:r>
          </w:p>
        </w:tc>
        <w:tc>
          <w:tcPr>
            <w:tcW w:w="1024" w:type="pct"/>
          </w:tcPr>
          <w:p w14:paraId="4697CE8C"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630129">
              <w:rPr>
                <w:rFonts w:ascii="Times New Roman" w:hAnsi="Times New Roman"/>
                <w:sz w:val="22"/>
                <w:szCs w:val="22"/>
              </w:rPr>
              <w:t>BMUADV</w:t>
            </w:r>
            <w:r w:rsidRPr="00630129">
              <w:rPr>
                <w:rFonts w:ascii="Times New Roman" w:hAnsi="Times New Roman"/>
                <w:sz w:val="22"/>
                <w:szCs w:val="22"/>
                <w:vertAlign w:val="subscript"/>
              </w:rPr>
              <w:t>ij</w:t>
            </w:r>
            <w:proofErr w:type="spellEnd"/>
          </w:p>
        </w:tc>
        <w:tc>
          <w:tcPr>
            <w:tcW w:w="613" w:type="pct"/>
          </w:tcPr>
          <w:p w14:paraId="48DBB902"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MWh</w:t>
            </w:r>
          </w:p>
        </w:tc>
        <w:tc>
          <w:tcPr>
            <w:tcW w:w="2171" w:type="pct"/>
          </w:tcPr>
          <w:p w14:paraId="30556E00"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The energy volume per Settlement Period for a Supplier BM Unit determined pursuant to paragraph 9.6.1 of Annex S-2.</w:t>
            </w:r>
          </w:p>
        </w:tc>
      </w:tr>
      <w:tr w:rsidR="002B4C1E" w:rsidRPr="00630129" w14:paraId="7F61432E"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6B4C3FD3" w14:textId="77777777" w:rsidR="002B4C1E" w:rsidRPr="00630129" w:rsidRDefault="002B4C1E" w:rsidP="002B4C1E">
            <w:pPr>
              <w:pStyle w:val="EndnoteText"/>
              <w:rPr>
                <w:sz w:val="22"/>
                <w:szCs w:val="22"/>
              </w:rPr>
            </w:pPr>
            <w:r w:rsidRPr="00630129">
              <w:rPr>
                <w:sz w:val="22"/>
                <w:szCs w:val="22"/>
              </w:rPr>
              <w:t>BM Unit Disconnection Matrix</w:t>
            </w:r>
          </w:p>
        </w:tc>
        <w:tc>
          <w:tcPr>
            <w:tcW w:w="1024" w:type="pct"/>
            <w:tcBorders>
              <w:top w:val="single" w:sz="6" w:space="0" w:color="000000"/>
              <w:left w:val="single" w:sz="6" w:space="0" w:color="000000"/>
              <w:bottom w:val="single" w:sz="6" w:space="0" w:color="000000"/>
              <w:right w:val="single" w:sz="6" w:space="0" w:color="000000"/>
            </w:tcBorders>
          </w:tcPr>
          <w:p w14:paraId="67395F50" w14:textId="77777777" w:rsidR="002B4C1E" w:rsidRPr="00630129" w:rsidRDefault="002B4C1E" w:rsidP="002B4C1E">
            <w:pPr>
              <w:pStyle w:val="EndnoteText"/>
              <w:rPr>
                <w:sz w:val="22"/>
                <w:szCs w:val="22"/>
              </w:rPr>
            </w:pPr>
            <w:proofErr w:type="spellStart"/>
            <w:r w:rsidRPr="00630129">
              <w:rPr>
                <w:sz w:val="22"/>
                <w:szCs w:val="22"/>
              </w:rPr>
              <w:t>BMDM</w:t>
            </w:r>
            <w:r w:rsidRPr="00630129">
              <w:rPr>
                <w:sz w:val="22"/>
                <w:szCs w:val="22"/>
                <w:vertAlign w:val="subscript"/>
              </w:rPr>
              <w:t>iaLPR</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1F0A5C00" w14:textId="77777777" w:rsidR="002B4C1E" w:rsidRPr="00630129" w:rsidRDefault="002B4C1E" w:rsidP="002B4C1E">
            <w:pPr>
              <w:pStyle w:val="EndnoteText"/>
              <w:rPr>
                <w:sz w:val="22"/>
                <w:szCs w:val="22"/>
              </w:rPr>
            </w:pPr>
          </w:p>
        </w:tc>
        <w:tc>
          <w:tcPr>
            <w:tcW w:w="2171" w:type="pct"/>
            <w:tcBorders>
              <w:top w:val="single" w:sz="6" w:space="0" w:color="000000"/>
              <w:left w:val="single" w:sz="6" w:space="0" w:color="000000"/>
              <w:bottom w:val="single" w:sz="6" w:space="0" w:color="000000"/>
              <w:right w:val="single" w:sz="6" w:space="0" w:color="000000"/>
            </w:tcBorders>
          </w:tcPr>
          <w:p w14:paraId="6B7840F7" w14:textId="77777777" w:rsidR="002B4C1E" w:rsidRPr="00630129" w:rsidRDefault="002B4C1E" w:rsidP="002B4C1E">
            <w:pPr>
              <w:pStyle w:val="EndnoteText"/>
              <w:rPr>
                <w:sz w:val="22"/>
                <w:szCs w:val="22"/>
              </w:rPr>
            </w:pPr>
            <w:r w:rsidRPr="00630129">
              <w:rPr>
                <w:sz w:val="22"/>
                <w:szCs w:val="22"/>
              </w:rPr>
              <w:t>A matrix of data as determined pursuant to paragraph 8.2 of Annex S-2.</w:t>
            </w:r>
          </w:p>
        </w:tc>
      </w:tr>
      <w:tr w:rsidR="002B4C1E" w:rsidRPr="00630129" w14:paraId="49ABE7C6" w14:textId="77777777" w:rsidTr="00A63BA8">
        <w:trPr>
          <w:cantSplit/>
        </w:trPr>
        <w:tc>
          <w:tcPr>
            <w:tcW w:w="1191" w:type="pct"/>
          </w:tcPr>
          <w:p w14:paraId="515B3ADD"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BM Unit Purchase Matrix</w:t>
            </w:r>
          </w:p>
        </w:tc>
        <w:tc>
          <w:tcPr>
            <w:tcW w:w="1024" w:type="pct"/>
          </w:tcPr>
          <w:p w14:paraId="33EE1391"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630129">
              <w:rPr>
                <w:rFonts w:ascii="Times New Roman" w:hAnsi="Times New Roman"/>
                <w:sz w:val="22"/>
                <w:szCs w:val="22"/>
              </w:rPr>
              <w:t>BMPM</w:t>
            </w:r>
            <w:r w:rsidRPr="00630129">
              <w:rPr>
                <w:rFonts w:ascii="Times New Roman" w:hAnsi="Times New Roman"/>
                <w:sz w:val="22"/>
                <w:szCs w:val="22"/>
                <w:vertAlign w:val="subscript"/>
              </w:rPr>
              <w:t>iaLPR</w:t>
            </w:r>
            <w:proofErr w:type="spellEnd"/>
          </w:p>
        </w:tc>
        <w:tc>
          <w:tcPr>
            <w:tcW w:w="613" w:type="pct"/>
          </w:tcPr>
          <w:p w14:paraId="4F716F00"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4DBC3E39"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 matrix of data as determined pursuant to paragraph 8.1 of Annex S-2.</w:t>
            </w:r>
          </w:p>
        </w:tc>
      </w:tr>
      <w:tr w:rsidR="002B4C1E" w:rsidRPr="00630129" w14:paraId="52233D3A"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62E77351" w14:textId="77777777" w:rsidR="002B4C1E" w:rsidRPr="00630129" w:rsidRDefault="002B4C1E" w:rsidP="002B4C1E">
            <w:pPr>
              <w:pStyle w:val="EndnoteText"/>
              <w:rPr>
                <w:sz w:val="22"/>
                <w:szCs w:val="22"/>
              </w:rPr>
            </w:pPr>
            <w:r w:rsidRPr="00630129">
              <w:rPr>
                <w:sz w:val="22"/>
                <w:szCs w:val="22"/>
              </w:rPr>
              <w:t>BM Unit’s Demand Disconnection Volume</w:t>
            </w:r>
          </w:p>
        </w:tc>
        <w:tc>
          <w:tcPr>
            <w:tcW w:w="1024" w:type="pct"/>
            <w:tcBorders>
              <w:top w:val="single" w:sz="6" w:space="0" w:color="000000"/>
              <w:left w:val="single" w:sz="6" w:space="0" w:color="000000"/>
              <w:bottom w:val="single" w:sz="6" w:space="0" w:color="000000"/>
              <w:right w:val="single" w:sz="6" w:space="0" w:color="000000"/>
            </w:tcBorders>
          </w:tcPr>
          <w:p w14:paraId="643FC2D7" w14:textId="77777777" w:rsidR="002B4C1E" w:rsidRPr="00630129" w:rsidRDefault="002B4C1E" w:rsidP="002B4C1E">
            <w:pPr>
              <w:pStyle w:val="EndnoteText"/>
              <w:rPr>
                <w:sz w:val="22"/>
                <w:szCs w:val="22"/>
              </w:rPr>
            </w:pPr>
            <w:proofErr w:type="spellStart"/>
            <w:r w:rsidRPr="00630129">
              <w:rPr>
                <w:sz w:val="22"/>
                <w:szCs w:val="22"/>
              </w:rPr>
              <w:t>BMDD</w:t>
            </w:r>
            <w:r w:rsidRPr="00630129">
              <w:rPr>
                <w:sz w:val="22"/>
                <w:szCs w:val="22"/>
                <w:vertAlign w:val="subscript"/>
              </w:rPr>
              <w:t>iaNj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7D2298D4" w14:textId="77777777" w:rsidR="002B4C1E" w:rsidRPr="00630129" w:rsidRDefault="002B4C1E" w:rsidP="002B4C1E">
            <w:pPr>
              <w:pStyle w:val="EndnoteText"/>
              <w:rPr>
                <w:sz w:val="22"/>
                <w:szCs w:val="22"/>
              </w:rPr>
            </w:pPr>
            <w:r w:rsidRPr="00630129">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334DFE58" w14:textId="77777777" w:rsidR="002B4C1E" w:rsidRPr="00630129" w:rsidRDefault="002B4C1E" w:rsidP="002B4C1E">
            <w:pPr>
              <w:pStyle w:val="EndnoteText"/>
              <w:rPr>
                <w:sz w:val="22"/>
                <w:szCs w:val="22"/>
              </w:rPr>
            </w:pPr>
            <w:r w:rsidRPr="00630129">
              <w:rPr>
                <w:sz w:val="22"/>
                <w:szCs w:val="22"/>
              </w:rPr>
              <w:t>The half hourly Demand Disconnection volume, determined by a Half Hourly Data Aggregator pursuant to paragraph 3.8 of Annex S-2, or by the SVAA pursuant to paragraph 7.1 of Annex S-2.</w:t>
            </w:r>
          </w:p>
        </w:tc>
      </w:tr>
      <w:tr w:rsidR="002B4C1E" w:rsidRPr="00630129" w14:paraId="014A0AD9"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2CF0A9F2" w14:textId="77777777" w:rsidR="002B4C1E" w:rsidRPr="00630129" w:rsidRDefault="002B4C1E" w:rsidP="002B4C1E">
            <w:pPr>
              <w:pStyle w:val="EndnoteText"/>
              <w:rPr>
                <w:sz w:val="22"/>
                <w:szCs w:val="22"/>
              </w:rPr>
            </w:pPr>
            <w:r w:rsidRPr="00630129">
              <w:rPr>
                <w:sz w:val="22"/>
                <w:szCs w:val="22"/>
              </w:rPr>
              <w:t>BM Unit’s Demand Disconnection Volume (Losses)</w:t>
            </w:r>
          </w:p>
        </w:tc>
        <w:tc>
          <w:tcPr>
            <w:tcW w:w="1024" w:type="pct"/>
            <w:tcBorders>
              <w:top w:val="single" w:sz="6" w:space="0" w:color="000000"/>
              <w:left w:val="single" w:sz="6" w:space="0" w:color="000000"/>
              <w:bottom w:val="single" w:sz="6" w:space="0" w:color="000000"/>
              <w:right w:val="single" w:sz="6" w:space="0" w:color="000000"/>
            </w:tcBorders>
          </w:tcPr>
          <w:p w14:paraId="27B47485" w14:textId="77777777" w:rsidR="002B4C1E" w:rsidRPr="00630129" w:rsidRDefault="002B4C1E" w:rsidP="002B4C1E">
            <w:pPr>
              <w:pStyle w:val="EndnoteText"/>
              <w:rPr>
                <w:sz w:val="22"/>
                <w:szCs w:val="22"/>
              </w:rPr>
            </w:pPr>
            <w:proofErr w:type="spellStart"/>
            <w:r w:rsidRPr="00630129">
              <w:rPr>
                <w:sz w:val="22"/>
                <w:szCs w:val="22"/>
              </w:rPr>
              <w:t>BMDDL</w:t>
            </w:r>
            <w:r w:rsidRPr="00630129">
              <w:rPr>
                <w:sz w:val="22"/>
                <w:szCs w:val="22"/>
                <w:vertAlign w:val="subscript"/>
              </w:rPr>
              <w:t>iaNj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50E6D05B" w14:textId="77777777" w:rsidR="002B4C1E" w:rsidRPr="00630129" w:rsidRDefault="002B4C1E" w:rsidP="002B4C1E">
            <w:pPr>
              <w:pStyle w:val="EndnoteText"/>
              <w:rPr>
                <w:sz w:val="22"/>
                <w:szCs w:val="22"/>
              </w:rPr>
            </w:pPr>
            <w:r w:rsidRPr="00630129">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41D41C2F" w14:textId="77777777" w:rsidR="002B4C1E" w:rsidRPr="00630129" w:rsidRDefault="002B4C1E" w:rsidP="002B4C1E">
            <w:pPr>
              <w:pStyle w:val="EndnoteText"/>
              <w:rPr>
                <w:sz w:val="22"/>
                <w:szCs w:val="22"/>
              </w:rPr>
            </w:pPr>
            <w:r w:rsidRPr="00630129">
              <w:rPr>
                <w:sz w:val="22"/>
                <w:szCs w:val="22"/>
              </w:rPr>
              <w:t>The line losses determined by a Half Hourly Data Aggregator as resulting from the BM Unit’s Demand Disconnection Volume pursuant to paragraph 3.8 of Annex S-2, or by the SVAA pursuant to paragraph 7.2 of Annex S-2.</w:t>
            </w:r>
          </w:p>
        </w:tc>
      </w:tr>
      <w:tr w:rsidR="002B4C1E" w:rsidRPr="00630129" w14:paraId="1344385F" w14:textId="77777777" w:rsidTr="00A63BA8">
        <w:trPr>
          <w:cantSplit/>
        </w:trPr>
        <w:tc>
          <w:tcPr>
            <w:tcW w:w="1191" w:type="pct"/>
          </w:tcPr>
          <w:p w14:paraId="108EDD29"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BM Unit’s Metered Consumption</w:t>
            </w:r>
          </w:p>
        </w:tc>
        <w:tc>
          <w:tcPr>
            <w:tcW w:w="1024" w:type="pct"/>
          </w:tcPr>
          <w:p w14:paraId="53C71575"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630129">
              <w:rPr>
                <w:rFonts w:ascii="Times New Roman" w:hAnsi="Times New Roman"/>
                <w:sz w:val="22"/>
                <w:szCs w:val="22"/>
              </w:rPr>
              <w:t>BMMC</w:t>
            </w:r>
            <w:r w:rsidRPr="00630129">
              <w:rPr>
                <w:rFonts w:ascii="Times New Roman" w:hAnsi="Times New Roman"/>
                <w:sz w:val="22"/>
                <w:szCs w:val="22"/>
                <w:vertAlign w:val="subscript"/>
              </w:rPr>
              <w:t>iaNLj</w:t>
            </w:r>
            <w:proofErr w:type="spellEnd"/>
          </w:p>
        </w:tc>
        <w:tc>
          <w:tcPr>
            <w:tcW w:w="613" w:type="pct"/>
          </w:tcPr>
          <w:p w14:paraId="178F0B40"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MWh</w:t>
            </w:r>
          </w:p>
        </w:tc>
        <w:tc>
          <w:tcPr>
            <w:tcW w:w="2171" w:type="pct"/>
          </w:tcPr>
          <w:p w14:paraId="65AF5B08"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The half hourly metered Consumption, determined by a Half Hourly Data Aggregator pursuant to paragraph 3.6 of Annex S-2, or by</w:t>
            </w:r>
            <w:r w:rsidRPr="00630129">
              <w:rPr>
                <w:rFonts w:ascii="Times New Roman" w:hAnsi="Times New Roman"/>
                <w:sz w:val="22"/>
                <w:szCs w:val="22"/>
              </w:rPr>
              <w:br/>
              <w:t>the SVAA pursuant to paragraph 7.1 of Annex S-2.</w:t>
            </w:r>
          </w:p>
        </w:tc>
      </w:tr>
      <w:tr w:rsidR="002B4C1E" w:rsidRPr="00630129" w14:paraId="1B33BF17" w14:textId="77777777" w:rsidTr="00A63BA8">
        <w:trPr>
          <w:cantSplit/>
        </w:trPr>
        <w:tc>
          <w:tcPr>
            <w:tcW w:w="1191" w:type="pct"/>
          </w:tcPr>
          <w:p w14:paraId="3B334EA8"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BM Unit’s Metered Consumption (Losses)</w:t>
            </w:r>
          </w:p>
        </w:tc>
        <w:tc>
          <w:tcPr>
            <w:tcW w:w="1024" w:type="pct"/>
          </w:tcPr>
          <w:p w14:paraId="3A5D5B13"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630129">
              <w:rPr>
                <w:rFonts w:ascii="Times New Roman" w:hAnsi="Times New Roman"/>
                <w:sz w:val="22"/>
                <w:szCs w:val="22"/>
              </w:rPr>
              <w:t>BMMCL</w:t>
            </w:r>
            <w:r w:rsidRPr="00630129">
              <w:rPr>
                <w:rFonts w:ascii="Times New Roman" w:hAnsi="Times New Roman"/>
                <w:sz w:val="22"/>
                <w:szCs w:val="22"/>
                <w:vertAlign w:val="subscript"/>
              </w:rPr>
              <w:t>iaNLj</w:t>
            </w:r>
            <w:proofErr w:type="spellEnd"/>
            <w:r w:rsidRPr="00630129">
              <w:rPr>
                <w:rFonts w:ascii="Times New Roman" w:hAnsi="Times New Roman"/>
                <w:sz w:val="22"/>
                <w:szCs w:val="22"/>
                <w:vertAlign w:val="subscript"/>
              </w:rPr>
              <w:t xml:space="preserve"> </w:t>
            </w:r>
          </w:p>
        </w:tc>
        <w:tc>
          <w:tcPr>
            <w:tcW w:w="613" w:type="pct"/>
          </w:tcPr>
          <w:p w14:paraId="2A7BABCA"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MWh</w:t>
            </w:r>
          </w:p>
        </w:tc>
        <w:tc>
          <w:tcPr>
            <w:tcW w:w="2171" w:type="pct"/>
          </w:tcPr>
          <w:p w14:paraId="657A2D96"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The line losses determined by a Half Hourly Data Aggregator as resulting from the BM Unit’s Metered Consumption pursuant to paragraph 3.6 of Annex S-2, or by the SVAA pursuant to paragraph 7.2 of Annex S-2.</w:t>
            </w:r>
          </w:p>
        </w:tc>
      </w:tr>
      <w:tr w:rsidR="002B4C1E" w:rsidRPr="00630129" w14:paraId="6AF2A964" w14:textId="77777777" w:rsidTr="00A63BA8">
        <w:trPr>
          <w:cantSplit/>
        </w:trPr>
        <w:tc>
          <w:tcPr>
            <w:tcW w:w="1191" w:type="pct"/>
          </w:tcPr>
          <w:p w14:paraId="2B36A8E7"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BM Unit’s Profiled Consumption</w:t>
            </w:r>
          </w:p>
        </w:tc>
        <w:tc>
          <w:tcPr>
            <w:tcW w:w="1024" w:type="pct"/>
          </w:tcPr>
          <w:p w14:paraId="6AFA6DB2"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630129">
              <w:rPr>
                <w:rFonts w:ascii="Times New Roman" w:hAnsi="Times New Roman"/>
                <w:sz w:val="22"/>
                <w:szCs w:val="22"/>
              </w:rPr>
              <w:t>BMPC</w:t>
            </w:r>
            <w:r w:rsidRPr="00630129">
              <w:rPr>
                <w:rFonts w:ascii="Times New Roman" w:hAnsi="Times New Roman"/>
                <w:sz w:val="22"/>
                <w:szCs w:val="22"/>
                <w:vertAlign w:val="subscript"/>
              </w:rPr>
              <w:t>iLPRj</w:t>
            </w:r>
            <w:proofErr w:type="spellEnd"/>
          </w:p>
        </w:tc>
        <w:tc>
          <w:tcPr>
            <w:tcW w:w="613" w:type="pct"/>
          </w:tcPr>
          <w:p w14:paraId="244F4651"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MWh</w:t>
            </w:r>
          </w:p>
        </w:tc>
        <w:tc>
          <w:tcPr>
            <w:tcW w:w="2171" w:type="pct"/>
          </w:tcPr>
          <w:p w14:paraId="1049669F"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 Supplier BM Unit’s non half hourly Consumption profiled per Settlement Period for a particular Consumption Component Class, determined pursuant to paragraph 8.1 of Annex S-2.</w:t>
            </w:r>
          </w:p>
        </w:tc>
      </w:tr>
      <w:tr w:rsidR="002B4C1E" w:rsidRPr="00630129" w14:paraId="7705F266"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7A59540A" w14:textId="77777777" w:rsidR="002B4C1E" w:rsidRPr="00630129" w:rsidRDefault="002B4C1E" w:rsidP="002B4C1E">
            <w:pPr>
              <w:pStyle w:val="EndnoteText"/>
              <w:rPr>
                <w:sz w:val="22"/>
                <w:szCs w:val="22"/>
              </w:rPr>
            </w:pPr>
            <w:r w:rsidRPr="00630129">
              <w:rPr>
                <w:sz w:val="22"/>
                <w:szCs w:val="22"/>
              </w:rPr>
              <w:lastRenderedPageBreak/>
              <w:t>BM Unit’s Profiled Disconnection</w:t>
            </w:r>
          </w:p>
        </w:tc>
        <w:tc>
          <w:tcPr>
            <w:tcW w:w="1024" w:type="pct"/>
            <w:tcBorders>
              <w:top w:val="single" w:sz="6" w:space="0" w:color="000000"/>
              <w:left w:val="single" w:sz="6" w:space="0" w:color="000000"/>
              <w:bottom w:val="single" w:sz="6" w:space="0" w:color="000000"/>
              <w:right w:val="single" w:sz="6" w:space="0" w:color="000000"/>
            </w:tcBorders>
          </w:tcPr>
          <w:p w14:paraId="4FFA076E" w14:textId="77777777" w:rsidR="002B4C1E" w:rsidRPr="00630129" w:rsidRDefault="002B4C1E" w:rsidP="002B4C1E">
            <w:pPr>
              <w:pStyle w:val="EndnoteText"/>
              <w:rPr>
                <w:sz w:val="22"/>
                <w:szCs w:val="22"/>
              </w:rPr>
            </w:pPr>
            <w:proofErr w:type="spellStart"/>
            <w:r w:rsidRPr="00630129">
              <w:rPr>
                <w:sz w:val="22"/>
                <w:szCs w:val="22"/>
              </w:rPr>
              <w:t>BMPD</w:t>
            </w:r>
            <w:r w:rsidRPr="00630129">
              <w:rPr>
                <w:sz w:val="22"/>
                <w:szCs w:val="22"/>
                <w:vertAlign w:val="subscript"/>
              </w:rPr>
              <w:t>iLPRj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45FBF448" w14:textId="77777777" w:rsidR="002B4C1E" w:rsidRPr="00630129" w:rsidRDefault="002B4C1E" w:rsidP="002B4C1E">
            <w:pPr>
              <w:pStyle w:val="EndnoteText"/>
              <w:rPr>
                <w:sz w:val="22"/>
                <w:szCs w:val="22"/>
              </w:rPr>
            </w:pPr>
            <w:r w:rsidRPr="00630129">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6DD74884" w14:textId="77777777" w:rsidR="002B4C1E" w:rsidRPr="00630129" w:rsidRDefault="002B4C1E" w:rsidP="002B4C1E">
            <w:pPr>
              <w:pStyle w:val="EndnoteText"/>
              <w:rPr>
                <w:sz w:val="22"/>
                <w:szCs w:val="22"/>
              </w:rPr>
            </w:pPr>
            <w:r w:rsidRPr="00630129">
              <w:rPr>
                <w:sz w:val="22"/>
                <w:szCs w:val="22"/>
              </w:rPr>
              <w:t>A Supplier BM Unit’s non half hourly Demand Disconnection volume profiled per Settlement Period for a particular Consumption Component Class, determined pursuant to paragraph 8.2 of Annex S-2.</w:t>
            </w:r>
          </w:p>
        </w:tc>
      </w:tr>
      <w:tr w:rsidR="002B4C1E" w:rsidRPr="00630129" w14:paraId="5351A8E0" w14:textId="77777777" w:rsidTr="00A63BA8">
        <w:trPr>
          <w:cantSplit/>
        </w:trPr>
        <w:tc>
          <w:tcPr>
            <w:tcW w:w="1191" w:type="pct"/>
          </w:tcPr>
          <w:p w14:paraId="3A313C66"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Calculation Period</w:t>
            </w:r>
          </w:p>
        </w:tc>
        <w:tc>
          <w:tcPr>
            <w:tcW w:w="1024" w:type="pct"/>
          </w:tcPr>
          <w:p w14:paraId="0DE6ECF3"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6F1CDC39"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41396E85"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The period of consecutive Settlement Days (typically but not necessarily one year in duration) on whose Supplier Purchase Matrix data the calculation of Average Fractions of Yearly Consumption pursuant to paragraph 5.1 of Annex S-2 is based.</w:t>
            </w:r>
          </w:p>
        </w:tc>
      </w:tr>
      <w:tr w:rsidR="002B4C1E" w:rsidRPr="00630129" w14:paraId="0BB5705F" w14:textId="77777777" w:rsidTr="00A63BA8">
        <w:trPr>
          <w:cantSplit/>
        </w:trPr>
        <w:tc>
          <w:tcPr>
            <w:tcW w:w="1191" w:type="pct"/>
          </w:tcPr>
          <w:p w14:paraId="7EC87AEE"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Certificate of Supply</w:t>
            </w:r>
          </w:p>
        </w:tc>
        <w:tc>
          <w:tcPr>
            <w:tcW w:w="1024" w:type="pct"/>
          </w:tcPr>
          <w:p w14:paraId="6C20E954"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45A438DF"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48269881"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For the purposes of Annex S-2 the Estimated Annual Consumption for a Non Qualifying Unmetered Supply as provided from time to time by Public Distribution Service Operator.</w:t>
            </w:r>
          </w:p>
        </w:tc>
      </w:tr>
      <w:tr w:rsidR="002B4C1E" w:rsidRPr="00630129" w14:paraId="6997F093" w14:textId="77777777" w:rsidTr="00A63BA8">
        <w:trPr>
          <w:cantSplit/>
        </w:trPr>
        <w:tc>
          <w:tcPr>
            <w:tcW w:w="1191" w:type="pct"/>
          </w:tcPr>
          <w:p w14:paraId="4AA4A861"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Clock Interval</w:t>
            </w:r>
          </w:p>
        </w:tc>
        <w:tc>
          <w:tcPr>
            <w:tcW w:w="1024" w:type="pct"/>
          </w:tcPr>
          <w:p w14:paraId="29DC7019"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08C54747"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134C1A41"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 combination of seasons, dates, days and times defining the period over which Consumption is recorded by a Settlement Register the details of which are provided pursuant to paragraph 5.1.1 of Annex S-2.</w:t>
            </w:r>
          </w:p>
        </w:tc>
      </w:tr>
      <w:tr w:rsidR="002B4C1E" w:rsidRPr="00630129" w14:paraId="42472075" w14:textId="77777777" w:rsidTr="00A63BA8">
        <w:trPr>
          <w:cantSplit/>
        </w:trPr>
        <w:tc>
          <w:tcPr>
            <w:tcW w:w="1191" w:type="pct"/>
          </w:tcPr>
          <w:p w14:paraId="04F523C1" w14:textId="16D11AD0"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Consumption</w:t>
            </w:r>
          </w:p>
        </w:tc>
        <w:tc>
          <w:tcPr>
            <w:tcW w:w="1024" w:type="pct"/>
          </w:tcPr>
          <w:p w14:paraId="4B694940"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212C078D"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MWh</w:t>
            </w:r>
          </w:p>
        </w:tc>
        <w:tc>
          <w:tcPr>
            <w:tcW w:w="2171" w:type="pct"/>
          </w:tcPr>
          <w:p w14:paraId="312A63E5" w14:textId="4CDFF8F9"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 xml:space="preserve">The amount of electricity produced by a SVA Generator or used by an SVA </w:t>
            </w:r>
            <w:r>
              <w:rPr>
                <w:rFonts w:ascii="Times New Roman" w:hAnsi="Times New Roman"/>
                <w:sz w:val="22"/>
                <w:szCs w:val="22"/>
              </w:rPr>
              <w:t>Customer</w:t>
            </w:r>
            <w:r w:rsidRPr="00630129">
              <w:rPr>
                <w:rFonts w:ascii="Times New Roman" w:hAnsi="Times New Roman"/>
                <w:sz w:val="22"/>
                <w:szCs w:val="22"/>
              </w:rPr>
              <w:t>.</w:t>
            </w:r>
          </w:p>
        </w:tc>
      </w:tr>
      <w:tr w:rsidR="002B4C1E" w:rsidRPr="00630129" w14:paraId="248ECAB8" w14:textId="77777777" w:rsidTr="00A63BA8">
        <w:trPr>
          <w:cantSplit/>
        </w:trPr>
        <w:tc>
          <w:tcPr>
            <w:tcW w:w="1191" w:type="pct"/>
          </w:tcPr>
          <w:p w14:paraId="3DB5014B" w14:textId="6EFE6DCF"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Consumption Component Class</w:t>
            </w:r>
          </w:p>
        </w:tc>
        <w:tc>
          <w:tcPr>
            <w:tcW w:w="1024" w:type="pct"/>
          </w:tcPr>
          <w:p w14:paraId="63FF7D73"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5B7C917F"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54E6A47B"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 xml:space="preserve">A classification of half hourly Consumption </w:t>
            </w:r>
            <w:r>
              <w:rPr>
                <w:rFonts w:ascii="Times New Roman" w:hAnsi="Times New Roman"/>
                <w:sz w:val="22"/>
                <w:szCs w:val="22"/>
              </w:rPr>
              <w:t xml:space="preserve">and/or electricity produced or used by an Asset </w:t>
            </w:r>
            <w:r w:rsidRPr="00630129">
              <w:rPr>
                <w:rFonts w:ascii="Times New Roman" w:hAnsi="Times New Roman"/>
                <w:sz w:val="22"/>
                <w:szCs w:val="22"/>
              </w:rPr>
              <w:t>which comprises one element from each of the following categories as shown in Table X-8:</w:t>
            </w:r>
          </w:p>
          <w:p w14:paraId="2F40D961" w14:textId="77777777" w:rsidR="002B4C1E" w:rsidRPr="00630129" w:rsidRDefault="002B4C1E" w:rsidP="002B4C1E">
            <w:pPr>
              <w:pStyle w:val="qmstext-cell"/>
              <w:keepLines w:val="0"/>
              <w:numPr>
                <w:ilvl w:val="0"/>
                <w:numId w:val="2"/>
              </w:numPr>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left" w:pos="567"/>
              </w:tabs>
              <w:spacing w:before="0" w:after="0"/>
              <w:ind w:left="0" w:firstLine="0"/>
              <w:jc w:val="left"/>
              <w:rPr>
                <w:rFonts w:ascii="Times New Roman" w:hAnsi="Times New Roman"/>
                <w:sz w:val="22"/>
                <w:szCs w:val="22"/>
              </w:rPr>
            </w:pPr>
            <w:r w:rsidRPr="00630129">
              <w:rPr>
                <w:rFonts w:ascii="Times New Roman" w:hAnsi="Times New Roman"/>
                <w:sz w:val="22"/>
                <w:szCs w:val="22"/>
              </w:rPr>
              <w:t>metered or unmetered;</w:t>
            </w:r>
          </w:p>
          <w:p w14:paraId="65E017C8" w14:textId="77777777" w:rsidR="002B4C1E" w:rsidRPr="00630129" w:rsidRDefault="002B4C1E" w:rsidP="002B4C1E">
            <w:pPr>
              <w:pStyle w:val="qmstext-cell"/>
              <w:keepLines w:val="0"/>
              <w:numPr>
                <w:ilvl w:val="0"/>
                <w:numId w:val="2"/>
              </w:numPr>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left" w:pos="567"/>
              </w:tabs>
              <w:spacing w:before="0" w:after="0"/>
              <w:ind w:left="0" w:firstLine="0"/>
              <w:jc w:val="left"/>
              <w:rPr>
                <w:rFonts w:ascii="Times New Roman" w:hAnsi="Times New Roman"/>
                <w:sz w:val="22"/>
                <w:szCs w:val="22"/>
              </w:rPr>
            </w:pPr>
            <w:r w:rsidRPr="00630129">
              <w:rPr>
                <w:rFonts w:ascii="Times New Roman" w:hAnsi="Times New Roman"/>
                <w:sz w:val="22"/>
                <w:szCs w:val="22"/>
              </w:rPr>
              <w:t>consumption or SVA generation;</w:t>
            </w:r>
          </w:p>
          <w:p w14:paraId="60FD40AD" w14:textId="77777777" w:rsidR="002B4C1E" w:rsidRPr="00630129" w:rsidRDefault="002B4C1E" w:rsidP="002B4C1E">
            <w:pPr>
              <w:pStyle w:val="qmstext-cell"/>
              <w:keepLines w:val="0"/>
              <w:numPr>
                <w:ilvl w:val="0"/>
                <w:numId w:val="2"/>
              </w:numPr>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left" w:pos="567"/>
              </w:tabs>
              <w:spacing w:before="0" w:after="0"/>
              <w:ind w:left="0" w:firstLine="0"/>
              <w:jc w:val="left"/>
              <w:rPr>
                <w:rFonts w:ascii="Times New Roman" w:hAnsi="Times New Roman"/>
                <w:sz w:val="22"/>
                <w:szCs w:val="22"/>
              </w:rPr>
            </w:pPr>
            <w:r w:rsidRPr="00630129">
              <w:rPr>
                <w:rFonts w:ascii="Times New Roman" w:hAnsi="Times New Roman"/>
                <w:sz w:val="22"/>
                <w:szCs w:val="22"/>
              </w:rPr>
              <w:t>SVA Metering System with or without Metering System specific line losses (but a SVA Metering System without Metering System specific line losses can only be combined with unmetered Consumption);</w:t>
            </w:r>
          </w:p>
          <w:p w14:paraId="6EA711B3" w14:textId="77777777" w:rsidR="002B4C1E" w:rsidRPr="00630129" w:rsidRDefault="002B4C1E" w:rsidP="002B4C1E">
            <w:pPr>
              <w:pStyle w:val="qmstext-cell"/>
              <w:keepLines w:val="0"/>
              <w:numPr>
                <w:ilvl w:val="0"/>
                <w:numId w:val="2"/>
              </w:numPr>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left" w:pos="567"/>
              </w:tabs>
              <w:spacing w:before="0" w:after="0"/>
              <w:ind w:left="0" w:firstLine="0"/>
              <w:jc w:val="left"/>
              <w:rPr>
                <w:rFonts w:ascii="Times New Roman" w:hAnsi="Times New Roman"/>
                <w:sz w:val="22"/>
                <w:szCs w:val="22"/>
              </w:rPr>
            </w:pPr>
            <w:r w:rsidRPr="00630129">
              <w:rPr>
                <w:rFonts w:ascii="Times New Roman" w:hAnsi="Times New Roman"/>
                <w:sz w:val="22"/>
                <w:szCs w:val="22"/>
              </w:rPr>
              <w:t>Consumption without line losses or line losses;</w:t>
            </w:r>
          </w:p>
          <w:p w14:paraId="1A5EEC9A" w14:textId="77777777" w:rsidR="002B4C1E" w:rsidRPr="00630129" w:rsidRDefault="002B4C1E" w:rsidP="002B4C1E">
            <w:pPr>
              <w:pStyle w:val="qmstext-cell"/>
              <w:keepLines w:val="0"/>
              <w:numPr>
                <w:ilvl w:val="0"/>
                <w:numId w:val="2"/>
              </w:numPr>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left" w:pos="567"/>
              </w:tabs>
              <w:spacing w:before="0" w:after="0"/>
              <w:ind w:left="0" w:firstLine="0"/>
              <w:jc w:val="left"/>
              <w:rPr>
                <w:rFonts w:ascii="Times New Roman" w:hAnsi="Times New Roman"/>
                <w:sz w:val="22"/>
                <w:szCs w:val="22"/>
              </w:rPr>
            </w:pPr>
            <w:r w:rsidRPr="00630129">
              <w:rPr>
                <w:rFonts w:ascii="Times New Roman" w:hAnsi="Times New Roman"/>
                <w:sz w:val="22"/>
                <w:szCs w:val="22"/>
              </w:rPr>
              <w:t>based on actual or estimated half hourly; or</w:t>
            </w:r>
          </w:p>
          <w:p w14:paraId="46A78B10" w14:textId="77777777" w:rsidR="002B4C1E" w:rsidRPr="00630129" w:rsidRDefault="002B4C1E" w:rsidP="002B4C1E">
            <w:pPr>
              <w:pStyle w:val="qmstext-cell"/>
              <w:keepLines w:val="0"/>
              <w:numPr>
                <w:ilvl w:val="0"/>
                <w:numId w:val="2"/>
              </w:numPr>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left" w:pos="567"/>
              </w:tabs>
              <w:spacing w:before="0" w:after="0"/>
              <w:ind w:left="0" w:firstLine="0"/>
              <w:jc w:val="left"/>
              <w:rPr>
                <w:rFonts w:ascii="Times New Roman" w:hAnsi="Times New Roman"/>
                <w:sz w:val="22"/>
                <w:szCs w:val="22"/>
              </w:rPr>
            </w:pPr>
            <w:r w:rsidRPr="00630129">
              <w:rPr>
                <w:rFonts w:ascii="Times New Roman" w:hAnsi="Times New Roman"/>
                <w:sz w:val="22"/>
                <w:szCs w:val="22"/>
              </w:rPr>
              <w:t>based on Annualised Advance or Estimated Annual Consumption.</w:t>
            </w:r>
          </w:p>
        </w:tc>
      </w:tr>
      <w:tr w:rsidR="002B4C1E" w:rsidRPr="00630129" w14:paraId="0E572D8D" w14:textId="77777777" w:rsidTr="00A63BA8">
        <w:trPr>
          <w:cantSplit/>
        </w:trPr>
        <w:tc>
          <w:tcPr>
            <w:tcW w:w="1191" w:type="pct"/>
          </w:tcPr>
          <w:p w14:paraId="1503A985"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lastRenderedPageBreak/>
              <w:t>Consumption Data</w:t>
            </w:r>
          </w:p>
        </w:tc>
        <w:tc>
          <w:tcPr>
            <w:tcW w:w="1024" w:type="pct"/>
          </w:tcPr>
          <w:p w14:paraId="488B2164"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1C8CDD82"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631A9872"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That part of the Supplier Purchase Matrix containing the values of Total Annualised Advance, Total Metered Estimated Annual Consumption and Total Unmetered Consumption.</w:t>
            </w:r>
          </w:p>
        </w:tc>
      </w:tr>
      <w:tr w:rsidR="002B4C1E" w:rsidRPr="00630129" w14:paraId="159AFC53" w14:textId="77777777" w:rsidTr="00A63BA8">
        <w:trPr>
          <w:cantSplit/>
        </w:trPr>
        <w:tc>
          <w:tcPr>
            <w:tcW w:w="1191" w:type="pct"/>
          </w:tcPr>
          <w:p w14:paraId="417B2F6C" w14:textId="77777777" w:rsidR="002B4C1E" w:rsidRPr="00630129" w:rsidRDefault="002B4C1E" w:rsidP="002B4C1E">
            <w:pPr>
              <w:pStyle w:val="EndnoteText"/>
              <w:rPr>
                <w:sz w:val="22"/>
                <w:szCs w:val="22"/>
              </w:rPr>
            </w:pPr>
            <w:r w:rsidRPr="00630129">
              <w:rPr>
                <w:sz w:val="22"/>
                <w:szCs w:val="22"/>
              </w:rPr>
              <w:t>Co-ordinated Universal Time</w:t>
            </w:r>
          </w:p>
        </w:tc>
        <w:tc>
          <w:tcPr>
            <w:tcW w:w="1024" w:type="pct"/>
          </w:tcPr>
          <w:p w14:paraId="2DD71ABA" w14:textId="77777777" w:rsidR="002B4C1E" w:rsidRPr="00630129" w:rsidRDefault="002B4C1E" w:rsidP="002B4C1E">
            <w:pPr>
              <w:pStyle w:val="EndnoteText"/>
              <w:rPr>
                <w:sz w:val="22"/>
                <w:szCs w:val="22"/>
              </w:rPr>
            </w:pPr>
            <w:r w:rsidRPr="00630129">
              <w:rPr>
                <w:sz w:val="22"/>
                <w:szCs w:val="22"/>
              </w:rPr>
              <w:t>UTC</w:t>
            </w:r>
          </w:p>
        </w:tc>
        <w:tc>
          <w:tcPr>
            <w:tcW w:w="613" w:type="pct"/>
          </w:tcPr>
          <w:p w14:paraId="302918E7" w14:textId="77777777" w:rsidR="002B4C1E" w:rsidRPr="00630129" w:rsidRDefault="002B4C1E" w:rsidP="002B4C1E">
            <w:pPr>
              <w:pStyle w:val="EndnoteText"/>
              <w:rPr>
                <w:sz w:val="22"/>
                <w:szCs w:val="22"/>
              </w:rPr>
            </w:pPr>
            <w:r w:rsidRPr="00630129">
              <w:rPr>
                <w:sz w:val="22"/>
                <w:szCs w:val="22"/>
              </w:rPr>
              <w:t>Number</w:t>
            </w:r>
          </w:p>
        </w:tc>
        <w:tc>
          <w:tcPr>
            <w:tcW w:w="2171" w:type="pct"/>
          </w:tcPr>
          <w:p w14:paraId="33AD2CC3" w14:textId="77777777" w:rsidR="002B4C1E" w:rsidRPr="00630129" w:rsidRDefault="002B4C1E" w:rsidP="002B4C1E">
            <w:pPr>
              <w:pStyle w:val="EndnoteText"/>
              <w:rPr>
                <w:sz w:val="22"/>
                <w:szCs w:val="22"/>
              </w:rPr>
            </w:pPr>
            <w:r w:rsidRPr="00630129">
              <w:rPr>
                <w:sz w:val="22"/>
                <w:szCs w:val="22"/>
              </w:rPr>
              <w:t>Bears the same meaning as in the document Standard Frequency and Time Signal Emission, International Telecommunication Union - RTF.460(ISBN92-61-05311-4) (colloquially referred to as Rugby Time).</w:t>
            </w:r>
          </w:p>
        </w:tc>
      </w:tr>
      <w:tr w:rsidR="002B4C1E" w:rsidRPr="00630129" w14:paraId="1B164C2A" w14:textId="77777777" w:rsidTr="00A63BA8">
        <w:trPr>
          <w:cantSplit/>
        </w:trPr>
        <w:tc>
          <w:tcPr>
            <w:tcW w:w="1191" w:type="pct"/>
          </w:tcPr>
          <w:p w14:paraId="75CEBA91"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Corrected Component</w:t>
            </w:r>
          </w:p>
        </w:tc>
        <w:tc>
          <w:tcPr>
            <w:tcW w:w="1024" w:type="pct"/>
          </w:tcPr>
          <w:p w14:paraId="16D83248"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630129">
              <w:rPr>
                <w:rFonts w:ascii="Times New Roman" w:hAnsi="Times New Roman"/>
                <w:sz w:val="22"/>
                <w:szCs w:val="22"/>
              </w:rPr>
              <w:t>CORC</w:t>
            </w:r>
            <w:r w:rsidRPr="00630129">
              <w:rPr>
                <w:rFonts w:ascii="Times New Roman" w:hAnsi="Times New Roman"/>
                <w:sz w:val="22"/>
                <w:szCs w:val="22"/>
                <w:vertAlign w:val="subscript"/>
              </w:rPr>
              <w:t>iNj</w:t>
            </w:r>
            <w:proofErr w:type="spellEnd"/>
          </w:p>
        </w:tc>
        <w:tc>
          <w:tcPr>
            <w:tcW w:w="613" w:type="pct"/>
          </w:tcPr>
          <w:p w14:paraId="7F0DB351"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MWh</w:t>
            </w:r>
          </w:p>
        </w:tc>
        <w:tc>
          <w:tcPr>
            <w:tcW w:w="2171" w:type="pct"/>
          </w:tcPr>
          <w:p w14:paraId="4BA52F59"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 xml:space="preserve">The Consumption for a Supplier BM Unit's Consumption Component Class after the application of the GSP Group Correction Factor, determined pursuant paragraph 9.3 of Annex S-2. </w:t>
            </w:r>
          </w:p>
        </w:tc>
      </w:tr>
      <w:tr w:rsidR="002B4C1E" w:rsidRPr="00630129" w14:paraId="0E23D184" w14:textId="77777777" w:rsidTr="00A63BA8">
        <w:trPr>
          <w:cantSplit/>
        </w:trPr>
        <w:tc>
          <w:tcPr>
            <w:tcW w:w="1191" w:type="pct"/>
          </w:tcPr>
          <w:p w14:paraId="4174B123"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Corrected Component by Profile Class</w:t>
            </w:r>
          </w:p>
        </w:tc>
        <w:tc>
          <w:tcPr>
            <w:tcW w:w="1024" w:type="pct"/>
          </w:tcPr>
          <w:p w14:paraId="34BC694D"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630129">
              <w:rPr>
                <w:rFonts w:ascii="Times New Roman" w:hAnsi="Times New Roman"/>
                <w:sz w:val="22"/>
                <w:szCs w:val="22"/>
              </w:rPr>
              <w:t>CORC</w:t>
            </w:r>
            <w:r w:rsidRPr="00630129">
              <w:rPr>
                <w:rFonts w:ascii="Times New Roman" w:hAnsi="Times New Roman"/>
                <w:sz w:val="22"/>
                <w:szCs w:val="22"/>
                <w:vertAlign w:val="subscript"/>
              </w:rPr>
              <w:t>iN</w:t>
            </w:r>
            <w:proofErr w:type="spellEnd"/>
            <w:r w:rsidRPr="00630129">
              <w:rPr>
                <w:rFonts w:ascii="Times New Roman" w:hAnsi="Times New Roman"/>
                <w:sz w:val="22"/>
                <w:szCs w:val="22"/>
                <w:vertAlign w:val="subscript"/>
              </w:rPr>
              <w:t>(c)</w:t>
            </w:r>
            <w:proofErr w:type="spellStart"/>
            <w:r w:rsidRPr="00630129">
              <w:rPr>
                <w:rFonts w:ascii="Times New Roman" w:hAnsi="Times New Roman"/>
                <w:sz w:val="22"/>
                <w:szCs w:val="22"/>
                <w:vertAlign w:val="subscript"/>
              </w:rPr>
              <w:t>Pj</w:t>
            </w:r>
            <w:proofErr w:type="spellEnd"/>
          </w:p>
        </w:tc>
        <w:tc>
          <w:tcPr>
            <w:tcW w:w="613" w:type="pct"/>
          </w:tcPr>
          <w:p w14:paraId="3B2083CB"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MWh</w:t>
            </w:r>
          </w:p>
        </w:tc>
        <w:tc>
          <w:tcPr>
            <w:tcW w:w="2171" w:type="pct"/>
          </w:tcPr>
          <w:p w14:paraId="696CCDE6"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The consumption for a Supplier BM Unit's Profile Class after the application of the GSP Group Correction Factor and Line Loss Factor, determined pursuant paragraph 9A.3 of Annex S-2.</w:t>
            </w:r>
          </w:p>
        </w:tc>
      </w:tr>
      <w:tr w:rsidR="002B4C1E" w:rsidRPr="00630129" w14:paraId="50B9549F"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0F296A15" w14:textId="77777777" w:rsidR="002B4C1E" w:rsidRPr="00630129" w:rsidRDefault="002B4C1E" w:rsidP="002B4C1E">
            <w:pPr>
              <w:pStyle w:val="EndnoteText"/>
              <w:rPr>
                <w:sz w:val="22"/>
                <w:szCs w:val="22"/>
              </w:rPr>
            </w:pPr>
            <w:r w:rsidRPr="00630129">
              <w:rPr>
                <w:sz w:val="22"/>
                <w:szCs w:val="22"/>
              </w:rPr>
              <w:t>Corrected Disconnection Component</w:t>
            </w:r>
          </w:p>
        </w:tc>
        <w:tc>
          <w:tcPr>
            <w:tcW w:w="1024" w:type="pct"/>
            <w:tcBorders>
              <w:top w:val="single" w:sz="6" w:space="0" w:color="000000"/>
              <w:left w:val="single" w:sz="6" w:space="0" w:color="000000"/>
              <w:bottom w:val="single" w:sz="6" w:space="0" w:color="000000"/>
              <w:right w:val="single" w:sz="6" w:space="0" w:color="000000"/>
            </w:tcBorders>
          </w:tcPr>
          <w:p w14:paraId="42D752CA" w14:textId="77777777" w:rsidR="002B4C1E" w:rsidRPr="00630129" w:rsidRDefault="002B4C1E" w:rsidP="002B4C1E">
            <w:pPr>
              <w:pStyle w:val="EndnoteText"/>
              <w:rPr>
                <w:sz w:val="22"/>
                <w:szCs w:val="22"/>
              </w:rPr>
            </w:pPr>
            <w:proofErr w:type="spellStart"/>
            <w:r w:rsidRPr="00630129">
              <w:rPr>
                <w:sz w:val="22"/>
                <w:szCs w:val="22"/>
              </w:rPr>
              <w:t>CORDC</w:t>
            </w:r>
            <w:r w:rsidRPr="00630129">
              <w:rPr>
                <w:sz w:val="22"/>
                <w:szCs w:val="22"/>
                <w:vertAlign w:val="subscript"/>
              </w:rPr>
              <w:t>iNj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598FDAD6" w14:textId="77777777" w:rsidR="002B4C1E" w:rsidRPr="00630129" w:rsidRDefault="002B4C1E" w:rsidP="002B4C1E">
            <w:pPr>
              <w:pStyle w:val="EndnoteText"/>
              <w:rPr>
                <w:sz w:val="22"/>
                <w:szCs w:val="22"/>
              </w:rPr>
            </w:pPr>
            <w:r w:rsidRPr="00630129">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7ECB1A35" w14:textId="77777777" w:rsidR="002B4C1E" w:rsidRPr="00630129" w:rsidRDefault="002B4C1E" w:rsidP="002B4C1E">
            <w:pPr>
              <w:pStyle w:val="EndnoteText"/>
              <w:rPr>
                <w:sz w:val="22"/>
                <w:szCs w:val="22"/>
              </w:rPr>
            </w:pPr>
            <w:r w:rsidRPr="00630129">
              <w:rPr>
                <w:sz w:val="22"/>
                <w:szCs w:val="22"/>
              </w:rPr>
              <w:t>The Demand Disconnection volume for a Supplier BM Unit's Consumption Component Class after the application of the GSP Group Correction Factor, determined pursuant to paragraph 9.3 of Annex S-2.</w:t>
            </w:r>
          </w:p>
        </w:tc>
      </w:tr>
      <w:tr w:rsidR="002B4C1E" w:rsidRPr="00383F44" w14:paraId="14160C38" w14:textId="77777777" w:rsidTr="00A63BA8">
        <w:trPr>
          <w:cantSplit/>
        </w:trPr>
        <w:tc>
          <w:tcPr>
            <w:tcW w:w="1191" w:type="pct"/>
          </w:tcPr>
          <w:p w14:paraId="70F02ADB" w14:textId="77777777" w:rsidR="002B4C1E" w:rsidRPr="00262F7E"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383F44">
              <w:rPr>
                <w:rFonts w:ascii="Times New Roman" w:hAnsi="Times New Roman"/>
                <w:sz w:val="22"/>
                <w:szCs w:val="22"/>
              </w:rPr>
              <w:t>Corrected MSID ABSVD Component</w:t>
            </w:r>
          </w:p>
        </w:tc>
        <w:tc>
          <w:tcPr>
            <w:tcW w:w="1024" w:type="pct"/>
          </w:tcPr>
          <w:p w14:paraId="48A8FE42" w14:textId="77777777" w:rsidR="002B4C1E" w:rsidRPr="00262F7E"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1E1513">
              <w:rPr>
                <w:rFonts w:ascii="Times New Roman" w:hAnsi="Times New Roman"/>
                <w:sz w:val="22"/>
                <w:szCs w:val="22"/>
              </w:rPr>
              <w:t>CORABSVDC</w:t>
            </w:r>
            <w:r w:rsidRPr="001E1513">
              <w:rPr>
                <w:rFonts w:ascii="Times New Roman" w:hAnsi="Times New Roman"/>
                <w:sz w:val="22"/>
                <w:szCs w:val="22"/>
                <w:vertAlign w:val="subscript"/>
              </w:rPr>
              <w:t>i2Nj</w:t>
            </w:r>
          </w:p>
        </w:tc>
        <w:tc>
          <w:tcPr>
            <w:tcW w:w="613" w:type="pct"/>
          </w:tcPr>
          <w:p w14:paraId="162EF6A2" w14:textId="77777777" w:rsidR="002B4C1E" w:rsidRPr="00262F7E"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383F44">
              <w:rPr>
                <w:rFonts w:ascii="Times New Roman" w:hAnsi="Times New Roman"/>
                <w:sz w:val="22"/>
                <w:szCs w:val="22"/>
              </w:rPr>
              <w:t>MWh</w:t>
            </w:r>
          </w:p>
        </w:tc>
        <w:tc>
          <w:tcPr>
            <w:tcW w:w="2171" w:type="pct"/>
          </w:tcPr>
          <w:p w14:paraId="22B8515C" w14:textId="77777777" w:rsidR="002B4C1E" w:rsidRPr="00262F7E"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383F44">
              <w:rPr>
                <w:rFonts w:ascii="Times New Roman" w:hAnsi="Times New Roman"/>
                <w:sz w:val="22"/>
                <w:szCs w:val="22"/>
              </w:rPr>
              <w:t>The quantity determined in accordance with paragraph 9.3.5 of Annex S-2.</w:t>
            </w:r>
          </w:p>
        </w:tc>
      </w:tr>
      <w:tr w:rsidR="002B4C1E" w:rsidRPr="00630129" w14:paraId="74B21A15"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2CDF72FF" w14:textId="77777777" w:rsidR="002B4C1E" w:rsidRPr="00630129" w:rsidRDefault="002B4C1E" w:rsidP="002B4C1E">
            <w:pPr>
              <w:pStyle w:val="EndnoteText"/>
              <w:rPr>
                <w:sz w:val="22"/>
                <w:szCs w:val="22"/>
              </w:rPr>
            </w:pPr>
            <w:r w:rsidRPr="00630129">
              <w:rPr>
                <w:sz w:val="22"/>
                <w:szCs w:val="22"/>
              </w:rPr>
              <w:t>Customer Consent Flag</w:t>
            </w:r>
          </w:p>
        </w:tc>
        <w:tc>
          <w:tcPr>
            <w:tcW w:w="1024" w:type="pct"/>
            <w:tcBorders>
              <w:top w:val="single" w:sz="6" w:space="0" w:color="000000"/>
              <w:left w:val="single" w:sz="6" w:space="0" w:color="000000"/>
              <w:bottom w:val="single" w:sz="6" w:space="0" w:color="000000"/>
              <w:right w:val="single" w:sz="6" w:space="0" w:color="000000"/>
            </w:tcBorders>
          </w:tcPr>
          <w:p w14:paraId="134B7263" w14:textId="77777777" w:rsidR="002B4C1E" w:rsidRPr="00630129" w:rsidRDefault="002B4C1E" w:rsidP="002B4C1E">
            <w:pPr>
              <w:pStyle w:val="EndnoteText"/>
              <w:rPr>
                <w:sz w:val="22"/>
                <w:szCs w:val="22"/>
              </w:rPr>
            </w:pPr>
          </w:p>
        </w:tc>
        <w:tc>
          <w:tcPr>
            <w:tcW w:w="613" w:type="pct"/>
            <w:tcBorders>
              <w:top w:val="single" w:sz="6" w:space="0" w:color="000000"/>
              <w:left w:val="single" w:sz="6" w:space="0" w:color="000000"/>
              <w:bottom w:val="single" w:sz="6" w:space="0" w:color="000000"/>
              <w:right w:val="single" w:sz="6" w:space="0" w:color="000000"/>
            </w:tcBorders>
          </w:tcPr>
          <w:p w14:paraId="506FF9F5" w14:textId="77777777" w:rsidR="002B4C1E" w:rsidRPr="00630129" w:rsidRDefault="002B4C1E" w:rsidP="002B4C1E">
            <w:pPr>
              <w:pStyle w:val="EndnoteText"/>
              <w:rPr>
                <w:sz w:val="22"/>
                <w:szCs w:val="22"/>
              </w:rPr>
            </w:pPr>
          </w:p>
        </w:tc>
        <w:tc>
          <w:tcPr>
            <w:tcW w:w="2171" w:type="pct"/>
            <w:tcBorders>
              <w:top w:val="single" w:sz="6" w:space="0" w:color="000000"/>
              <w:left w:val="single" w:sz="6" w:space="0" w:color="000000"/>
              <w:bottom w:val="single" w:sz="6" w:space="0" w:color="000000"/>
              <w:right w:val="single" w:sz="6" w:space="0" w:color="000000"/>
            </w:tcBorders>
          </w:tcPr>
          <w:p w14:paraId="72D51C78" w14:textId="77777777" w:rsidR="002B4C1E" w:rsidRPr="00630129" w:rsidRDefault="002B4C1E" w:rsidP="002B4C1E">
            <w:pPr>
              <w:pStyle w:val="EndnoteText"/>
              <w:rPr>
                <w:sz w:val="22"/>
                <w:szCs w:val="22"/>
              </w:rPr>
            </w:pPr>
            <w:r w:rsidRPr="00630129">
              <w:rPr>
                <w:sz w:val="22"/>
                <w:szCs w:val="22"/>
              </w:rPr>
              <w:t>A flag in the SVA Metering System Register indicating that, in relation to a Supplier, an SVA Customer or SVA Generator has consented to their Metering System Delivered Volumes being provided to that Supplier in accordance with paragraphs 7.1.</w:t>
            </w:r>
            <w:r>
              <w:rPr>
                <w:sz w:val="22"/>
                <w:szCs w:val="22"/>
              </w:rPr>
              <w:t>8</w:t>
            </w:r>
            <w:r w:rsidRPr="00630129">
              <w:rPr>
                <w:sz w:val="22"/>
                <w:szCs w:val="22"/>
              </w:rPr>
              <w:t xml:space="preserve"> and 7.2.</w:t>
            </w:r>
            <w:r>
              <w:rPr>
                <w:sz w:val="22"/>
                <w:szCs w:val="22"/>
              </w:rPr>
              <w:t>8</w:t>
            </w:r>
            <w:r w:rsidRPr="00630129">
              <w:rPr>
                <w:sz w:val="22"/>
                <w:szCs w:val="22"/>
              </w:rPr>
              <w:t xml:space="preserve"> of Annex S-2.</w:t>
            </w:r>
          </w:p>
        </w:tc>
      </w:tr>
      <w:tr w:rsidR="002B4C1E" w:rsidRPr="00630129" w14:paraId="44A58314" w14:textId="77777777" w:rsidTr="00A63BA8">
        <w:trPr>
          <w:cantSplit/>
        </w:trPr>
        <w:tc>
          <w:tcPr>
            <w:tcW w:w="1191" w:type="pct"/>
          </w:tcPr>
          <w:p w14:paraId="6F9F8672"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Daily Profile Coefficient</w:t>
            </w:r>
          </w:p>
        </w:tc>
        <w:tc>
          <w:tcPr>
            <w:tcW w:w="1024" w:type="pct"/>
          </w:tcPr>
          <w:p w14:paraId="55F5B621"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DPC</w:t>
            </w:r>
            <w:r w:rsidRPr="00630129">
              <w:rPr>
                <w:rFonts w:ascii="Times New Roman" w:hAnsi="Times New Roman"/>
                <w:sz w:val="22"/>
                <w:szCs w:val="22"/>
                <w:vertAlign w:val="subscript"/>
              </w:rPr>
              <w:t>HPRT</w:t>
            </w:r>
          </w:p>
        </w:tc>
        <w:tc>
          <w:tcPr>
            <w:tcW w:w="613" w:type="pct"/>
          </w:tcPr>
          <w:p w14:paraId="4E58ED6C"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Number</w:t>
            </w:r>
          </w:p>
        </w:tc>
        <w:tc>
          <w:tcPr>
            <w:tcW w:w="2171" w:type="pct"/>
          </w:tcPr>
          <w:p w14:paraId="4499357B"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 value which, when applied to an Estimated Annual Consumption or Annualised Advance value, supplies an estimate of Consumption for a Settlement Day and which is equal to the sum of the corresponding Period Profile Class Coefficients for that Settlement Day.</w:t>
            </w:r>
          </w:p>
        </w:tc>
      </w:tr>
      <w:tr w:rsidR="002B4C1E" w:rsidRPr="00630129" w14:paraId="2854341B" w14:textId="77777777" w:rsidTr="00A63BA8">
        <w:trPr>
          <w:cantSplit/>
        </w:trPr>
        <w:tc>
          <w:tcPr>
            <w:tcW w:w="1191" w:type="pct"/>
          </w:tcPr>
          <w:p w14:paraId="1CA2767A"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lastRenderedPageBreak/>
              <w:t>Day Type</w:t>
            </w:r>
          </w:p>
        </w:tc>
        <w:tc>
          <w:tcPr>
            <w:tcW w:w="1024" w:type="pct"/>
          </w:tcPr>
          <w:p w14:paraId="1FA7E27D"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06A8A9C9"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0F86255E"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 code describing whether a particular Settlement Day is a weekday, a Saturday, a Sunday, or a particular Bank Holiday.</w:t>
            </w:r>
          </w:p>
        </w:tc>
      </w:tr>
      <w:tr w:rsidR="002B4C1E" w:rsidRPr="00630129" w14:paraId="6C62FE44" w14:textId="77777777" w:rsidTr="00A63BA8">
        <w:trPr>
          <w:cantSplit/>
        </w:trPr>
        <w:tc>
          <w:tcPr>
            <w:tcW w:w="1191" w:type="pct"/>
          </w:tcPr>
          <w:p w14:paraId="415FC90C"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Deemed Meter Advance</w:t>
            </w:r>
          </w:p>
        </w:tc>
        <w:tc>
          <w:tcPr>
            <w:tcW w:w="1024" w:type="pct"/>
          </w:tcPr>
          <w:p w14:paraId="12B0B804"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DMA</w:t>
            </w:r>
            <w:r w:rsidRPr="00630129">
              <w:rPr>
                <w:rFonts w:ascii="Times New Roman" w:hAnsi="Times New Roman"/>
                <w:sz w:val="22"/>
                <w:szCs w:val="22"/>
                <w:vertAlign w:val="subscript"/>
              </w:rPr>
              <w:t>KR</w:t>
            </w:r>
          </w:p>
        </w:tc>
        <w:tc>
          <w:tcPr>
            <w:tcW w:w="613" w:type="pct"/>
          </w:tcPr>
          <w:p w14:paraId="20901F16"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kWh</w:t>
            </w:r>
          </w:p>
        </w:tc>
        <w:tc>
          <w:tcPr>
            <w:tcW w:w="2171" w:type="pct"/>
          </w:tcPr>
          <w:p w14:paraId="54055A38"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An estimated Meter Advance calculated by the relevant Non-Half Hourly Data Collector pursuant to paragraph 4.3 of Annex S-2 and BSCP504.</w:t>
            </w:r>
          </w:p>
        </w:tc>
      </w:tr>
      <w:tr w:rsidR="002B4C1E" w:rsidRPr="00630129" w14:paraId="3DFA9755" w14:textId="77777777" w:rsidTr="00A63BA8">
        <w:trPr>
          <w:cantSplit/>
        </w:trPr>
        <w:tc>
          <w:tcPr>
            <w:tcW w:w="1191" w:type="pct"/>
          </w:tcPr>
          <w:p w14:paraId="2CC1746F"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Deemed Meter Advance Period</w:t>
            </w:r>
          </w:p>
        </w:tc>
        <w:tc>
          <w:tcPr>
            <w:tcW w:w="1024" w:type="pct"/>
          </w:tcPr>
          <w:p w14:paraId="149C9860"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568E4A61"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2BC84B39"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A period bearing the same relationship to a Deemed Meter Advance as a Meter Advance Period bears to a Meter Advance.</w:t>
            </w:r>
          </w:p>
        </w:tc>
      </w:tr>
      <w:tr w:rsidR="002B4C1E" w:rsidRPr="00630129" w14:paraId="6A8B93DD" w14:textId="77777777" w:rsidTr="00A63BA8">
        <w:trPr>
          <w:cantSplit/>
        </w:trPr>
        <w:tc>
          <w:tcPr>
            <w:tcW w:w="1191" w:type="pct"/>
          </w:tcPr>
          <w:p w14:paraId="518C789C"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Default Estimated Annual Consumption For Metered Metering Systems</w:t>
            </w:r>
          </w:p>
        </w:tc>
        <w:tc>
          <w:tcPr>
            <w:tcW w:w="1024" w:type="pct"/>
          </w:tcPr>
          <w:p w14:paraId="14FBE59F"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DEM</w:t>
            </w:r>
            <w:r w:rsidRPr="00630129">
              <w:rPr>
                <w:rFonts w:ascii="Times New Roman" w:hAnsi="Times New Roman"/>
                <w:sz w:val="22"/>
                <w:szCs w:val="22"/>
                <w:vertAlign w:val="subscript"/>
              </w:rPr>
              <w:t>HZLPR</w:t>
            </w:r>
          </w:p>
        </w:tc>
        <w:tc>
          <w:tcPr>
            <w:tcW w:w="613" w:type="pct"/>
          </w:tcPr>
          <w:p w14:paraId="1EA4BC49"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kWh</w:t>
            </w:r>
          </w:p>
        </w:tc>
        <w:tc>
          <w:tcPr>
            <w:tcW w:w="2171" w:type="pct"/>
          </w:tcPr>
          <w:p w14:paraId="30D806DA"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The Estimated Annual Consumption value determined by a Non-Half Hourly Data Aggregator pursuant to paragraph 4.4 of Annex S-2.</w:t>
            </w:r>
          </w:p>
        </w:tc>
      </w:tr>
      <w:tr w:rsidR="002B4C1E" w:rsidRPr="00630129" w14:paraId="6B1C9741" w14:textId="77777777" w:rsidTr="00A63BA8">
        <w:trPr>
          <w:cantSplit/>
        </w:trPr>
        <w:tc>
          <w:tcPr>
            <w:tcW w:w="1191" w:type="pct"/>
          </w:tcPr>
          <w:p w14:paraId="07B467BF"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Default Estimated Annual Consumption For Unmetered Metering Systems</w:t>
            </w:r>
          </w:p>
        </w:tc>
        <w:tc>
          <w:tcPr>
            <w:tcW w:w="1024" w:type="pct"/>
          </w:tcPr>
          <w:p w14:paraId="2EFCB16D"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DEU</w:t>
            </w:r>
            <w:r w:rsidRPr="00630129">
              <w:rPr>
                <w:rFonts w:ascii="Times New Roman" w:hAnsi="Times New Roman"/>
                <w:sz w:val="22"/>
                <w:szCs w:val="22"/>
                <w:vertAlign w:val="subscript"/>
              </w:rPr>
              <w:t>HZLPR</w:t>
            </w:r>
          </w:p>
        </w:tc>
        <w:tc>
          <w:tcPr>
            <w:tcW w:w="613" w:type="pct"/>
          </w:tcPr>
          <w:p w14:paraId="2F2F6E6D"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kWh</w:t>
            </w:r>
          </w:p>
        </w:tc>
        <w:tc>
          <w:tcPr>
            <w:tcW w:w="2171" w:type="pct"/>
          </w:tcPr>
          <w:p w14:paraId="49AC1E8B" w14:textId="77777777" w:rsidR="002B4C1E" w:rsidRPr="00630129"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630129">
              <w:rPr>
                <w:rFonts w:ascii="Times New Roman" w:hAnsi="Times New Roman"/>
                <w:sz w:val="22"/>
                <w:szCs w:val="22"/>
              </w:rPr>
              <w:t>The value of Estimated Annual Consumption determined for an Unmetered Supply pursuant to paragraph 4.4 of Annex S-2.</w:t>
            </w:r>
          </w:p>
        </w:tc>
      </w:tr>
      <w:tr w:rsidR="002B4C1E" w:rsidRPr="00630129" w14:paraId="3714F22D"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42E393DF" w14:textId="77777777" w:rsidR="002B4C1E" w:rsidRPr="00630129" w:rsidRDefault="002B4C1E" w:rsidP="002B4C1E">
            <w:pPr>
              <w:pStyle w:val="EndnoteText"/>
              <w:rPr>
                <w:sz w:val="22"/>
                <w:szCs w:val="22"/>
              </w:rPr>
            </w:pPr>
            <w:r w:rsidRPr="00630129">
              <w:rPr>
                <w:sz w:val="22"/>
                <w:szCs w:val="22"/>
              </w:rPr>
              <w:t>Demand Disconnection Daily Profile Coefficient</w:t>
            </w:r>
          </w:p>
        </w:tc>
        <w:tc>
          <w:tcPr>
            <w:tcW w:w="1024" w:type="pct"/>
            <w:tcBorders>
              <w:top w:val="single" w:sz="6" w:space="0" w:color="000000"/>
              <w:left w:val="single" w:sz="6" w:space="0" w:color="000000"/>
              <w:bottom w:val="single" w:sz="6" w:space="0" w:color="000000"/>
              <w:right w:val="single" w:sz="6" w:space="0" w:color="000000"/>
            </w:tcBorders>
          </w:tcPr>
          <w:p w14:paraId="2FACA436" w14:textId="77777777" w:rsidR="002B4C1E" w:rsidRPr="00630129" w:rsidRDefault="002B4C1E" w:rsidP="002B4C1E">
            <w:pPr>
              <w:pStyle w:val="EndnoteText"/>
              <w:rPr>
                <w:sz w:val="22"/>
                <w:szCs w:val="22"/>
              </w:rPr>
            </w:pPr>
            <w:r w:rsidRPr="00630129">
              <w:rPr>
                <w:sz w:val="22"/>
                <w:szCs w:val="22"/>
              </w:rPr>
              <w:t>DDDPC</w:t>
            </w:r>
            <w:r w:rsidRPr="00630129">
              <w:rPr>
                <w:sz w:val="22"/>
                <w:szCs w:val="22"/>
                <w:vertAlign w:val="subscript"/>
              </w:rPr>
              <w:t>HPKRT</w:t>
            </w:r>
          </w:p>
        </w:tc>
        <w:tc>
          <w:tcPr>
            <w:tcW w:w="613" w:type="pct"/>
            <w:tcBorders>
              <w:top w:val="single" w:sz="6" w:space="0" w:color="000000"/>
              <w:left w:val="single" w:sz="6" w:space="0" w:color="000000"/>
              <w:bottom w:val="single" w:sz="6" w:space="0" w:color="000000"/>
              <w:right w:val="single" w:sz="6" w:space="0" w:color="000000"/>
            </w:tcBorders>
          </w:tcPr>
          <w:p w14:paraId="0D246910" w14:textId="77777777" w:rsidR="002B4C1E" w:rsidRPr="00630129" w:rsidRDefault="002B4C1E" w:rsidP="002B4C1E">
            <w:pPr>
              <w:pStyle w:val="EndnoteText"/>
              <w:rPr>
                <w:sz w:val="22"/>
                <w:szCs w:val="22"/>
              </w:rPr>
            </w:pPr>
            <w:r w:rsidRPr="00630129">
              <w:rPr>
                <w:sz w:val="22"/>
                <w:szCs w:val="22"/>
              </w:rPr>
              <w:t>Number</w:t>
            </w:r>
          </w:p>
        </w:tc>
        <w:tc>
          <w:tcPr>
            <w:tcW w:w="2171" w:type="pct"/>
            <w:tcBorders>
              <w:top w:val="single" w:sz="6" w:space="0" w:color="000000"/>
              <w:left w:val="single" w:sz="6" w:space="0" w:color="000000"/>
              <w:bottom w:val="single" w:sz="6" w:space="0" w:color="000000"/>
              <w:right w:val="single" w:sz="6" w:space="0" w:color="000000"/>
            </w:tcBorders>
          </w:tcPr>
          <w:p w14:paraId="48DF3C31" w14:textId="77777777" w:rsidR="002B4C1E" w:rsidRPr="00630129" w:rsidRDefault="002B4C1E" w:rsidP="002B4C1E">
            <w:pPr>
              <w:pStyle w:val="EndnoteText"/>
              <w:rPr>
                <w:sz w:val="22"/>
                <w:szCs w:val="22"/>
              </w:rPr>
            </w:pPr>
            <w:r w:rsidRPr="00630129">
              <w:rPr>
                <w:sz w:val="22"/>
                <w:szCs w:val="22"/>
              </w:rPr>
              <w:t>A value which, when applied to an Estimated Annual Consumption or Annualised Advance value, supplies an estimate of Demand Disconnection volume for a Settlement Day and which is equal to the sum of the corresponding Period Profile Class Coefficients for that Settlement Day multiplied by the proportion of each Settlement Period in that Settlement Day for which a given Metering System was subject to Demand Disconnection.</w:t>
            </w:r>
          </w:p>
        </w:tc>
      </w:tr>
      <w:tr w:rsidR="002B4C1E" w:rsidRPr="00630129" w14:paraId="0A693927" w14:textId="77777777" w:rsidTr="00A63BA8">
        <w:trPr>
          <w:cantSplit/>
        </w:trPr>
        <w:tc>
          <w:tcPr>
            <w:tcW w:w="1191" w:type="pct"/>
          </w:tcPr>
          <w:p w14:paraId="399B820A" w14:textId="77777777" w:rsidR="002B4C1E" w:rsidRPr="00630129" w:rsidRDefault="002B4C1E" w:rsidP="002B4C1E">
            <w:pPr>
              <w:rPr>
                <w:sz w:val="22"/>
                <w:szCs w:val="22"/>
              </w:rPr>
            </w:pPr>
            <w:r w:rsidRPr="00630129">
              <w:rPr>
                <w:sz w:val="22"/>
                <w:szCs w:val="22"/>
              </w:rPr>
              <w:t>Effective From Settlement Date</w:t>
            </w:r>
          </w:p>
        </w:tc>
        <w:tc>
          <w:tcPr>
            <w:tcW w:w="1024" w:type="pct"/>
          </w:tcPr>
          <w:p w14:paraId="1DD87D5F" w14:textId="77777777" w:rsidR="002B4C1E" w:rsidRPr="00630129" w:rsidRDefault="002B4C1E" w:rsidP="002B4C1E">
            <w:pPr>
              <w:rPr>
                <w:sz w:val="22"/>
                <w:szCs w:val="22"/>
              </w:rPr>
            </w:pPr>
          </w:p>
        </w:tc>
        <w:tc>
          <w:tcPr>
            <w:tcW w:w="613" w:type="pct"/>
          </w:tcPr>
          <w:p w14:paraId="154E60C8" w14:textId="77777777" w:rsidR="002B4C1E" w:rsidRPr="00630129" w:rsidRDefault="002B4C1E" w:rsidP="002B4C1E">
            <w:pPr>
              <w:rPr>
                <w:sz w:val="22"/>
                <w:szCs w:val="22"/>
              </w:rPr>
            </w:pPr>
          </w:p>
        </w:tc>
        <w:tc>
          <w:tcPr>
            <w:tcW w:w="2171" w:type="pct"/>
          </w:tcPr>
          <w:p w14:paraId="7AE3A621" w14:textId="77777777" w:rsidR="002B4C1E" w:rsidRPr="00630129" w:rsidRDefault="002B4C1E" w:rsidP="002B4C1E">
            <w:pPr>
              <w:rPr>
                <w:sz w:val="22"/>
                <w:szCs w:val="22"/>
              </w:rPr>
            </w:pPr>
            <w:r w:rsidRPr="00630129">
              <w:rPr>
                <w:sz w:val="22"/>
                <w:szCs w:val="22"/>
              </w:rPr>
              <w:t>The date of the Settlement Day on which an Annualised Advance or an Estimated Annual Consumption becomes effective.</w:t>
            </w:r>
          </w:p>
        </w:tc>
      </w:tr>
      <w:tr w:rsidR="002B4C1E" w:rsidRPr="00630129" w14:paraId="52C51CD4" w14:textId="77777777" w:rsidTr="00A63BA8">
        <w:trPr>
          <w:cantSplit/>
        </w:trPr>
        <w:tc>
          <w:tcPr>
            <w:tcW w:w="1191" w:type="pct"/>
          </w:tcPr>
          <w:p w14:paraId="01C235B5" w14:textId="77777777" w:rsidR="002B4C1E" w:rsidRPr="00630129" w:rsidRDefault="002B4C1E" w:rsidP="002B4C1E">
            <w:pPr>
              <w:rPr>
                <w:sz w:val="22"/>
                <w:szCs w:val="22"/>
              </w:rPr>
            </w:pPr>
            <w:r w:rsidRPr="00630129">
              <w:rPr>
                <w:sz w:val="22"/>
                <w:szCs w:val="22"/>
              </w:rPr>
              <w:t>Effective To Settlement Date</w:t>
            </w:r>
          </w:p>
        </w:tc>
        <w:tc>
          <w:tcPr>
            <w:tcW w:w="1024" w:type="pct"/>
          </w:tcPr>
          <w:p w14:paraId="12931E7F" w14:textId="77777777" w:rsidR="002B4C1E" w:rsidRPr="00630129" w:rsidRDefault="002B4C1E" w:rsidP="002B4C1E">
            <w:pPr>
              <w:rPr>
                <w:sz w:val="22"/>
                <w:szCs w:val="22"/>
              </w:rPr>
            </w:pPr>
          </w:p>
        </w:tc>
        <w:tc>
          <w:tcPr>
            <w:tcW w:w="613" w:type="pct"/>
          </w:tcPr>
          <w:p w14:paraId="3105BB64" w14:textId="77777777" w:rsidR="002B4C1E" w:rsidRPr="00630129" w:rsidRDefault="002B4C1E" w:rsidP="002B4C1E">
            <w:pPr>
              <w:rPr>
                <w:sz w:val="22"/>
                <w:szCs w:val="22"/>
              </w:rPr>
            </w:pPr>
          </w:p>
        </w:tc>
        <w:tc>
          <w:tcPr>
            <w:tcW w:w="2171" w:type="pct"/>
          </w:tcPr>
          <w:p w14:paraId="43F2C039" w14:textId="77777777" w:rsidR="002B4C1E" w:rsidRPr="00630129" w:rsidRDefault="002B4C1E" w:rsidP="002B4C1E">
            <w:pPr>
              <w:rPr>
                <w:sz w:val="22"/>
                <w:szCs w:val="22"/>
              </w:rPr>
            </w:pPr>
            <w:r w:rsidRPr="00630129">
              <w:rPr>
                <w:sz w:val="22"/>
                <w:szCs w:val="22"/>
              </w:rPr>
              <w:t>The date of the last Settlement Day on which an Annualised Advance is effective.</w:t>
            </w:r>
          </w:p>
        </w:tc>
      </w:tr>
      <w:tr w:rsidR="002B4C1E" w:rsidRPr="00630129" w14:paraId="63458E7E" w14:textId="77777777" w:rsidTr="00A63BA8">
        <w:trPr>
          <w:cantSplit/>
        </w:trPr>
        <w:tc>
          <w:tcPr>
            <w:tcW w:w="1191" w:type="pct"/>
          </w:tcPr>
          <w:p w14:paraId="6EEFCDD9" w14:textId="77777777" w:rsidR="002B4C1E" w:rsidRPr="00630129" w:rsidRDefault="002B4C1E" w:rsidP="002B4C1E">
            <w:pPr>
              <w:pStyle w:val="EndnoteText"/>
              <w:rPr>
                <w:sz w:val="22"/>
                <w:szCs w:val="22"/>
              </w:rPr>
            </w:pPr>
            <w:r w:rsidRPr="00630129">
              <w:rPr>
                <w:sz w:val="22"/>
                <w:szCs w:val="22"/>
              </w:rPr>
              <w:t>Estimated Annual Consumption</w:t>
            </w:r>
          </w:p>
        </w:tc>
        <w:tc>
          <w:tcPr>
            <w:tcW w:w="1024" w:type="pct"/>
          </w:tcPr>
          <w:p w14:paraId="00B90010" w14:textId="77777777" w:rsidR="002B4C1E" w:rsidRPr="00630129" w:rsidRDefault="002B4C1E" w:rsidP="002B4C1E">
            <w:pPr>
              <w:pStyle w:val="EndnoteText"/>
              <w:rPr>
                <w:sz w:val="22"/>
                <w:szCs w:val="22"/>
              </w:rPr>
            </w:pPr>
            <w:r w:rsidRPr="00630129">
              <w:rPr>
                <w:sz w:val="22"/>
                <w:szCs w:val="22"/>
              </w:rPr>
              <w:t>EAC</w:t>
            </w:r>
            <w:r w:rsidRPr="00630129">
              <w:rPr>
                <w:sz w:val="22"/>
                <w:szCs w:val="22"/>
                <w:vertAlign w:val="subscript"/>
              </w:rPr>
              <w:t>KR</w:t>
            </w:r>
          </w:p>
        </w:tc>
        <w:tc>
          <w:tcPr>
            <w:tcW w:w="613" w:type="pct"/>
          </w:tcPr>
          <w:p w14:paraId="54440D99" w14:textId="77777777" w:rsidR="002B4C1E" w:rsidRPr="00630129" w:rsidRDefault="002B4C1E" w:rsidP="002B4C1E">
            <w:pPr>
              <w:pStyle w:val="EndnoteText"/>
              <w:rPr>
                <w:sz w:val="22"/>
                <w:szCs w:val="22"/>
              </w:rPr>
            </w:pPr>
            <w:r w:rsidRPr="00630129">
              <w:rPr>
                <w:sz w:val="22"/>
                <w:szCs w:val="22"/>
              </w:rPr>
              <w:t>kWh</w:t>
            </w:r>
          </w:p>
        </w:tc>
        <w:tc>
          <w:tcPr>
            <w:tcW w:w="2171" w:type="pct"/>
          </w:tcPr>
          <w:p w14:paraId="51CA91BB" w14:textId="77777777" w:rsidR="002B4C1E" w:rsidRPr="00630129" w:rsidRDefault="002B4C1E" w:rsidP="002B4C1E">
            <w:pPr>
              <w:pStyle w:val="EndnoteText"/>
              <w:rPr>
                <w:sz w:val="22"/>
                <w:szCs w:val="22"/>
              </w:rPr>
            </w:pPr>
            <w:r w:rsidRPr="00630129">
              <w:rPr>
                <w:sz w:val="22"/>
                <w:szCs w:val="22"/>
              </w:rPr>
              <w:t>For each Settlement Register, an estimate of Consumption over a year.</w:t>
            </w:r>
          </w:p>
        </w:tc>
      </w:tr>
      <w:tr w:rsidR="002B4C1E" w:rsidRPr="00630129" w14:paraId="4DE79307" w14:textId="77777777" w:rsidTr="00A63BA8">
        <w:trPr>
          <w:cantSplit/>
        </w:trPr>
        <w:tc>
          <w:tcPr>
            <w:tcW w:w="1191" w:type="pct"/>
          </w:tcPr>
          <w:p w14:paraId="7E7876A0" w14:textId="77777777" w:rsidR="002B4C1E" w:rsidRPr="00630129" w:rsidRDefault="002B4C1E" w:rsidP="002B4C1E">
            <w:pPr>
              <w:pStyle w:val="EndnoteText"/>
              <w:rPr>
                <w:sz w:val="22"/>
                <w:szCs w:val="22"/>
              </w:rPr>
            </w:pPr>
            <w:r w:rsidRPr="00630129">
              <w:rPr>
                <w:sz w:val="22"/>
                <w:szCs w:val="22"/>
              </w:rPr>
              <w:t>Estimated Regional Average Demand Per Customer</w:t>
            </w:r>
          </w:p>
        </w:tc>
        <w:tc>
          <w:tcPr>
            <w:tcW w:w="1024" w:type="pct"/>
          </w:tcPr>
          <w:p w14:paraId="6E6BC5D1" w14:textId="77777777" w:rsidR="002B4C1E" w:rsidRPr="00630129" w:rsidRDefault="002B4C1E" w:rsidP="002B4C1E">
            <w:pPr>
              <w:pStyle w:val="EndnoteText"/>
              <w:rPr>
                <w:sz w:val="22"/>
                <w:szCs w:val="22"/>
              </w:rPr>
            </w:pPr>
            <w:proofErr w:type="spellStart"/>
            <w:r w:rsidRPr="00630129">
              <w:rPr>
                <w:sz w:val="22"/>
                <w:szCs w:val="22"/>
              </w:rPr>
              <w:t>Y</w:t>
            </w:r>
            <w:r w:rsidRPr="00630129">
              <w:rPr>
                <w:sz w:val="22"/>
                <w:szCs w:val="22"/>
                <w:vertAlign w:val="subscript"/>
              </w:rPr>
              <w:t>HQj</w:t>
            </w:r>
            <w:proofErr w:type="spellEnd"/>
          </w:p>
        </w:tc>
        <w:tc>
          <w:tcPr>
            <w:tcW w:w="613" w:type="pct"/>
          </w:tcPr>
          <w:p w14:paraId="3790E022" w14:textId="77777777" w:rsidR="002B4C1E" w:rsidRPr="00630129" w:rsidRDefault="002B4C1E" w:rsidP="002B4C1E">
            <w:pPr>
              <w:pStyle w:val="EndnoteText"/>
              <w:rPr>
                <w:sz w:val="22"/>
                <w:szCs w:val="22"/>
              </w:rPr>
            </w:pPr>
            <w:r w:rsidRPr="00630129">
              <w:rPr>
                <w:sz w:val="22"/>
                <w:szCs w:val="22"/>
              </w:rPr>
              <w:t>kW</w:t>
            </w:r>
          </w:p>
        </w:tc>
        <w:tc>
          <w:tcPr>
            <w:tcW w:w="2171" w:type="pct"/>
          </w:tcPr>
          <w:p w14:paraId="4BF33FE8" w14:textId="77777777" w:rsidR="002B4C1E" w:rsidRPr="00630129" w:rsidRDefault="002B4C1E" w:rsidP="002B4C1E">
            <w:pPr>
              <w:pStyle w:val="EndnoteText"/>
              <w:rPr>
                <w:sz w:val="22"/>
                <w:szCs w:val="22"/>
              </w:rPr>
            </w:pPr>
            <w:r w:rsidRPr="00630129">
              <w:rPr>
                <w:sz w:val="22"/>
                <w:szCs w:val="22"/>
              </w:rPr>
              <w:t>An estimate of customer Consumption by profile and GSP Group in respect of each Settlement Period, determined pursuant to paragraph 6.5 of Annex S-2.</w:t>
            </w:r>
          </w:p>
        </w:tc>
      </w:tr>
      <w:tr w:rsidR="002B4C1E" w:rsidRPr="00630129" w14:paraId="390BB958" w14:textId="77777777" w:rsidTr="00A63BA8">
        <w:trPr>
          <w:cantSplit/>
        </w:trPr>
        <w:tc>
          <w:tcPr>
            <w:tcW w:w="1191" w:type="pct"/>
          </w:tcPr>
          <w:p w14:paraId="48005506" w14:textId="31C78CA5" w:rsidR="002B4C1E" w:rsidRPr="00630129" w:rsidRDefault="002B4C1E" w:rsidP="002B4C1E">
            <w:pPr>
              <w:pStyle w:val="EndnoteText"/>
              <w:rPr>
                <w:sz w:val="22"/>
                <w:szCs w:val="22"/>
              </w:rPr>
            </w:pPr>
            <w:r>
              <w:rPr>
                <w:sz w:val="22"/>
                <w:szCs w:val="22"/>
              </w:rPr>
              <w:lastRenderedPageBreak/>
              <w:t>Export Consumption Component Class</w:t>
            </w:r>
          </w:p>
        </w:tc>
        <w:tc>
          <w:tcPr>
            <w:tcW w:w="1024" w:type="pct"/>
          </w:tcPr>
          <w:p w14:paraId="4FCAAD15" w14:textId="77777777" w:rsidR="002B4C1E" w:rsidRPr="00630129" w:rsidRDefault="002B4C1E" w:rsidP="002B4C1E">
            <w:pPr>
              <w:pStyle w:val="EndnoteText"/>
              <w:rPr>
                <w:sz w:val="22"/>
                <w:szCs w:val="22"/>
              </w:rPr>
            </w:pPr>
          </w:p>
        </w:tc>
        <w:tc>
          <w:tcPr>
            <w:tcW w:w="613" w:type="pct"/>
          </w:tcPr>
          <w:p w14:paraId="2D5ED9AB" w14:textId="77777777" w:rsidR="002B4C1E" w:rsidRPr="00630129" w:rsidRDefault="002B4C1E" w:rsidP="002B4C1E">
            <w:pPr>
              <w:pStyle w:val="EndnoteText"/>
              <w:rPr>
                <w:sz w:val="22"/>
                <w:szCs w:val="22"/>
              </w:rPr>
            </w:pPr>
          </w:p>
        </w:tc>
        <w:tc>
          <w:tcPr>
            <w:tcW w:w="2171" w:type="pct"/>
          </w:tcPr>
          <w:p w14:paraId="2AD14333" w14:textId="77777777" w:rsidR="002B4C1E" w:rsidRPr="00630129" w:rsidRDefault="002B4C1E" w:rsidP="002B4C1E">
            <w:pPr>
              <w:pStyle w:val="EndnoteText"/>
              <w:rPr>
                <w:sz w:val="22"/>
                <w:szCs w:val="22"/>
              </w:rPr>
            </w:pPr>
            <w:r>
              <w:rPr>
                <w:sz w:val="22"/>
                <w:szCs w:val="22"/>
              </w:rPr>
              <w:t>a Consumption Component Class as shown in Table X-8 as having a measurement quantity ID of Active Export</w:t>
            </w:r>
          </w:p>
        </w:tc>
      </w:tr>
      <w:tr w:rsidR="002B4C1E" w:rsidRPr="00630129" w14:paraId="7C7FC604" w14:textId="77777777" w:rsidTr="00A63BA8">
        <w:trPr>
          <w:cantSplit/>
        </w:trPr>
        <w:tc>
          <w:tcPr>
            <w:tcW w:w="1191" w:type="pct"/>
          </w:tcPr>
          <w:p w14:paraId="11D23931" w14:textId="77777777" w:rsidR="002B4C1E" w:rsidRPr="00630129" w:rsidRDefault="002B4C1E" w:rsidP="002B4C1E">
            <w:pPr>
              <w:pStyle w:val="EndnoteText"/>
              <w:rPr>
                <w:sz w:val="22"/>
                <w:szCs w:val="22"/>
              </w:rPr>
            </w:pPr>
            <w:r w:rsidRPr="00630129">
              <w:rPr>
                <w:sz w:val="22"/>
                <w:szCs w:val="22"/>
              </w:rPr>
              <w:t>Fraction Of Yearly Consumption</w:t>
            </w:r>
          </w:p>
        </w:tc>
        <w:tc>
          <w:tcPr>
            <w:tcW w:w="1024" w:type="pct"/>
          </w:tcPr>
          <w:p w14:paraId="48E8C692" w14:textId="77777777" w:rsidR="002B4C1E" w:rsidRPr="00630129" w:rsidRDefault="002B4C1E" w:rsidP="002B4C1E">
            <w:pPr>
              <w:pStyle w:val="EndnoteText"/>
              <w:rPr>
                <w:sz w:val="22"/>
                <w:szCs w:val="22"/>
              </w:rPr>
            </w:pPr>
            <w:r w:rsidRPr="00630129">
              <w:rPr>
                <w:sz w:val="22"/>
                <w:szCs w:val="22"/>
              </w:rPr>
              <w:t>FYC</w:t>
            </w:r>
            <w:r w:rsidRPr="00630129">
              <w:rPr>
                <w:sz w:val="22"/>
                <w:szCs w:val="22"/>
                <w:vertAlign w:val="subscript"/>
              </w:rPr>
              <w:t>KR</w:t>
            </w:r>
          </w:p>
        </w:tc>
        <w:tc>
          <w:tcPr>
            <w:tcW w:w="613" w:type="pct"/>
          </w:tcPr>
          <w:p w14:paraId="2516AA9A" w14:textId="77777777" w:rsidR="002B4C1E" w:rsidRPr="00630129" w:rsidRDefault="002B4C1E" w:rsidP="002B4C1E">
            <w:pPr>
              <w:pStyle w:val="EndnoteText"/>
              <w:rPr>
                <w:sz w:val="22"/>
                <w:szCs w:val="22"/>
              </w:rPr>
            </w:pPr>
          </w:p>
        </w:tc>
        <w:tc>
          <w:tcPr>
            <w:tcW w:w="2171" w:type="pct"/>
          </w:tcPr>
          <w:p w14:paraId="719BAE6F" w14:textId="77777777" w:rsidR="002B4C1E" w:rsidRPr="00630129" w:rsidRDefault="002B4C1E" w:rsidP="002B4C1E">
            <w:pPr>
              <w:pStyle w:val="EndnoteText"/>
              <w:rPr>
                <w:sz w:val="22"/>
                <w:szCs w:val="22"/>
              </w:rPr>
            </w:pPr>
            <w:r w:rsidRPr="00630129">
              <w:rPr>
                <w:sz w:val="22"/>
                <w:szCs w:val="22"/>
              </w:rPr>
              <w:t>The fraction of annual Consumption allocated to a Meter Advance Period pursuant to paragraph 4.3 of Annex S-2.</w:t>
            </w:r>
          </w:p>
        </w:tc>
      </w:tr>
      <w:tr w:rsidR="002B4C1E" w:rsidRPr="00630129" w14:paraId="1E1E504D" w14:textId="77777777" w:rsidTr="00A63BA8">
        <w:trPr>
          <w:cantSplit/>
        </w:trPr>
        <w:tc>
          <w:tcPr>
            <w:tcW w:w="1191" w:type="pct"/>
          </w:tcPr>
          <w:p w14:paraId="4CDC84A8" w14:textId="77777777" w:rsidR="002B4C1E" w:rsidRPr="00630129" w:rsidRDefault="002B4C1E" w:rsidP="002B4C1E">
            <w:pPr>
              <w:pStyle w:val="EndnoteText"/>
              <w:rPr>
                <w:sz w:val="22"/>
                <w:szCs w:val="22"/>
              </w:rPr>
            </w:pPr>
            <w:r w:rsidRPr="00630129">
              <w:rPr>
                <w:sz w:val="22"/>
                <w:szCs w:val="22"/>
              </w:rPr>
              <w:t>Grid Supply Point Group Measured Temperature</w:t>
            </w:r>
          </w:p>
        </w:tc>
        <w:tc>
          <w:tcPr>
            <w:tcW w:w="1024" w:type="pct"/>
          </w:tcPr>
          <w:p w14:paraId="42DA0EF4" w14:textId="77777777" w:rsidR="002B4C1E" w:rsidRPr="00630129" w:rsidRDefault="002B4C1E" w:rsidP="002B4C1E">
            <w:pPr>
              <w:pStyle w:val="EndnoteText"/>
              <w:rPr>
                <w:sz w:val="22"/>
                <w:szCs w:val="22"/>
              </w:rPr>
            </w:pPr>
            <w:r w:rsidRPr="00630129">
              <w:rPr>
                <w:sz w:val="22"/>
                <w:szCs w:val="22"/>
              </w:rPr>
              <w:t>T</w:t>
            </w:r>
            <w:r w:rsidRPr="00630129">
              <w:rPr>
                <w:sz w:val="22"/>
                <w:szCs w:val="22"/>
                <w:vertAlign w:val="subscript"/>
              </w:rPr>
              <w:t>HT</w:t>
            </w:r>
          </w:p>
        </w:tc>
        <w:tc>
          <w:tcPr>
            <w:tcW w:w="613" w:type="pct"/>
          </w:tcPr>
          <w:p w14:paraId="427C6C06" w14:textId="77777777" w:rsidR="002B4C1E" w:rsidRPr="00630129" w:rsidRDefault="002B4C1E" w:rsidP="002B4C1E">
            <w:pPr>
              <w:pStyle w:val="EndnoteText"/>
              <w:rPr>
                <w:sz w:val="22"/>
                <w:szCs w:val="22"/>
              </w:rPr>
            </w:pPr>
            <w:r w:rsidRPr="00630129">
              <w:rPr>
                <w:sz w:val="22"/>
                <w:szCs w:val="22"/>
              </w:rPr>
              <w:sym w:font="Symbol" w:char="F0B0"/>
            </w:r>
            <w:r w:rsidRPr="00630129">
              <w:rPr>
                <w:sz w:val="22"/>
                <w:szCs w:val="22"/>
              </w:rPr>
              <w:t>F</w:t>
            </w:r>
          </w:p>
        </w:tc>
        <w:tc>
          <w:tcPr>
            <w:tcW w:w="2171" w:type="pct"/>
          </w:tcPr>
          <w:p w14:paraId="3A4903A9" w14:textId="77777777" w:rsidR="002B4C1E" w:rsidRPr="00630129" w:rsidRDefault="002B4C1E" w:rsidP="002B4C1E">
            <w:pPr>
              <w:pStyle w:val="EndnoteText"/>
              <w:rPr>
                <w:sz w:val="22"/>
                <w:szCs w:val="22"/>
              </w:rPr>
            </w:pPr>
            <w:r w:rsidRPr="00630129">
              <w:rPr>
                <w:sz w:val="22"/>
                <w:szCs w:val="22"/>
              </w:rPr>
              <w:t>A temperature taken at locations and times from time to time agreed by the Panel and provided by the Temperature Provider pursuant to paragraph 5.2.2 of Annex S-2.</w:t>
            </w:r>
          </w:p>
        </w:tc>
      </w:tr>
      <w:tr w:rsidR="002B4C1E" w:rsidRPr="00630129" w14:paraId="1E95447E" w14:textId="77777777" w:rsidTr="00A63BA8">
        <w:trPr>
          <w:cantSplit/>
        </w:trPr>
        <w:tc>
          <w:tcPr>
            <w:tcW w:w="1191" w:type="pct"/>
          </w:tcPr>
          <w:p w14:paraId="0BFB4EA7" w14:textId="77777777" w:rsidR="002B4C1E" w:rsidRPr="00630129" w:rsidRDefault="002B4C1E" w:rsidP="002B4C1E">
            <w:pPr>
              <w:pStyle w:val="EndnoteText"/>
              <w:rPr>
                <w:sz w:val="22"/>
                <w:szCs w:val="22"/>
              </w:rPr>
            </w:pPr>
            <w:r w:rsidRPr="00630129">
              <w:rPr>
                <w:sz w:val="22"/>
                <w:szCs w:val="22"/>
              </w:rPr>
              <w:t>Group Average Annual Consumption</w:t>
            </w:r>
          </w:p>
        </w:tc>
        <w:tc>
          <w:tcPr>
            <w:tcW w:w="1024" w:type="pct"/>
          </w:tcPr>
          <w:p w14:paraId="43050461" w14:textId="77777777" w:rsidR="002B4C1E" w:rsidRPr="00630129" w:rsidRDefault="002B4C1E" w:rsidP="002B4C1E">
            <w:pPr>
              <w:pStyle w:val="EndnoteText"/>
              <w:rPr>
                <w:sz w:val="22"/>
                <w:szCs w:val="22"/>
              </w:rPr>
            </w:pPr>
            <w:r w:rsidRPr="00630129">
              <w:rPr>
                <w:sz w:val="22"/>
                <w:szCs w:val="22"/>
              </w:rPr>
              <w:t>GAAC</w:t>
            </w:r>
            <w:r w:rsidRPr="00630129">
              <w:rPr>
                <w:sz w:val="22"/>
                <w:szCs w:val="22"/>
                <w:vertAlign w:val="subscript"/>
              </w:rPr>
              <w:t>HQ</w:t>
            </w:r>
          </w:p>
        </w:tc>
        <w:tc>
          <w:tcPr>
            <w:tcW w:w="613" w:type="pct"/>
          </w:tcPr>
          <w:p w14:paraId="3285E16B" w14:textId="77777777" w:rsidR="002B4C1E" w:rsidRPr="00630129" w:rsidRDefault="002B4C1E" w:rsidP="002B4C1E">
            <w:pPr>
              <w:pStyle w:val="EndnoteText"/>
              <w:rPr>
                <w:sz w:val="22"/>
                <w:szCs w:val="22"/>
              </w:rPr>
            </w:pPr>
            <w:r w:rsidRPr="00630129">
              <w:rPr>
                <w:sz w:val="22"/>
                <w:szCs w:val="22"/>
              </w:rPr>
              <w:t>MWh</w:t>
            </w:r>
          </w:p>
        </w:tc>
        <w:tc>
          <w:tcPr>
            <w:tcW w:w="2171" w:type="pct"/>
          </w:tcPr>
          <w:p w14:paraId="55259A17" w14:textId="77777777" w:rsidR="002B4C1E" w:rsidRPr="00630129" w:rsidRDefault="002B4C1E" w:rsidP="002B4C1E">
            <w:pPr>
              <w:pStyle w:val="EndnoteText"/>
              <w:rPr>
                <w:sz w:val="22"/>
                <w:szCs w:val="22"/>
              </w:rPr>
            </w:pPr>
            <w:r w:rsidRPr="00630129">
              <w:rPr>
                <w:sz w:val="22"/>
                <w:szCs w:val="22"/>
              </w:rPr>
              <w:t>The average annual Consumption for each GSP Group for each profile as supplied by the Profile Administrator pursuant to paragraph 5.1.4 of Annex S-2.</w:t>
            </w:r>
          </w:p>
        </w:tc>
      </w:tr>
      <w:tr w:rsidR="002B4C1E" w:rsidRPr="00630129" w14:paraId="00BD3570" w14:textId="77777777" w:rsidTr="00A63BA8">
        <w:trPr>
          <w:cantSplit/>
        </w:trPr>
        <w:tc>
          <w:tcPr>
            <w:tcW w:w="1191" w:type="pct"/>
          </w:tcPr>
          <w:p w14:paraId="5F714AF9" w14:textId="77777777" w:rsidR="002B4C1E" w:rsidRPr="00630129" w:rsidRDefault="002B4C1E" w:rsidP="002B4C1E">
            <w:pPr>
              <w:pStyle w:val="EndnoteText"/>
              <w:rPr>
                <w:sz w:val="22"/>
                <w:szCs w:val="22"/>
              </w:rPr>
            </w:pPr>
            <w:r w:rsidRPr="00630129">
              <w:rPr>
                <w:sz w:val="22"/>
                <w:szCs w:val="22"/>
              </w:rPr>
              <w:t>GSP Group Correction Factor</w:t>
            </w:r>
          </w:p>
        </w:tc>
        <w:tc>
          <w:tcPr>
            <w:tcW w:w="1024" w:type="pct"/>
          </w:tcPr>
          <w:p w14:paraId="18560AF3" w14:textId="77777777" w:rsidR="002B4C1E" w:rsidRPr="00630129" w:rsidRDefault="002B4C1E" w:rsidP="002B4C1E">
            <w:pPr>
              <w:pStyle w:val="EndnoteText"/>
              <w:rPr>
                <w:sz w:val="22"/>
                <w:szCs w:val="22"/>
              </w:rPr>
            </w:pPr>
            <w:proofErr w:type="spellStart"/>
            <w:r w:rsidRPr="00630129">
              <w:rPr>
                <w:sz w:val="22"/>
                <w:szCs w:val="22"/>
              </w:rPr>
              <w:t>CF</w:t>
            </w:r>
            <w:r w:rsidRPr="00630129">
              <w:rPr>
                <w:sz w:val="22"/>
                <w:szCs w:val="22"/>
                <w:vertAlign w:val="subscript"/>
              </w:rPr>
              <w:t>Hj</w:t>
            </w:r>
            <w:proofErr w:type="spellEnd"/>
          </w:p>
        </w:tc>
        <w:tc>
          <w:tcPr>
            <w:tcW w:w="613" w:type="pct"/>
          </w:tcPr>
          <w:p w14:paraId="37EED39C" w14:textId="77777777" w:rsidR="002B4C1E" w:rsidRPr="00630129" w:rsidRDefault="002B4C1E" w:rsidP="002B4C1E">
            <w:pPr>
              <w:pStyle w:val="EndnoteText"/>
              <w:rPr>
                <w:sz w:val="22"/>
                <w:szCs w:val="22"/>
              </w:rPr>
            </w:pPr>
          </w:p>
        </w:tc>
        <w:tc>
          <w:tcPr>
            <w:tcW w:w="2171" w:type="pct"/>
          </w:tcPr>
          <w:p w14:paraId="6038DE83" w14:textId="77777777" w:rsidR="002B4C1E" w:rsidRPr="00630129" w:rsidRDefault="002B4C1E" w:rsidP="002B4C1E">
            <w:pPr>
              <w:pStyle w:val="EndnoteText"/>
              <w:rPr>
                <w:sz w:val="22"/>
                <w:szCs w:val="22"/>
              </w:rPr>
            </w:pPr>
            <w:r w:rsidRPr="00630129">
              <w:rPr>
                <w:sz w:val="22"/>
                <w:szCs w:val="22"/>
              </w:rPr>
              <w:t>The factor by which the relevant components of GSP Group Consumption are adjusted and which is determined pursuant to paragraph 9.2 of Annex S-2.</w:t>
            </w:r>
          </w:p>
        </w:tc>
      </w:tr>
      <w:tr w:rsidR="002B4C1E" w:rsidRPr="00630129" w14:paraId="70C82B05" w14:textId="77777777" w:rsidTr="00A63BA8">
        <w:trPr>
          <w:cantSplit/>
        </w:trPr>
        <w:tc>
          <w:tcPr>
            <w:tcW w:w="1191" w:type="pct"/>
          </w:tcPr>
          <w:p w14:paraId="75B7C81A" w14:textId="77777777" w:rsidR="002B4C1E" w:rsidRPr="00630129" w:rsidRDefault="002B4C1E" w:rsidP="002B4C1E">
            <w:pPr>
              <w:pStyle w:val="EndnoteText"/>
              <w:rPr>
                <w:sz w:val="22"/>
                <w:szCs w:val="22"/>
              </w:rPr>
            </w:pPr>
            <w:r w:rsidRPr="00630129">
              <w:rPr>
                <w:sz w:val="22"/>
                <w:szCs w:val="22"/>
              </w:rPr>
              <w:t>GSP Group Correction Scaling Weight</w:t>
            </w:r>
          </w:p>
        </w:tc>
        <w:tc>
          <w:tcPr>
            <w:tcW w:w="1024" w:type="pct"/>
          </w:tcPr>
          <w:p w14:paraId="2684730D" w14:textId="77777777" w:rsidR="002B4C1E" w:rsidRPr="00630129" w:rsidRDefault="002B4C1E" w:rsidP="002B4C1E">
            <w:pPr>
              <w:pStyle w:val="EndnoteText"/>
              <w:rPr>
                <w:sz w:val="22"/>
                <w:szCs w:val="22"/>
              </w:rPr>
            </w:pPr>
            <w:r w:rsidRPr="00630129">
              <w:rPr>
                <w:sz w:val="22"/>
                <w:szCs w:val="22"/>
              </w:rPr>
              <w:t>WT</w:t>
            </w:r>
            <w:r w:rsidRPr="00630129">
              <w:rPr>
                <w:sz w:val="22"/>
                <w:szCs w:val="22"/>
                <w:vertAlign w:val="subscript"/>
              </w:rPr>
              <w:t>N</w:t>
            </w:r>
          </w:p>
        </w:tc>
        <w:tc>
          <w:tcPr>
            <w:tcW w:w="613" w:type="pct"/>
          </w:tcPr>
          <w:p w14:paraId="423E846D" w14:textId="77777777" w:rsidR="002B4C1E" w:rsidRPr="00630129" w:rsidRDefault="002B4C1E" w:rsidP="002B4C1E">
            <w:pPr>
              <w:pStyle w:val="EndnoteText"/>
              <w:rPr>
                <w:sz w:val="22"/>
                <w:szCs w:val="22"/>
              </w:rPr>
            </w:pPr>
            <w:r w:rsidRPr="00630129">
              <w:rPr>
                <w:sz w:val="22"/>
                <w:szCs w:val="22"/>
              </w:rPr>
              <w:t>Number</w:t>
            </w:r>
          </w:p>
        </w:tc>
        <w:tc>
          <w:tcPr>
            <w:tcW w:w="2171" w:type="pct"/>
          </w:tcPr>
          <w:p w14:paraId="736B271B" w14:textId="77777777" w:rsidR="002B4C1E" w:rsidRPr="00630129" w:rsidRDefault="002B4C1E" w:rsidP="002B4C1E">
            <w:pPr>
              <w:pStyle w:val="EndnoteText"/>
              <w:rPr>
                <w:sz w:val="22"/>
                <w:szCs w:val="22"/>
              </w:rPr>
            </w:pPr>
            <w:r w:rsidRPr="00630129">
              <w:rPr>
                <w:sz w:val="22"/>
                <w:szCs w:val="22"/>
              </w:rPr>
              <w:t>The weighting for each Consumption Component Class used in GSP Group correction and which is supplied pursuant to paragraph 5.1.5 of Annex S-2.</w:t>
            </w:r>
          </w:p>
        </w:tc>
      </w:tr>
      <w:tr w:rsidR="002B4C1E" w:rsidRPr="00630129" w14:paraId="402A6D53" w14:textId="77777777" w:rsidTr="00A63BA8">
        <w:trPr>
          <w:cantSplit/>
        </w:trPr>
        <w:tc>
          <w:tcPr>
            <w:tcW w:w="1191" w:type="pct"/>
          </w:tcPr>
          <w:p w14:paraId="4A275487" w14:textId="77777777" w:rsidR="002B4C1E" w:rsidRPr="00630129" w:rsidRDefault="002B4C1E" w:rsidP="002B4C1E">
            <w:pPr>
              <w:pStyle w:val="EndnoteText"/>
              <w:rPr>
                <w:sz w:val="22"/>
                <w:szCs w:val="22"/>
              </w:rPr>
            </w:pPr>
            <w:r w:rsidRPr="00630129">
              <w:rPr>
                <w:sz w:val="22"/>
                <w:szCs w:val="22"/>
              </w:rPr>
              <w:t>GSP Group Half Hourly Consumption</w:t>
            </w:r>
          </w:p>
        </w:tc>
        <w:tc>
          <w:tcPr>
            <w:tcW w:w="1024" w:type="pct"/>
          </w:tcPr>
          <w:p w14:paraId="61E2A6AB" w14:textId="77777777" w:rsidR="002B4C1E" w:rsidRPr="00630129" w:rsidRDefault="002B4C1E" w:rsidP="002B4C1E">
            <w:pPr>
              <w:pStyle w:val="EndnoteText"/>
              <w:rPr>
                <w:sz w:val="22"/>
                <w:szCs w:val="22"/>
              </w:rPr>
            </w:pPr>
            <w:proofErr w:type="spellStart"/>
            <w:r w:rsidRPr="00630129">
              <w:rPr>
                <w:sz w:val="22"/>
                <w:szCs w:val="22"/>
              </w:rPr>
              <w:t>GC</w:t>
            </w:r>
            <w:r w:rsidRPr="00630129">
              <w:rPr>
                <w:sz w:val="22"/>
                <w:szCs w:val="22"/>
                <w:vertAlign w:val="subscript"/>
              </w:rPr>
              <w:t>HNj</w:t>
            </w:r>
            <w:proofErr w:type="spellEnd"/>
          </w:p>
        </w:tc>
        <w:tc>
          <w:tcPr>
            <w:tcW w:w="613" w:type="pct"/>
          </w:tcPr>
          <w:p w14:paraId="4F20CFFA" w14:textId="77777777" w:rsidR="002B4C1E" w:rsidRPr="00630129" w:rsidRDefault="002B4C1E" w:rsidP="002B4C1E">
            <w:pPr>
              <w:pStyle w:val="EndnoteText"/>
              <w:rPr>
                <w:sz w:val="22"/>
                <w:szCs w:val="22"/>
              </w:rPr>
            </w:pPr>
            <w:r w:rsidRPr="00630129">
              <w:rPr>
                <w:sz w:val="22"/>
                <w:szCs w:val="22"/>
              </w:rPr>
              <w:t>MWh</w:t>
            </w:r>
          </w:p>
        </w:tc>
        <w:tc>
          <w:tcPr>
            <w:tcW w:w="2171" w:type="pct"/>
          </w:tcPr>
          <w:p w14:paraId="38D78C34" w14:textId="77777777" w:rsidR="002B4C1E" w:rsidRPr="00630129" w:rsidRDefault="002B4C1E" w:rsidP="002B4C1E">
            <w:pPr>
              <w:pStyle w:val="EndnoteText"/>
              <w:rPr>
                <w:sz w:val="22"/>
                <w:szCs w:val="22"/>
              </w:rPr>
            </w:pPr>
            <w:r w:rsidRPr="00630129">
              <w:rPr>
                <w:sz w:val="22"/>
                <w:szCs w:val="22"/>
              </w:rPr>
              <w:t>The GSP Group half hourly Consumption by Consumption Component Class determined pursuant to paragraph 9.1 of Annex S-2.</w:t>
            </w:r>
          </w:p>
        </w:tc>
      </w:tr>
      <w:tr w:rsidR="002B4C1E" w:rsidRPr="00630129" w14:paraId="35E2C55C" w14:textId="77777777" w:rsidTr="00A63BA8">
        <w:trPr>
          <w:cantSplit/>
        </w:trPr>
        <w:tc>
          <w:tcPr>
            <w:tcW w:w="1191" w:type="pct"/>
          </w:tcPr>
          <w:p w14:paraId="36B0D91A" w14:textId="77777777" w:rsidR="002B4C1E" w:rsidRPr="00630129" w:rsidRDefault="002B4C1E" w:rsidP="002B4C1E">
            <w:pPr>
              <w:pStyle w:val="EndnoteText"/>
              <w:rPr>
                <w:sz w:val="22"/>
                <w:szCs w:val="22"/>
              </w:rPr>
            </w:pPr>
            <w:r w:rsidRPr="00630129">
              <w:rPr>
                <w:sz w:val="22"/>
                <w:szCs w:val="22"/>
              </w:rPr>
              <w:t>GSP Group Profile Class Average Estimated Annual Consumption</w:t>
            </w:r>
          </w:p>
        </w:tc>
        <w:tc>
          <w:tcPr>
            <w:tcW w:w="1024" w:type="pct"/>
          </w:tcPr>
          <w:p w14:paraId="39858D04" w14:textId="77777777" w:rsidR="002B4C1E" w:rsidRPr="00630129" w:rsidRDefault="002B4C1E" w:rsidP="002B4C1E">
            <w:pPr>
              <w:pStyle w:val="EndnoteText"/>
              <w:rPr>
                <w:sz w:val="22"/>
                <w:szCs w:val="22"/>
              </w:rPr>
            </w:pPr>
            <w:r w:rsidRPr="00630129">
              <w:rPr>
                <w:sz w:val="22"/>
                <w:szCs w:val="22"/>
              </w:rPr>
              <w:t>GGPCAEAC</w:t>
            </w:r>
            <w:r w:rsidRPr="00630129">
              <w:rPr>
                <w:sz w:val="22"/>
                <w:szCs w:val="22"/>
                <w:vertAlign w:val="subscript"/>
              </w:rPr>
              <w:t>HPC</w:t>
            </w:r>
          </w:p>
        </w:tc>
        <w:tc>
          <w:tcPr>
            <w:tcW w:w="613" w:type="pct"/>
          </w:tcPr>
          <w:p w14:paraId="537FB2BC" w14:textId="77777777" w:rsidR="002B4C1E" w:rsidRPr="00630129" w:rsidRDefault="002B4C1E" w:rsidP="002B4C1E">
            <w:pPr>
              <w:pStyle w:val="EndnoteText"/>
              <w:rPr>
                <w:sz w:val="22"/>
                <w:szCs w:val="22"/>
              </w:rPr>
            </w:pPr>
            <w:r w:rsidRPr="00630129">
              <w:rPr>
                <w:sz w:val="22"/>
                <w:szCs w:val="22"/>
              </w:rPr>
              <w:t>kWh</w:t>
            </w:r>
          </w:p>
        </w:tc>
        <w:tc>
          <w:tcPr>
            <w:tcW w:w="2171" w:type="pct"/>
          </w:tcPr>
          <w:p w14:paraId="64F8BFCB" w14:textId="77777777" w:rsidR="002B4C1E" w:rsidRPr="00630129" w:rsidRDefault="002B4C1E" w:rsidP="002B4C1E">
            <w:pPr>
              <w:pStyle w:val="Header"/>
              <w:tabs>
                <w:tab w:val="clear" w:pos="4153"/>
                <w:tab w:val="clear" w:pos="8306"/>
              </w:tabs>
              <w:rPr>
                <w:sz w:val="22"/>
                <w:szCs w:val="22"/>
              </w:rPr>
            </w:pPr>
            <w:r w:rsidRPr="00630129">
              <w:rPr>
                <w:sz w:val="22"/>
                <w:szCs w:val="22"/>
              </w:rPr>
              <w:t>The average Estimated Annual Consumption in respect of a GSP Group, Profile Class and Standard Settlement Configuration determined pursuant to paragraph 5.1 of Annex S-2.</w:t>
            </w:r>
          </w:p>
        </w:tc>
      </w:tr>
      <w:tr w:rsidR="002B4C1E" w:rsidRPr="00630129" w14:paraId="79588BF1" w14:textId="77777777" w:rsidTr="00A63BA8">
        <w:trPr>
          <w:cantSplit/>
        </w:trPr>
        <w:tc>
          <w:tcPr>
            <w:tcW w:w="1191" w:type="pct"/>
          </w:tcPr>
          <w:p w14:paraId="57BA2280" w14:textId="77777777" w:rsidR="002B4C1E" w:rsidRPr="00630129" w:rsidRDefault="002B4C1E" w:rsidP="002B4C1E">
            <w:pPr>
              <w:pStyle w:val="EndnoteText"/>
              <w:rPr>
                <w:sz w:val="22"/>
                <w:szCs w:val="22"/>
              </w:rPr>
            </w:pPr>
            <w:r w:rsidRPr="00630129">
              <w:rPr>
                <w:sz w:val="22"/>
                <w:szCs w:val="22"/>
              </w:rPr>
              <w:t>GSP Group Profile Class Default Estimated Annual Consumption</w:t>
            </w:r>
          </w:p>
        </w:tc>
        <w:tc>
          <w:tcPr>
            <w:tcW w:w="1024" w:type="pct"/>
          </w:tcPr>
          <w:p w14:paraId="1ACA7EAA" w14:textId="77777777" w:rsidR="002B4C1E" w:rsidRPr="00630129" w:rsidRDefault="002B4C1E" w:rsidP="002B4C1E">
            <w:pPr>
              <w:pStyle w:val="EndnoteText"/>
              <w:rPr>
                <w:sz w:val="22"/>
                <w:szCs w:val="22"/>
              </w:rPr>
            </w:pPr>
            <w:r w:rsidRPr="00630129">
              <w:rPr>
                <w:sz w:val="22"/>
                <w:szCs w:val="22"/>
              </w:rPr>
              <w:t>GGPCDEAC</w:t>
            </w:r>
            <w:r w:rsidRPr="00630129">
              <w:rPr>
                <w:sz w:val="22"/>
                <w:szCs w:val="22"/>
                <w:vertAlign w:val="subscript"/>
              </w:rPr>
              <w:t>HP</w:t>
            </w:r>
          </w:p>
        </w:tc>
        <w:tc>
          <w:tcPr>
            <w:tcW w:w="613" w:type="pct"/>
          </w:tcPr>
          <w:p w14:paraId="656A0464" w14:textId="77777777" w:rsidR="002B4C1E" w:rsidRPr="00630129" w:rsidRDefault="002B4C1E" w:rsidP="002B4C1E">
            <w:pPr>
              <w:pStyle w:val="EndnoteText"/>
              <w:rPr>
                <w:sz w:val="22"/>
                <w:szCs w:val="22"/>
              </w:rPr>
            </w:pPr>
            <w:r w:rsidRPr="00630129">
              <w:rPr>
                <w:sz w:val="22"/>
                <w:szCs w:val="22"/>
              </w:rPr>
              <w:t>kWh</w:t>
            </w:r>
          </w:p>
        </w:tc>
        <w:tc>
          <w:tcPr>
            <w:tcW w:w="2171" w:type="pct"/>
          </w:tcPr>
          <w:p w14:paraId="2F3758DB" w14:textId="77777777" w:rsidR="002B4C1E" w:rsidRPr="00630129" w:rsidRDefault="002B4C1E" w:rsidP="002B4C1E">
            <w:pPr>
              <w:pStyle w:val="EndnoteText"/>
              <w:rPr>
                <w:sz w:val="22"/>
                <w:szCs w:val="22"/>
              </w:rPr>
            </w:pPr>
            <w:r w:rsidRPr="00630129">
              <w:rPr>
                <w:sz w:val="22"/>
                <w:szCs w:val="22"/>
              </w:rPr>
              <w:t>The average Estimated Annual Consumption provided in respect of a GSP Group and Profile Class pursuant to paragraph 5.1.3 of Annex S-2.</w:t>
            </w:r>
          </w:p>
        </w:tc>
      </w:tr>
      <w:tr w:rsidR="002B4C1E" w:rsidRPr="00630129" w14:paraId="4002A4EC" w14:textId="77777777" w:rsidTr="00A63BA8">
        <w:trPr>
          <w:cantSplit/>
        </w:trPr>
        <w:tc>
          <w:tcPr>
            <w:tcW w:w="1191" w:type="pct"/>
          </w:tcPr>
          <w:p w14:paraId="54FD9A34" w14:textId="77777777" w:rsidR="002B4C1E" w:rsidRPr="00630129" w:rsidRDefault="002B4C1E" w:rsidP="002B4C1E">
            <w:pPr>
              <w:pStyle w:val="EndnoteText"/>
              <w:rPr>
                <w:sz w:val="22"/>
                <w:szCs w:val="22"/>
              </w:rPr>
            </w:pPr>
            <w:r w:rsidRPr="00630129">
              <w:rPr>
                <w:sz w:val="22"/>
                <w:szCs w:val="22"/>
              </w:rPr>
              <w:t>GSP Group Take</w:t>
            </w:r>
          </w:p>
        </w:tc>
        <w:tc>
          <w:tcPr>
            <w:tcW w:w="1024" w:type="pct"/>
          </w:tcPr>
          <w:p w14:paraId="2011AE42" w14:textId="77777777" w:rsidR="002B4C1E" w:rsidRPr="00630129" w:rsidRDefault="002B4C1E" w:rsidP="002B4C1E">
            <w:pPr>
              <w:pStyle w:val="EndnoteText"/>
              <w:rPr>
                <w:sz w:val="22"/>
                <w:szCs w:val="22"/>
              </w:rPr>
            </w:pPr>
            <w:proofErr w:type="spellStart"/>
            <w:r w:rsidRPr="00630129">
              <w:rPr>
                <w:sz w:val="22"/>
                <w:szCs w:val="22"/>
              </w:rPr>
              <w:t>GSPGT</w:t>
            </w:r>
            <w:r w:rsidRPr="00630129">
              <w:rPr>
                <w:sz w:val="22"/>
                <w:szCs w:val="22"/>
                <w:vertAlign w:val="subscript"/>
              </w:rPr>
              <w:t>Hj</w:t>
            </w:r>
            <w:proofErr w:type="spellEnd"/>
          </w:p>
        </w:tc>
        <w:tc>
          <w:tcPr>
            <w:tcW w:w="613" w:type="pct"/>
          </w:tcPr>
          <w:p w14:paraId="6156ECFF" w14:textId="77777777" w:rsidR="002B4C1E" w:rsidRPr="00630129" w:rsidRDefault="002B4C1E" w:rsidP="002B4C1E">
            <w:pPr>
              <w:pStyle w:val="EndnoteText"/>
              <w:rPr>
                <w:sz w:val="22"/>
                <w:szCs w:val="22"/>
              </w:rPr>
            </w:pPr>
            <w:r w:rsidRPr="00630129">
              <w:rPr>
                <w:sz w:val="22"/>
                <w:szCs w:val="22"/>
              </w:rPr>
              <w:t>MWh</w:t>
            </w:r>
          </w:p>
        </w:tc>
        <w:tc>
          <w:tcPr>
            <w:tcW w:w="2171" w:type="pct"/>
          </w:tcPr>
          <w:p w14:paraId="5ECED65D" w14:textId="77777777" w:rsidR="002B4C1E" w:rsidRPr="00630129" w:rsidRDefault="002B4C1E" w:rsidP="002B4C1E">
            <w:pPr>
              <w:pStyle w:val="EndnoteText"/>
              <w:rPr>
                <w:sz w:val="22"/>
                <w:szCs w:val="22"/>
              </w:rPr>
            </w:pPr>
            <w:r w:rsidRPr="00630129">
              <w:rPr>
                <w:sz w:val="22"/>
                <w:szCs w:val="22"/>
              </w:rPr>
              <w:t>In relation to a GSP Group and a Settlement Period, the number submitted to the SVAA by the CDCA pursuant to Section R5.7.1(b).</w:t>
            </w:r>
          </w:p>
        </w:tc>
      </w:tr>
      <w:tr w:rsidR="002B4C1E" w:rsidRPr="00630129" w14:paraId="5E3D348C" w14:textId="77777777" w:rsidTr="00A63BA8">
        <w:trPr>
          <w:cantSplit/>
        </w:trPr>
        <w:tc>
          <w:tcPr>
            <w:tcW w:w="1191" w:type="pct"/>
          </w:tcPr>
          <w:p w14:paraId="407DC43B" w14:textId="77777777" w:rsidR="002B4C1E" w:rsidRPr="00630129" w:rsidRDefault="002B4C1E" w:rsidP="002B4C1E">
            <w:pPr>
              <w:pStyle w:val="EndnoteText"/>
              <w:rPr>
                <w:sz w:val="22"/>
                <w:szCs w:val="22"/>
              </w:rPr>
            </w:pPr>
            <w:r w:rsidRPr="00630129">
              <w:rPr>
                <w:sz w:val="22"/>
                <w:szCs w:val="22"/>
              </w:rPr>
              <w:lastRenderedPageBreak/>
              <w:t>Half Hourly Consumption (Losses)</w:t>
            </w:r>
          </w:p>
        </w:tc>
        <w:tc>
          <w:tcPr>
            <w:tcW w:w="1024" w:type="pct"/>
          </w:tcPr>
          <w:p w14:paraId="33DDE4C0" w14:textId="77777777" w:rsidR="002B4C1E" w:rsidRPr="00630129" w:rsidRDefault="002B4C1E" w:rsidP="002B4C1E">
            <w:pPr>
              <w:pStyle w:val="EndnoteText"/>
              <w:rPr>
                <w:sz w:val="22"/>
                <w:szCs w:val="22"/>
              </w:rPr>
            </w:pPr>
            <w:proofErr w:type="spellStart"/>
            <w:r w:rsidRPr="00630129">
              <w:rPr>
                <w:sz w:val="22"/>
                <w:szCs w:val="22"/>
              </w:rPr>
              <w:t>CLOSS</w:t>
            </w:r>
            <w:r w:rsidRPr="00630129">
              <w:rPr>
                <w:sz w:val="22"/>
                <w:szCs w:val="22"/>
                <w:vertAlign w:val="subscript"/>
              </w:rPr>
              <w:t>iNj</w:t>
            </w:r>
            <w:proofErr w:type="spellEnd"/>
          </w:p>
        </w:tc>
        <w:tc>
          <w:tcPr>
            <w:tcW w:w="613" w:type="pct"/>
          </w:tcPr>
          <w:p w14:paraId="629D6101" w14:textId="77777777" w:rsidR="002B4C1E" w:rsidRPr="00630129" w:rsidRDefault="002B4C1E" w:rsidP="002B4C1E">
            <w:pPr>
              <w:pStyle w:val="EndnoteText"/>
              <w:rPr>
                <w:sz w:val="22"/>
                <w:szCs w:val="22"/>
              </w:rPr>
            </w:pPr>
            <w:r w:rsidRPr="00630129">
              <w:rPr>
                <w:sz w:val="22"/>
                <w:szCs w:val="22"/>
              </w:rPr>
              <w:t>MWh</w:t>
            </w:r>
          </w:p>
        </w:tc>
        <w:tc>
          <w:tcPr>
            <w:tcW w:w="2171" w:type="pct"/>
          </w:tcPr>
          <w:p w14:paraId="4A9F599A" w14:textId="77777777" w:rsidR="002B4C1E" w:rsidRPr="00630129" w:rsidRDefault="002B4C1E" w:rsidP="002B4C1E">
            <w:pPr>
              <w:pStyle w:val="EndnoteText"/>
              <w:rPr>
                <w:sz w:val="22"/>
                <w:szCs w:val="22"/>
              </w:rPr>
            </w:pPr>
            <w:r w:rsidRPr="00630129">
              <w:rPr>
                <w:sz w:val="22"/>
                <w:szCs w:val="22"/>
              </w:rPr>
              <w:t>The half hourly Consumption for a Consumption Component Class which is defined as line losses, determined pursuant to paragraph 7.2 or 8.1 of Annex S-2.</w:t>
            </w:r>
          </w:p>
        </w:tc>
      </w:tr>
      <w:tr w:rsidR="002B4C1E" w:rsidRPr="00630129" w14:paraId="392006A0" w14:textId="77777777" w:rsidTr="00A63BA8">
        <w:trPr>
          <w:cantSplit/>
        </w:trPr>
        <w:tc>
          <w:tcPr>
            <w:tcW w:w="1191" w:type="pct"/>
          </w:tcPr>
          <w:p w14:paraId="6D15C343" w14:textId="77777777" w:rsidR="002B4C1E" w:rsidRPr="00630129" w:rsidRDefault="002B4C1E" w:rsidP="002B4C1E">
            <w:pPr>
              <w:pStyle w:val="EndnoteText"/>
              <w:rPr>
                <w:sz w:val="22"/>
                <w:szCs w:val="22"/>
              </w:rPr>
            </w:pPr>
            <w:r w:rsidRPr="00630129">
              <w:rPr>
                <w:sz w:val="22"/>
                <w:szCs w:val="22"/>
              </w:rPr>
              <w:t>Half Hourly Consumption (Losses) by Profile Class</w:t>
            </w:r>
          </w:p>
        </w:tc>
        <w:tc>
          <w:tcPr>
            <w:tcW w:w="1024" w:type="pct"/>
          </w:tcPr>
          <w:p w14:paraId="76F0CA76" w14:textId="77777777" w:rsidR="002B4C1E" w:rsidRPr="00630129" w:rsidRDefault="002B4C1E" w:rsidP="002B4C1E">
            <w:pPr>
              <w:pStyle w:val="EndnoteText"/>
              <w:rPr>
                <w:sz w:val="22"/>
                <w:szCs w:val="22"/>
              </w:rPr>
            </w:pPr>
            <w:proofErr w:type="spellStart"/>
            <w:r w:rsidRPr="00630129">
              <w:rPr>
                <w:sz w:val="22"/>
                <w:szCs w:val="22"/>
              </w:rPr>
              <w:t>CLOSS</w:t>
            </w:r>
            <w:r w:rsidRPr="00630129">
              <w:rPr>
                <w:sz w:val="22"/>
                <w:szCs w:val="22"/>
                <w:vertAlign w:val="subscript"/>
              </w:rPr>
              <w:t>iN</w:t>
            </w:r>
            <w:proofErr w:type="spellEnd"/>
            <w:r w:rsidRPr="00630129">
              <w:rPr>
                <w:sz w:val="22"/>
                <w:szCs w:val="22"/>
                <w:vertAlign w:val="subscript"/>
              </w:rPr>
              <w:t>(c)</w:t>
            </w:r>
            <w:proofErr w:type="spellStart"/>
            <w:r w:rsidRPr="00630129">
              <w:rPr>
                <w:sz w:val="22"/>
                <w:szCs w:val="22"/>
                <w:vertAlign w:val="subscript"/>
              </w:rPr>
              <w:t>Pj</w:t>
            </w:r>
            <w:proofErr w:type="spellEnd"/>
          </w:p>
        </w:tc>
        <w:tc>
          <w:tcPr>
            <w:tcW w:w="613" w:type="pct"/>
          </w:tcPr>
          <w:p w14:paraId="0E940B14" w14:textId="77777777" w:rsidR="002B4C1E" w:rsidRPr="00630129" w:rsidRDefault="002B4C1E" w:rsidP="002B4C1E">
            <w:pPr>
              <w:pStyle w:val="EndnoteText"/>
              <w:rPr>
                <w:sz w:val="22"/>
                <w:szCs w:val="22"/>
              </w:rPr>
            </w:pPr>
            <w:r w:rsidRPr="00630129">
              <w:rPr>
                <w:sz w:val="22"/>
                <w:szCs w:val="22"/>
              </w:rPr>
              <w:t>MWh</w:t>
            </w:r>
          </w:p>
        </w:tc>
        <w:tc>
          <w:tcPr>
            <w:tcW w:w="2171" w:type="pct"/>
          </w:tcPr>
          <w:p w14:paraId="6079BBA1" w14:textId="77777777" w:rsidR="002B4C1E" w:rsidRPr="00630129" w:rsidRDefault="002B4C1E" w:rsidP="002B4C1E">
            <w:pPr>
              <w:pStyle w:val="EndnoteText"/>
              <w:rPr>
                <w:sz w:val="22"/>
                <w:szCs w:val="22"/>
              </w:rPr>
            </w:pPr>
            <w:r w:rsidRPr="00630129">
              <w:rPr>
                <w:sz w:val="22"/>
                <w:szCs w:val="22"/>
              </w:rPr>
              <w:t xml:space="preserve">The half hourly consumption for a Profile Class within a </w:t>
            </w:r>
            <w:proofErr w:type="spellStart"/>
            <w:r w:rsidRPr="00630129">
              <w:rPr>
                <w:sz w:val="22"/>
                <w:szCs w:val="22"/>
              </w:rPr>
              <w:t>non half</w:t>
            </w:r>
            <w:proofErr w:type="spellEnd"/>
            <w:r w:rsidRPr="00630129">
              <w:rPr>
                <w:sz w:val="22"/>
                <w:szCs w:val="22"/>
              </w:rPr>
              <w:t xml:space="preserve"> hourly active import Consumption Component Class which is defined as being for line losses, determined pursuant to paragraph 9A.2 of Annex S-2.</w:t>
            </w:r>
          </w:p>
        </w:tc>
      </w:tr>
      <w:tr w:rsidR="002B4C1E" w:rsidRPr="00630129" w14:paraId="2E88D831" w14:textId="77777777" w:rsidTr="00A63BA8">
        <w:trPr>
          <w:cantSplit/>
        </w:trPr>
        <w:tc>
          <w:tcPr>
            <w:tcW w:w="1191" w:type="pct"/>
          </w:tcPr>
          <w:p w14:paraId="1CAAFAA0" w14:textId="77777777" w:rsidR="002B4C1E" w:rsidRPr="00630129" w:rsidRDefault="002B4C1E" w:rsidP="002B4C1E">
            <w:pPr>
              <w:pStyle w:val="BodyText"/>
              <w:spacing w:line="240" w:lineRule="auto"/>
              <w:rPr>
                <w:rFonts w:ascii="Times New Roman" w:hAnsi="Times New Roman"/>
                <w:szCs w:val="22"/>
              </w:rPr>
            </w:pPr>
            <w:r w:rsidRPr="00630129">
              <w:rPr>
                <w:rFonts w:ascii="Times New Roman" w:hAnsi="Times New Roman"/>
                <w:szCs w:val="22"/>
              </w:rPr>
              <w:t>Half Hourly Consumption (Non Losses)</w:t>
            </w:r>
          </w:p>
        </w:tc>
        <w:tc>
          <w:tcPr>
            <w:tcW w:w="1024" w:type="pct"/>
          </w:tcPr>
          <w:p w14:paraId="665D7F13" w14:textId="77777777" w:rsidR="002B4C1E" w:rsidRPr="00630129" w:rsidRDefault="002B4C1E" w:rsidP="002B4C1E">
            <w:pPr>
              <w:pStyle w:val="BodyText"/>
              <w:spacing w:line="240" w:lineRule="auto"/>
              <w:rPr>
                <w:rFonts w:ascii="Times New Roman" w:hAnsi="Times New Roman"/>
                <w:szCs w:val="22"/>
              </w:rPr>
            </w:pPr>
            <w:proofErr w:type="spellStart"/>
            <w:r w:rsidRPr="00630129">
              <w:rPr>
                <w:rFonts w:ascii="Times New Roman" w:hAnsi="Times New Roman"/>
                <w:szCs w:val="22"/>
              </w:rPr>
              <w:t>C</w:t>
            </w:r>
            <w:r w:rsidRPr="00630129">
              <w:rPr>
                <w:rFonts w:ascii="Times New Roman" w:hAnsi="Times New Roman"/>
                <w:szCs w:val="22"/>
                <w:vertAlign w:val="subscript"/>
              </w:rPr>
              <w:t>iNj</w:t>
            </w:r>
            <w:proofErr w:type="spellEnd"/>
          </w:p>
        </w:tc>
        <w:tc>
          <w:tcPr>
            <w:tcW w:w="613" w:type="pct"/>
          </w:tcPr>
          <w:p w14:paraId="2BE0E986" w14:textId="77777777" w:rsidR="002B4C1E" w:rsidRPr="00630129" w:rsidRDefault="002B4C1E" w:rsidP="002B4C1E">
            <w:pPr>
              <w:pStyle w:val="BodyText"/>
              <w:spacing w:line="240" w:lineRule="auto"/>
              <w:rPr>
                <w:rFonts w:ascii="Times New Roman" w:hAnsi="Times New Roman"/>
                <w:szCs w:val="22"/>
              </w:rPr>
            </w:pPr>
            <w:r w:rsidRPr="00630129">
              <w:rPr>
                <w:rFonts w:ascii="Times New Roman" w:hAnsi="Times New Roman"/>
                <w:szCs w:val="22"/>
              </w:rPr>
              <w:t>MWh</w:t>
            </w:r>
          </w:p>
        </w:tc>
        <w:tc>
          <w:tcPr>
            <w:tcW w:w="2171" w:type="pct"/>
          </w:tcPr>
          <w:p w14:paraId="6E6B898D" w14:textId="77777777" w:rsidR="002B4C1E" w:rsidRPr="00630129" w:rsidRDefault="002B4C1E" w:rsidP="002B4C1E">
            <w:pPr>
              <w:pStyle w:val="EndnoteText"/>
              <w:rPr>
                <w:sz w:val="22"/>
                <w:szCs w:val="22"/>
              </w:rPr>
            </w:pPr>
            <w:r w:rsidRPr="00630129">
              <w:rPr>
                <w:sz w:val="22"/>
                <w:szCs w:val="22"/>
              </w:rPr>
              <w:t>The half hourly Consumption for a Consumption Component Class which is defined as not being line losses, determined pursuant to paragraph 7.1 or 8.1 of Annex S-2.</w:t>
            </w:r>
          </w:p>
        </w:tc>
      </w:tr>
      <w:tr w:rsidR="002B4C1E" w:rsidRPr="00630129" w14:paraId="11228310" w14:textId="77777777" w:rsidTr="00A63BA8">
        <w:trPr>
          <w:cantSplit/>
        </w:trPr>
        <w:tc>
          <w:tcPr>
            <w:tcW w:w="1191" w:type="pct"/>
          </w:tcPr>
          <w:p w14:paraId="52DA8DEA" w14:textId="77777777" w:rsidR="002B4C1E" w:rsidRPr="00630129" w:rsidRDefault="002B4C1E" w:rsidP="002B4C1E">
            <w:pPr>
              <w:pStyle w:val="BodyText"/>
              <w:spacing w:line="240" w:lineRule="auto"/>
              <w:rPr>
                <w:rFonts w:ascii="Times New Roman" w:hAnsi="Times New Roman"/>
                <w:szCs w:val="22"/>
              </w:rPr>
            </w:pPr>
            <w:r w:rsidRPr="00630129">
              <w:rPr>
                <w:rFonts w:ascii="Times New Roman" w:hAnsi="Times New Roman"/>
                <w:szCs w:val="22"/>
              </w:rPr>
              <w:t>Half Hourly Consumption (Non Losses) by Profile Class</w:t>
            </w:r>
          </w:p>
        </w:tc>
        <w:tc>
          <w:tcPr>
            <w:tcW w:w="1024" w:type="pct"/>
          </w:tcPr>
          <w:p w14:paraId="25833A1A" w14:textId="77777777" w:rsidR="002B4C1E" w:rsidRPr="00630129" w:rsidRDefault="002B4C1E" w:rsidP="002B4C1E">
            <w:pPr>
              <w:pStyle w:val="BodyText"/>
              <w:spacing w:line="240" w:lineRule="auto"/>
              <w:rPr>
                <w:rFonts w:ascii="Times New Roman" w:hAnsi="Times New Roman"/>
                <w:szCs w:val="22"/>
              </w:rPr>
            </w:pPr>
            <w:proofErr w:type="spellStart"/>
            <w:r w:rsidRPr="00630129">
              <w:rPr>
                <w:rFonts w:ascii="Times New Roman" w:hAnsi="Times New Roman"/>
                <w:szCs w:val="22"/>
              </w:rPr>
              <w:t>C</w:t>
            </w:r>
            <w:r w:rsidRPr="00630129">
              <w:rPr>
                <w:rFonts w:ascii="Times New Roman" w:hAnsi="Times New Roman"/>
                <w:szCs w:val="22"/>
                <w:vertAlign w:val="subscript"/>
              </w:rPr>
              <w:t>iN</w:t>
            </w:r>
            <w:proofErr w:type="spellEnd"/>
            <w:r w:rsidRPr="00630129">
              <w:rPr>
                <w:rFonts w:ascii="Times New Roman" w:hAnsi="Times New Roman"/>
                <w:szCs w:val="22"/>
                <w:vertAlign w:val="subscript"/>
              </w:rPr>
              <w:t>(c)</w:t>
            </w:r>
            <w:proofErr w:type="spellStart"/>
            <w:r w:rsidRPr="00630129">
              <w:rPr>
                <w:rFonts w:ascii="Times New Roman" w:hAnsi="Times New Roman"/>
                <w:szCs w:val="22"/>
                <w:vertAlign w:val="subscript"/>
              </w:rPr>
              <w:t>Pj</w:t>
            </w:r>
            <w:proofErr w:type="spellEnd"/>
          </w:p>
        </w:tc>
        <w:tc>
          <w:tcPr>
            <w:tcW w:w="613" w:type="pct"/>
          </w:tcPr>
          <w:p w14:paraId="3658C718" w14:textId="77777777" w:rsidR="002B4C1E" w:rsidRPr="00630129" w:rsidRDefault="002B4C1E" w:rsidP="002B4C1E">
            <w:pPr>
              <w:pStyle w:val="BodyText"/>
              <w:spacing w:line="240" w:lineRule="auto"/>
              <w:rPr>
                <w:rFonts w:ascii="Times New Roman" w:hAnsi="Times New Roman"/>
                <w:szCs w:val="22"/>
              </w:rPr>
            </w:pPr>
            <w:r w:rsidRPr="00630129">
              <w:rPr>
                <w:rFonts w:ascii="Times New Roman" w:hAnsi="Times New Roman"/>
                <w:szCs w:val="22"/>
              </w:rPr>
              <w:t>MWh</w:t>
            </w:r>
          </w:p>
        </w:tc>
        <w:tc>
          <w:tcPr>
            <w:tcW w:w="2171" w:type="pct"/>
          </w:tcPr>
          <w:p w14:paraId="06DAC0C9" w14:textId="77777777" w:rsidR="002B4C1E" w:rsidRPr="00630129" w:rsidRDefault="002B4C1E" w:rsidP="002B4C1E">
            <w:pPr>
              <w:pStyle w:val="EndnoteText"/>
              <w:rPr>
                <w:sz w:val="22"/>
                <w:szCs w:val="22"/>
              </w:rPr>
            </w:pPr>
            <w:r w:rsidRPr="00630129">
              <w:rPr>
                <w:sz w:val="22"/>
                <w:szCs w:val="22"/>
              </w:rPr>
              <w:t xml:space="preserve">The half hourly consumption for a Profile Class within a </w:t>
            </w:r>
            <w:proofErr w:type="spellStart"/>
            <w:r w:rsidRPr="00630129">
              <w:rPr>
                <w:sz w:val="22"/>
                <w:szCs w:val="22"/>
              </w:rPr>
              <w:t>non half</w:t>
            </w:r>
            <w:proofErr w:type="spellEnd"/>
            <w:r w:rsidRPr="00630129">
              <w:rPr>
                <w:sz w:val="22"/>
                <w:szCs w:val="22"/>
              </w:rPr>
              <w:t xml:space="preserve"> hourly active import Consumption Component Class which is defined as not being for line losses, determined pursuant to paragraph 9A.1 of Annex S-2.</w:t>
            </w:r>
          </w:p>
        </w:tc>
      </w:tr>
      <w:tr w:rsidR="002B4C1E" w:rsidRPr="00630129" w14:paraId="1B416BBF"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740ABE72" w14:textId="77777777" w:rsidR="002B4C1E" w:rsidRPr="00630129" w:rsidRDefault="002B4C1E" w:rsidP="002B4C1E">
            <w:pPr>
              <w:pStyle w:val="EndnoteText"/>
              <w:rPr>
                <w:sz w:val="22"/>
                <w:szCs w:val="22"/>
              </w:rPr>
            </w:pPr>
            <w:r w:rsidRPr="00630129">
              <w:rPr>
                <w:sz w:val="22"/>
                <w:szCs w:val="22"/>
              </w:rPr>
              <w:t>Half Hourly Demand Disconnection Volume</w:t>
            </w:r>
          </w:p>
        </w:tc>
        <w:tc>
          <w:tcPr>
            <w:tcW w:w="1024" w:type="pct"/>
            <w:tcBorders>
              <w:top w:val="single" w:sz="6" w:space="0" w:color="000000"/>
              <w:left w:val="single" w:sz="6" w:space="0" w:color="000000"/>
              <w:bottom w:val="single" w:sz="6" w:space="0" w:color="000000"/>
              <w:right w:val="single" w:sz="6" w:space="0" w:color="000000"/>
            </w:tcBorders>
          </w:tcPr>
          <w:p w14:paraId="5B39201C" w14:textId="77777777" w:rsidR="002B4C1E" w:rsidRPr="00630129" w:rsidRDefault="002B4C1E" w:rsidP="002B4C1E">
            <w:pPr>
              <w:pStyle w:val="EndnoteText"/>
              <w:rPr>
                <w:sz w:val="22"/>
                <w:szCs w:val="22"/>
              </w:rPr>
            </w:pPr>
            <w:proofErr w:type="spellStart"/>
            <w:r w:rsidRPr="00630129">
              <w:rPr>
                <w:sz w:val="22"/>
                <w:szCs w:val="22"/>
              </w:rPr>
              <w:t>HDD</w:t>
            </w:r>
            <w:r w:rsidRPr="00630129">
              <w:rPr>
                <w:sz w:val="22"/>
                <w:szCs w:val="22"/>
                <w:vertAlign w:val="subscript"/>
              </w:rPr>
              <w:t>Kj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3991C663" w14:textId="77777777" w:rsidR="002B4C1E" w:rsidRPr="00630129" w:rsidRDefault="002B4C1E" w:rsidP="002B4C1E">
            <w:pPr>
              <w:pStyle w:val="EndnoteText"/>
              <w:rPr>
                <w:sz w:val="22"/>
                <w:szCs w:val="22"/>
              </w:rPr>
            </w:pPr>
            <w:r w:rsidRPr="00630129">
              <w:rPr>
                <w:sz w:val="22"/>
                <w:szCs w:val="22"/>
              </w:rPr>
              <w:t>kWh</w:t>
            </w:r>
          </w:p>
        </w:tc>
        <w:tc>
          <w:tcPr>
            <w:tcW w:w="2171" w:type="pct"/>
            <w:tcBorders>
              <w:top w:val="single" w:sz="6" w:space="0" w:color="000000"/>
              <w:left w:val="single" w:sz="6" w:space="0" w:color="000000"/>
              <w:bottom w:val="single" w:sz="6" w:space="0" w:color="000000"/>
              <w:right w:val="single" w:sz="6" w:space="0" w:color="000000"/>
            </w:tcBorders>
          </w:tcPr>
          <w:p w14:paraId="2874933E" w14:textId="77777777" w:rsidR="002B4C1E" w:rsidRPr="00630129" w:rsidRDefault="002B4C1E" w:rsidP="002B4C1E">
            <w:pPr>
              <w:pStyle w:val="EndnoteText"/>
              <w:rPr>
                <w:sz w:val="22"/>
                <w:szCs w:val="22"/>
              </w:rPr>
            </w:pPr>
            <w:r w:rsidRPr="00630129">
              <w:rPr>
                <w:sz w:val="22"/>
                <w:szCs w:val="22"/>
              </w:rPr>
              <w:t>S-2 3.7.2, derived from SMMC</w:t>
            </w:r>
          </w:p>
        </w:tc>
      </w:tr>
      <w:tr w:rsidR="002B4C1E" w:rsidRPr="00630129" w14:paraId="3905FB96"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37CF3709" w14:textId="77777777" w:rsidR="002B4C1E" w:rsidRPr="00630129" w:rsidRDefault="002B4C1E" w:rsidP="002B4C1E">
            <w:pPr>
              <w:pStyle w:val="EndnoteText"/>
              <w:rPr>
                <w:sz w:val="22"/>
                <w:szCs w:val="22"/>
              </w:rPr>
            </w:pPr>
            <w:r w:rsidRPr="00630129">
              <w:rPr>
                <w:sz w:val="22"/>
                <w:szCs w:val="22"/>
              </w:rPr>
              <w:t>Half Hourly Disconnection (Losses)</w:t>
            </w:r>
          </w:p>
        </w:tc>
        <w:tc>
          <w:tcPr>
            <w:tcW w:w="1024" w:type="pct"/>
            <w:tcBorders>
              <w:top w:val="single" w:sz="6" w:space="0" w:color="000000"/>
              <w:left w:val="single" w:sz="6" w:space="0" w:color="000000"/>
              <w:bottom w:val="single" w:sz="6" w:space="0" w:color="000000"/>
              <w:right w:val="single" w:sz="6" w:space="0" w:color="000000"/>
            </w:tcBorders>
          </w:tcPr>
          <w:p w14:paraId="237F1409" w14:textId="77777777" w:rsidR="002B4C1E" w:rsidRPr="00630129" w:rsidRDefault="002B4C1E" w:rsidP="002B4C1E">
            <w:pPr>
              <w:pStyle w:val="EndnoteText"/>
              <w:rPr>
                <w:sz w:val="22"/>
                <w:szCs w:val="22"/>
              </w:rPr>
            </w:pPr>
            <w:proofErr w:type="spellStart"/>
            <w:r w:rsidRPr="00630129">
              <w:rPr>
                <w:sz w:val="22"/>
                <w:szCs w:val="22"/>
              </w:rPr>
              <w:t>DLOSS</w:t>
            </w:r>
            <w:r w:rsidRPr="00630129">
              <w:rPr>
                <w:sz w:val="22"/>
                <w:szCs w:val="22"/>
                <w:vertAlign w:val="subscript"/>
              </w:rPr>
              <w:t>iNj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5D3066D9" w14:textId="77777777" w:rsidR="002B4C1E" w:rsidRPr="00630129" w:rsidRDefault="002B4C1E" w:rsidP="002B4C1E">
            <w:pPr>
              <w:pStyle w:val="EndnoteText"/>
              <w:rPr>
                <w:sz w:val="22"/>
                <w:szCs w:val="22"/>
              </w:rPr>
            </w:pPr>
            <w:r w:rsidRPr="00630129">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24E67AE9" w14:textId="77777777" w:rsidR="002B4C1E" w:rsidRPr="00630129" w:rsidRDefault="002B4C1E" w:rsidP="002B4C1E">
            <w:pPr>
              <w:pStyle w:val="EndnoteText"/>
              <w:rPr>
                <w:sz w:val="22"/>
                <w:szCs w:val="22"/>
              </w:rPr>
            </w:pPr>
            <w:r w:rsidRPr="00630129">
              <w:rPr>
                <w:sz w:val="22"/>
                <w:szCs w:val="22"/>
              </w:rPr>
              <w:t>The half hourly Demand Disconnection volume for a Consumption Component Class which is defined as line losses, determined pursuant to paragraph 7.2 or 8.2 of Annex S-2.</w:t>
            </w:r>
          </w:p>
        </w:tc>
      </w:tr>
      <w:tr w:rsidR="002B4C1E" w:rsidRPr="00630129" w14:paraId="5D620263"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35917326" w14:textId="77777777" w:rsidR="002B4C1E" w:rsidRPr="00630129" w:rsidRDefault="002B4C1E" w:rsidP="002B4C1E">
            <w:pPr>
              <w:pStyle w:val="EndnoteText"/>
              <w:rPr>
                <w:sz w:val="22"/>
                <w:szCs w:val="22"/>
              </w:rPr>
            </w:pPr>
            <w:r w:rsidRPr="00630129">
              <w:rPr>
                <w:sz w:val="22"/>
                <w:szCs w:val="22"/>
              </w:rPr>
              <w:t>Half Hourly Disconnection (Non Losses)</w:t>
            </w:r>
          </w:p>
        </w:tc>
        <w:tc>
          <w:tcPr>
            <w:tcW w:w="1024" w:type="pct"/>
            <w:tcBorders>
              <w:top w:val="single" w:sz="6" w:space="0" w:color="000000"/>
              <w:left w:val="single" w:sz="6" w:space="0" w:color="000000"/>
              <w:bottom w:val="single" w:sz="6" w:space="0" w:color="000000"/>
              <w:right w:val="single" w:sz="6" w:space="0" w:color="000000"/>
            </w:tcBorders>
          </w:tcPr>
          <w:p w14:paraId="27FB417D" w14:textId="77777777" w:rsidR="002B4C1E" w:rsidRPr="00630129" w:rsidRDefault="002B4C1E" w:rsidP="002B4C1E">
            <w:pPr>
              <w:pStyle w:val="EndnoteText"/>
              <w:rPr>
                <w:sz w:val="22"/>
                <w:szCs w:val="22"/>
              </w:rPr>
            </w:pPr>
            <w:proofErr w:type="spellStart"/>
            <w:r w:rsidRPr="00630129">
              <w:rPr>
                <w:sz w:val="22"/>
                <w:szCs w:val="22"/>
              </w:rPr>
              <w:t>D</w:t>
            </w:r>
            <w:r w:rsidRPr="00630129">
              <w:rPr>
                <w:sz w:val="22"/>
                <w:szCs w:val="22"/>
                <w:vertAlign w:val="subscript"/>
              </w:rPr>
              <w:t>iNj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6D0C133A" w14:textId="77777777" w:rsidR="002B4C1E" w:rsidRPr="00630129" w:rsidRDefault="002B4C1E" w:rsidP="002B4C1E">
            <w:pPr>
              <w:pStyle w:val="EndnoteText"/>
              <w:rPr>
                <w:sz w:val="22"/>
                <w:szCs w:val="22"/>
              </w:rPr>
            </w:pPr>
            <w:r w:rsidRPr="00630129">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034A8877" w14:textId="77777777" w:rsidR="002B4C1E" w:rsidRPr="00630129" w:rsidRDefault="002B4C1E" w:rsidP="002B4C1E">
            <w:pPr>
              <w:pStyle w:val="EndnoteText"/>
              <w:rPr>
                <w:sz w:val="22"/>
                <w:szCs w:val="22"/>
              </w:rPr>
            </w:pPr>
            <w:r w:rsidRPr="00630129">
              <w:rPr>
                <w:sz w:val="22"/>
                <w:szCs w:val="22"/>
              </w:rPr>
              <w:t>The half hourly Demand Disconnection volume for a Consumption Component Class which is defined as not being line losses, determined pursuant to paragraph 7.1 or 8.2 of Annex S-2.</w:t>
            </w:r>
          </w:p>
        </w:tc>
      </w:tr>
      <w:tr w:rsidR="002B4C1E" w:rsidRPr="00630129" w14:paraId="009C94BF" w14:textId="77777777" w:rsidTr="00A63BA8">
        <w:trPr>
          <w:cantSplit/>
        </w:trPr>
        <w:tc>
          <w:tcPr>
            <w:tcW w:w="1191" w:type="pct"/>
          </w:tcPr>
          <w:p w14:paraId="140282E9" w14:textId="77777777" w:rsidR="002B4C1E" w:rsidRPr="00630129" w:rsidRDefault="002B4C1E" w:rsidP="002B4C1E">
            <w:pPr>
              <w:pStyle w:val="EndnoteText"/>
              <w:rPr>
                <w:sz w:val="22"/>
                <w:szCs w:val="22"/>
              </w:rPr>
            </w:pPr>
            <w:r w:rsidRPr="00630129">
              <w:rPr>
                <w:sz w:val="22"/>
                <w:szCs w:val="22"/>
              </w:rPr>
              <w:t>Historical Daily Profile Coefficient</w:t>
            </w:r>
          </w:p>
        </w:tc>
        <w:tc>
          <w:tcPr>
            <w:tcW w:w="1024" w:type="pct"/>
          </w:tcPr>
          <w:p w14:paraId="3F64E130" w14:textId="77777777" w:rsidR="002B4C1E" w:rsidRPr="00630129" w:rsidRDefault="002B4C1E" w:rsidP="002B4C1E">
            <w:pPr>
              <w:pStyle w:val="EndnoteText"/>
              <w:rPr>
                <w:sz w:val="22"/>
                <w:szCs w:val="22"/>
              </w:rPr>
            </w:pPr>
            <w:r w:rsidRPr="00630129">
              <w:rPr>
                <w:sz w:val="22"/>
                <w:szCs w:val="22"/>
              </w:rPr>
              <w:t>DPC</w:t>
            </w:r>
            <w:r w:rsidRPr="00630129">
              <w:rPr>
                <w:sz w:val="22"/>
                <w:szCs w:val="22"/>
                <w:vertAlign w:val="subscript"/>
              </w:rPr>
              <w:t>HPRT</w:t>
            </w:r>
          </w:p>
        </w:tc>
        <w:tc>
          <w:tcPr>
            <w:tcW w:w="613" w:type="pct"/>
          </w:tcPr>
          <w:p w14:paraId="1C1FBF4A" w14:textId="77777777" w:rsidR="002B4C1E" w:rsidRPr="00630129" w:rsidRDefault="002B4C1E" w:rsidP="002B4C1E">
            <w:pPr>
              <w:pStyle w:val="EndnoteText"/>
              <w:rPr>
                <w:sz w:val="22"/>
                <w:szCs w:val="22"/>
              </w:rPr>
            </w:pPr>
            <w:r w:rsidRPr="00630129">
              <w:rPr>
                <w:sz w:val="22"/>
                <w:szCs w:val="22"/>
              </w:rPr>
              <w:t>Number</w:t>
            </w:r>
          </w:p>
        </w:tc>
        <w:tc>
          <w:tcPr>
            <w:tcW w:w="2171" w:type="pct"/>
          </w:tcPr>
          <w:p w14:paraId="08FA2CFD" w14:textId="77777777" w:rsidR="002B4C1E" w:rsidRPr="00630129" w:rsidRDefault="002B4C1E" w:rsidP="002B4C1E">
            <w:pPr>
              <w:pStyle w:val="EndnoteText"/>
              <w:rPr>
                <w:sz w:val="22"/>
                <w:szCs w:val="22"/>
              </w:rPr>
            </w:pPr>
            <w:r w:rsidRPr="00630129">
              <w:rPr>
                <w:sz w:val="22"/>
                <w:szCs w:val="22"/>
              </w:rPr>
              <w:t>A particular Daily Profile Coefficient in respect of a Settlement Day which Settlement Day occurs prior to the 1998 Operational Date and which is determined employing a method authorised by the Executive Committee.</w:t>
            </w:r>
          </w:p>
        </w:tc>
      </w:tr>
      <w:tr w:rsidR="002B4C1E" w:rsidRPr="00630129" w14:paraId="69B8F3C9" w14:textId="77777777" w:rsidTr="00A63BA8">
        <w:trPr>
          <w:cantSplit/>
        </w:trPr>
        <w:tc>
          <w:tcPr>
            <w:tcW w:w="1191" w:type="pct"/>
          </w:tcPr>
          <w:p w14:paraId="120304A8" w14:textId="4F6B65E4" w:rsidR="002B4C1E" w:rsidRPr="00630129" w:rsidRDefault="002B4C1E" w:rsidP="002B4C1E">
            <w:pPr>
              <w:pStyle w:val="EndnoteText"/>
              <w:rPr>
                <w:sz w:val="22"/>
                <w:szCs w:val="22"/>
              </w:rPr>
            </w:pPr>
            <w:r>
              <w:rPr>
                <w:sz w:val="22"/>
                <w:szCs w:val="22"/>
              </w:rPr>
              <w:t>Import Consumption Component Class</w:t>
            </w:r>
          </w:p>
        </w:tc>
        <w:tc>
          <w:tcPr>
            <w:tcW w:w="1024" w:type="pct"/>
          </w:tcPr>
          <w:p w14:paraId="18D66D63" w14:textId="77777777" w:rsidR="002B4C1E" w:rsidRPr="00630129" w:rsidRDefault="002B4C1E" w:rsidP="002B4C1E">
            <w:pPr>
              <w:pStyle w:val="EndnoteText"/>
              <w:rPr>
                <w:sz w:val="22"/>
                <w:szCs w:val="22"/>
              </w:rPr>
            </w:pPr>
          </w:p>
        </w:tc>
        <w:tc>
          <w:tcPr>
            <w:tcW w:w="613" w:type="pct"/>
          </w:tcPr>
          <w:p w14:paraId="752F3176" w14:textId="77777777" w:rsidR="002B4C1E" w:rsidRPr="00630129" w:rsidRDefault="002B4C1E" w:rsidP="002B4C1E">
            <w:pPr>
              <w:pStyle w:val="EndnoteText"/>
              <w:rPr>
                <w:sz w:val="22"/>
                <w:szCs w:val="22"/>
              </w:rPr>
            </w:pPr>
          </w:p>
        </w:tc>
        <w:tc>
          <w:tcPr>
            <w:tcW w:w="2171" w:type="pct"/>
          </w:tcPr>
          <w:p w14:paraId="2E8970CB" w14:textId="475F4751" w:rsidR="002B4C1E" w:rsidRPr="00630129" w:rsidRDefault="002B4C1E" w:rsidP="002B4C1E">
            <w:pPr>
              <w:pStyle w:val="EndnoteText"/>
              <w:rPr>
                <w:sz w:val="22"/>
                <w:szCs w:val="22"/>
              </w:rPr>
            </w:pPr>
            <w:r>
              <w:rPr>
                <w:sz w:val="22"/>
                <w:szCs w:val="22"/>
              </w:rPr>
              <w:t>A Consumption Component Class as shown in Table X-8 as having a measurement quantity ID of Active Import</w:t>
            </w:r>
          </w:p>
        </w:tc>
      </w:tr>
      <w:tr w:rsidR="002B4C1E" w:rsidRPr="00630129" w14:paraId="38959D02" w14:textId="77777777" w:rsidTr="00A63BA8">
        <w:trPr>
          <w:cantSplit/>
        </w:trPr>
        <w:tc>
          <w:tcPr>
            <w:tcW w:w="1191" w:type="pct"/>
          </w:tcPr>
          <w:p w14:paraId="776D5044" w14:textId="77777777" w:rsidR="002B4C1E" w:rsidRPr="00630129" w:rsidRDefault="002B4C1E" w:rsidP="002B4C1E">
            <w:pPr>
              <w:rPr>
                <w:sz w:val="22"/>
                <w:szCs w:val="22"/>
              </w:rPr>
            </w:pPr>
            <w:r w:rsidRPr="00630129">
              <w:rPr>
                <w:sz w:val="22"/>
                <w:szCs w:val="22"/>
              </w:rPr>
              <w:lastRenderedPageBreak/>
              <w:t>Initial Total Annualised Advance</w:t>
            </w:r>
          </w:p>
        </w:tc>
        <w:tc>
          <w:tcPr>
            <w:tcW w:w="1024" w:type="pct"/>
          </w:tcPr>
          <w:p w14:paraId="37AD3046" w14:textId="77777777" w:rsidR="002B4C1E" w:rsidRPr="00630129" w:rsidRDefault="002B4C1E" w:rsidP="002B4C1E">
            <w:pPr>
              <w:rPr>
                <w:sz w:val="22"/>
                <w:szCs w:val="22"/>
              </w:rPr>
            </w:pPr>
            <w:r w:rsidRPr="00630129">
              <w:rPr>
                <w:sz w:val="22"/>
                <w:szCs w:val="22"/>
              </w:rPr>
              <w:t>ITAA</w:t>
            </w:r>
            <w:r w:rsidRPr="00630129">
              <w:rPr>
                <w:sz w:val="22"/>
                <w:szCs w:val="22"/>
                <w:vertAlign w:val="subscript"/>
              </w:rPr>
              <w:t>HZLPR</w:t>
            </w:r>
          </w:p>
        </w:tc>
        <w:tc>
          <w:tcPr>
            <w:tcW w:w="613" w:type="pct"/>
          </w:tcPr>
          <w:p w14:paraId="0A21B2BE" w14:textId="77777777" w:rsidR="002B4C1E" w:rsidRPr="00630129" w:rsidRDefault="002B4C1E" w:rsidP="002B4C1E">
            <w:pPr>
              <w:rPr>
                <w:sz w:val="22"/>
                <w:szCs w:val="22"/>
              </w:rPr>
            </w:pPr>
            <w:r w:rsidRPr="00630129">
              <w:rPr>
                <w:sz w:val="22"/>
                <w:szCs w:val="22"/>
              </w:rPr>
              <w:t>KWh</w:t>
            </w:r>
          </w:p>
        </w:tc>
        <w:tc>
          <w:tcPr>
            <w:tcW w:w="2171" w:type="pct"/>
          </w:tcPr>
          <w:p w14:paraId="49D2D72C" w14:textId="77777777" w:rsidR="002B4C1E" w:rsidRPr="00630129" w:rsidRDefault="002B4C1E" w:rsidP="002B4C1E">
            <w:pPr>
              <w:rPr>
                <w:sz w:val="22"/>
                <w:szCs w:val="22"/>
              </w:rPr>
            </w:pPr>
            <w:r w:rsidRPr="00630129">
              <w:rPr>
                <w:sz w:val="22"/>
                <w:szCs w:val="22"/>
              </w:rPr>
              <w:t>The total of all the Annualised Advances for a Supplier in kWh and in respect of a Profile Class, Line Loss Factor Class, Time Pattern Regime and GSP Group, determined pursuant to paragraph 4.4 of Annex S-2.</w:t>
            </w:r>
          </w:p>
        </w:tc>
      </w:tr>
      <w:tr w:rsidR="002B4C1E" w:rsidRPr="00630129" w14:paraId="73ECBC22"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5EB53063" w14:textId="77777777" w:rsidR="002B4C1E" w:rsidRPr="00630129" w:rsidRDefault="002B4C1E" w:rsidP="002B4C1E">
            <w:pPr>
              <w:pStyle w:val="EndnoteText"/>
              <w:rPr>
                <w:sz w:val="22"/>
                <w:szCs w:val="22"/>
              </w:rPr>
            </w:pPr>
            <w:r w:rsidRPr="00630129">
              <w:rPr>
                <w:sz w:val="22"/>
                <w:szCs w:val="22"/>
              </w:rPr>
              <w:t>Initial Total Annualised Advance (Disconnected)</w:t>
            </w:r>
          </w:p>
        </w:tc>
        <w:tc>
          <w:tcPr>
            <w:tcW w:w="1024" w:type="pct"/>
            <w:tcBorders>
              <w:top w:val="single" w:sz="6" w:space="0" w:color="000000"/>
              <w:left w:val="single" w:sz="6" w:space="0" w:color="000000"/>
              <w:bottom w:val="single" w:sz="6" w:space="0" w:color="000000"/>
              <w:right w:val="single" w:sz="6" w:space="0" w:color="000000"/>
            </w:tcBorders>
          </w:tcPr>
          <w:p w14:paraId="680E3DEC" w14:textId="77777777" w:rsidR="002B4C1E" w:rsidRPr="00630129" w:rsidRDefault="002B4C1E" w:rsidP="002B4C1E">
            <w:pPr>
              <w:pStyle w:val="EndnoteText"/>
              <w:rPr>
                <w:sz w:val="22"/>
                <w:szCs w:val="22"/>
              </w:rPr>
            </w:pPr>
            <w:r w:rsidRPr="00630129">
              <w:rPr>
                <w:sz w:val="22"/>
                <w:szCs w:val="22"/>
              </w:rPr>
              <w:t>ITAAD</w:t>
            </w:r>
            <w:r w:rsidRPr="00630129">
              <w:rPr>
                <w:sz w:val="22"/>
                <w:szCs w:val="22"/>
                <w:vertAlign w:val="subscript"/>
              </w:rPr>
              <w:t>HZLPR</w:t>
            </w:r>
          </w:p>
        </w:tc>
        <w:tc>
          <w:tcPr>
            <w:tcW w:w="613" w:type="pct"/>
            <w:tcBorders>
              <w:top w:val="single" w:sz="6" w:space="0" w:color="000000"/>
              <w:left w:val="single" w:sz="6" w:space="0" w:color="000000"/>
              <w:bottom w:val="single" w:sz="6" w:space="0" w:color="000000"/>
              <w:right w:val="single" w:sz="6" w:space="0" w:color="000000"/>
            </w:tcBorders>
          </w:tcPr>
          <w:p w14:paraId="056A7F86" w14:textId="77777777" w:rsidR="002B4C1E" w:rsidRPr="00630129" w:rsidRDefault="002B4C1E" w:rsidP="002B4C1E">
            <w:pPr>
              <w:pStyle w:val="EndnoteText"/>
              <w:rPr>
                <w:sz w:val="22"/>
                <w:szCs w:val="22"/>
              </w:rPr>
            </w:pPr>
            <w:r w:rsidRPr="00630129">
              <w:rPr>
                <w:sz w:val="22"/>
                <w:szCs w:val="22"/>
              </w:rPr>
              <w:t>kWh</w:t>
            </w:r>
          </w:p>
        </w:tc>
        <w:tc>
          <w:tcPr>
            <w:tcW w:w="2171" w:type="pct"/>
            <w:tcBorders>
              <w:top w:val="single" w:sz="6" w:space="0" w:color="000000"/>
              <w:left w:val="single" w:sz="6" w:space="0" w:color="000000"/>
              <w:bottom w:val="single" w:sz="6" w:space="0" w:color="000000"/>
              <w:right w:val="single" w:sz="6" w:space="0" w:color="000000"/>
            </w:tcBorders>
          </w:tcPr>
          <w:p w14:paraId="61AAE3A9" w14:textId="77777777" w:rsidR="002B4C1E" w:rsidRPr="00630129" w:rsidRDefault="002B4C1E" w:rsidP="002B4C1E">
            <w:pPr>
              <w:pStyle w:val="EndnoteText"/>
              <w:rPr>
                <w:sz w:val="22"/>
                <w:szCs w:val="22"/>
              </w:rPr>
            </w:pPr>
            <w:r w:rsidRPr="00630129">
              <w:rPr>
                <w:sz w:val="22"/>
                <w:szCs w:val="22"/>
              </w:rPr>
              <w:t>The total of all the Annualised Advances for a Supplier in kWh subject to Demand Disconnection and in respect of a Profile Class, Line Loss Factor Class, Time Pattern Regime and GSP Group, determined pursuant to paragraph 4.5 of Annex S-2.</w:t>
            </w:r>
          </w:p>
        </w:tc>
      </w:tr>
      <w:tr w:rsidR="002B4C1E" w:rsidRPr="00630129" w14:paraId="0F8DBFEA" w14:textId="77777777" w:rsidTr="00A63BA8">
        <w:trPr>
          <w:cantSplit/>
        </w:trPr>
        <w:tc>
          <w:tcPr>
            <w:tcW w:w="1191" w:type="pct"/>
          </w:tcPr>
          <w:p w14:paraId="5BFA5A36" w14:textId="77777777" w:rsidR="002B4C1E" w:rsidRPr="00630129" w:rsidRDefault="002B4C1E" w:rsidP="002B4C1E">
            <w:pPr>
              <w:pStyle w:val="EndnoteText"/>
              <w:rPr>
                <w:sz w:val="22"/>
                <w:szCs w:val="22"/>
              </w:rPr>
            </w:pPr>
            <w:r w:rsidRPr="00630129">
              <w:rPr>
                <w:sz w:val="22"/>
                <w:szCs w:val="22"/>
              </w:rPr>
              <w:t>Line Loss Factor</w:t>
            </w:r>
          </w:p>
        </w:tc>
        <w:tc>
          <w:tcPr>
            <w:tcW w:w="1024" w:type="pct"/>
          </w:tcPr>
          <w:p w14:paraId="2E63BF2E" w14:textId="77777777" w:rsidR="002B4C1E" w:rsidRPr="00630129" w:rsidRDefault="002B4C1E" w:rsidP="002B4C1E">
            <w:pPr>
              <w:pStyle w:val="EndnoteText"/>
              <w:rPr>
                <w:sz w:val="22"/>
                <w:szCs w:val="22"/>
              </w:rPr>
            </w:pPr>
            <w:proofErr w:type="spellStart"/>
            <w:r w:rsidRPr="00630129">
              <w:rPr>
                <w:sz w:val="22"/>
                <w:szCs w:val="22"/>
              </w:rPr>
              <w:t>LLF</w:t>
            </w:r>
            <w:r w:rsidRPr="00630129">
              <w:rPr>
                <w:sz w:val="22"/>
                <w:szCs w:val="22"/>
                <w:vertAlign w:val="subscript"/>
              </w:rPr>
              <w:t>Lj</w:t>
            </w:r>
            <w:proofErr w:type="spellEnd"/>
          </w:p>
        </w:tc>
        <w:tc>
          <w:tcPr>
            <w:tcW w:w="613" w:type="pct"/>
          </w:tcPr>
          <w:p w14:paraId="43AA2153" w14:textId="77777777" w:rsidR="002B4C1E" w:rsidRPr="00630129" w:rsidRDefault="002B4C1E" w:rsidP="002B4C1E">
            <w:pPr>
              <w:pStyle w:val="EndnoteText"/>
              <w:rPr>
                <w:sz w:val="22"/>
                <w:szCs w:val="22"/>
              </w:rPr>
            </w:pPr>
          </w:p>
        </w:tc>
        <w:tc>
          <w:tcPr>
            <w:tcW w:w="2171" w:type="pct"/>
          </w:tcPr>
          <w:p w14:paraId="70CD5048" w14:textId="77777777" w:rsidR="002B4C1E" w:rsidRPr="00630129" w:rsidRDefault="002B4C1E" w:rsidP="002B4C1E">
            <w:pPr>
              <w:pStyle w:val="EndnoteText"/>
              <w:rPr>
                <w:sz w:val="22"/>
                <w:szCs w:val="22"/>
              </w:rPr>
            </w:pPr>
            <w:r w:rsidRPr="00630129">
              <w:rPr>
                <w:sz w:val="22"/>
                <w:szCs w:val="22"/>
              </w:rPr>
              <w:t>A multiplier which, when applied to the value of a SVA Metering System’s Consumption, converts such value into its estimated value at the Grid Supply Point, that is including distribution losses.</w:t>
            </w:r>
          </w:p>
        </w:tc>
      </w:tr>
      <w:tr w:rsidR="002B4C1E" w:rsidRPr="00630129" w14:paraId="6ED4F8CF" w14:textId="77777777" w:rsidTr="00A63BA8">
        <w:trPr>
          <w:cantSplit/>
        </w:trPr>
        <w:tc>
          <w:tcPr>
            <w:tcW w:w="1191" w:type="pct"/>
          </w:tcPr>
          <w:p w14:paraId="4C081AE5" w14:textId="77777777" w:rsidR="002B4C1E" w:rsidRPr="00630129" w:rsidRDefault="002B4C1E" w:rsidP="002B4C1E">
            <w:pPr>
              <w:pStyle w:val="EndnoteText"/>
              <w:rPr>
                <w:sz w:val="22"/>
                <w:szCs w:val="22"/>
              </w:rPr>
            </w:pPr>
            <w:r w:rsidRPr="00630129">
              <w:rPr>
                <w:sz w:val="22"/>
                <w:szCs w:val="22"/>
              </w:rPr>
              <w:t>Line Loss Factor Class</w:t>
            </w:r>
          </w:p>
        </w:tc>
        <w:tc>
          <w:tcPr>
            <w:tcW w:w="1024" w:type="pct"/>
          </w:tcPr>
          <w:p w14:paraId="6DFCA771" w14:textId="77777777" w:rsidR="002B4C1E" w:rsidRPr="00630129" w:rsidRDefault="002B4C1E" w:rsidP="002B4C1E">
            <w:pPr>
              <w:pStyle w:val="EndnoteText"/>
              <w:rPr>
                <w:sz w:val="22"/>
                <w:szCs w:val="22"/>
              </w:rPr>
            </w:pPr>
          </w:p>
        </w:tc>
        <w:tc>
          <w:tcPr>
            <w:tcW w:w="613" w:type="pct"/>
          </w:tcPr>
          <w:p w14:paraId="10B09B9B" w14:textId="77777777" w:rsidR="002B4C1E" w:rsidRPr="00630129" w:rsidRDefault="002B4C1E" w:rsidP="002B4C1E">
            <w:pPr>
              <w:pStyle w:val="EndnoteText"/>
              <w:rPr>
                <w:sz w:val="22"/>
                <w:szCs w:val="22"/>
              </w:rPr>
            </w:pPr>
          </w:p>
        </w:tc>
        <w:tc>
          <w:tcPr>
            <w:tcW w:w="2171" w:type="pct"/>
          </w:tcPr>
          <w:p w14:paraId="624E3F08" w14:textId="77777777" w:rsidR="002B4C1E" w:rsidRPr="00630129" w:rsidRDefault="002B4C1E" w:rsidP="002B4C1E">
            <w:pPr>
              <w:pStyle w:val="EndnoteText"/>
              <w:rPr>
                <w:sz w:val="22"/>
                <w:szCs w:val="22"/>
              </w:rPr>
            </w:pPr>
            <w:r w:rsidRPr="00630129">
              <w:rPr>
                <w:sz w:val="22"/>
                <w:szCs w:val="22"/>
              </w:rPr>
              <w:t>A set of SVA Metering Systems defined by a Distribution System Operator and relating to any one or more of its Distribution System(s) and that are assigned the same Line Loss Factor for the relevant Settlement Period.</w:t>
            </w:r>
          </w:p>
        </w:tc>
      </w:tr>
      <w:tr w:rsidR="002B4C1E" w:rsidRPr="00630129" w14:paraId="754886C0" w14:textId="77777777" w:rsidTr="00A63BA8">
        <w:trPr>
          <w:cantSplit/>
        </w:trPr>
        <w:tc>
          <w:tcPr>
            <w:tcW w:w="1191" w:type="pct"/>
          </w:tcPr>
          <w:p w14:paraId="7B5A1468" w14:textId="77777777" w:rsidR="002B4C1E" w:rsidRPr="00FA6F10"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1024" w:type="pct"/>
          </w:tcPr>
          <w:p w14:paraId="49CDD9AF" w14:textId="77777777" w:rsidR="002B4C1E" w:rsidRPr="00FA6F10"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613" w:type="pct"/>
          </w:tcPr>
          <w:p w14:paraId="7924EACF" w14:textId="77777777" w:rsidR="002B4C1E" w:rsidRPr="00FA6F10"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1850F80B" w14:textId="77777777" w:rsidR="002B4C1E" w:rsidRPr="00FA6F10"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r>
      <w:tr w:rsidR="002B4C1E" w:rsidRPr="00630129" w14:paraId="445121C0" w14:textId="77777777" w:rsidTr="00A63BA8">
        <w:trPr>
          <w:cantSplit/>
        </w:trPr>
        <w:tc>
          <w:tcPr>
            <w:tcW w:w="1191" w:type="pct"/>
          </w:tcPr>
          <w:p w14:paraId="7A665BE6" w14:textId="77777777" w:rsidR="002B4C1E" w:rsidRPr="00630129" w:rsidRDefault="002B4C1E" w:rsidP="002B4C1E">
            <w:pPr>
              <w:rPr>
                <w:sz w:val="22"/>
                <w:szCs w:val="22"/>
              </w:rPr>
            </w:pPr>
            <w:r w:rsidRPr="00630129">
              <w:rPr>
                <w:sz w:val="22"/>
                <w:szCs w:val="22"/>
              </w:rPr>
              <w:t>Longest Off Period</w:t>
            </w:r>
          </w:p>
        </w:tc>
        <w:tc>
          <w:tcPr>
            <w:tcW w:w="1024" w:type="pct"/>
          </w:tcPr>
          <w:p w14:paraId="43E072FA" w14:textId="77777777" w:rsidR="002B4C1E" w:rsidRPr="00630129" w:rsidRDefault="002B4C1E" w:rsidP="002B4C1E">
            <w:pPr>
              <w:rPr>
                <w:sz w:val="22"/>
                <w:szCs w:val="22"/>
              </w:rPr>
            </w:pPr>
          </w:p>
        </w:tc>
        <w:tc>
          <w:tcPr>
            <w:tcW w:w="613" w:type="pct"/>
          </w:tcPr>
          <w:p w14:paraId="14A7B45E" w14:textId="77777777" w:rsidR="002B4C1E" w:rsidRPr="00630129" w:rsidRDefault="002B4C1E" w:rsidP="002B4C1E">
            <w:pPr>
              <w:rPr>
                <w:sz w:val="22"/>
                <w:szCs w:val="22"/>
              </w:rPr>
            </w:pPr>
          </w:p>
        </w:tc>
        <w:tc>
          <w:tcPr>
            <w:tcW w:w="2171" w:type="pct"/>
          </w:tcPr>
          <w:p w14:paraId="00BF41EF" w14:textId="77777777" w:rsidR="002B4C1E" w:rsidRPr="00630129" w:rsidRDefault="002B4C1E" w:rsidP="002B4C1E">
            <w:pPr>
              <w:rPr>
                <w:sz w:val="22"/>
                <w:szCs w:val="22"/>
              </w:rPr>
            </w:pPr>
            <w:r w:rsidRPr="00630129">
              <w:rPr>
                <w:sz w:val="22"/>
                <w:szCs w:val="22"/>
              </w:rPr>
              <w:t>A period used in determining profile coefficients for Switched Load Metering Systems and determined pursuant to paragraph 6.6 of Annex S-2.</w:t>
            </w:r>
          </w:p>
        </w:tc>
      </w:tr>
      <w:tr w:rsidR="002B4C1E" w:rsidRPr="00630129" w14:paraId="0B43D5C1" w14:textId="77777777" w:rsidTr="00A63BA8">
        <w:trPr>
          <w:cantSplit/>
        </w:trPr>
        <w:tc>
          <w:tcPr>
            <w:tcW w:w="1191" w:type="pct"/>
          </w:tcPr>
          <w:p w14:paraId="778897DE" w14:textId="77777777" w:rsidR="002B4C1E" w:rsidRPr="00630129" w:rsidRDefault="002B4C1E" w:rsidP="002B4C1E">
            <w:pPr>
              <w:rPr>
                <w:sz w:val="22"/>
                <w:szCs w:val="22"/>
              </w:rPr>
            </w:pPr>
            <w:r w:rsidRPr="00630129">
              <w:rPr>
                <w:sz w:val="22"/>
                <w:szCs w:val="22"/>
              </w:rPr>
              <w:t>Longest On Period</w:t>
            </w:r>
          </w:p>
        </w:tc>
        <w:tc>
          <w:tcPr>
            <w:tcW w:w="1024" w:type="pct"/>
          </w:tcPr>
          <w:p w14:paraId="4E371223" w14:textId="77777777" w:rsidR="002B4C1E" w:rsidRPr="00630129" w:rsidRDefault="002B4C1E" w:rsidP="002B4C1E">
            <w:pPr>
              <w:rPr>
                <w:sz w:val="22"/>
                <w:szCs w:val="22"/>
              </w:rPr>
            </w:pPr>
          </w:p>
        </w:tc>
        <w:tc>
          <w:tcPr>
            <w:tcW w:w="613" w:type="pct"/>
          </w:tcPr>
          <w:p w14:paraId="31BFB789" w14:textId="77777777" w:rsidR="002B4C1E" w:rsidRPr="00630129" w:rsidRDefault="002B4C1E" w:rsidP="002B4C1E">
            <w:pPr>
              <w:rPr>
                <w:sz w:val="22"/>
                <w:szCs w:val="22"/>
              </w:rPr>
            </w:pPr>
          </w:p>
        </w:tc>
        <w:tc>
          <w:tcPr>
            <w:tcW w:w="2171" w:type="pct"/>
          </w:tcPr>
          <w:p w14:paraId="22F0CF0C" w14:textId="77777777" w:rsidR="002B4C1E" w:rsidRPr="00630129" w:rsidRDefault="002B4C1E" w:rsidP="002B4C1E">
            <w:pPr>
              <w:rPr>
                <w:sz w:val="22"/>
                <w:szCs w:val="22"/>
              </w:rPr>
            </w:pPr>
            <w:r w:rsidRPr="00630129">
              <w:rPr>
                <w:sz w:val="22"/>
                <w:szCs w:val="22"/>
              </w:rPr>
              <w:t>A period used in determining profile coefficients for Switched Load Metering Systems and determined pursuant to paragraph 6.6 of Annex S-2.</w:t>
            </w:r>
          </w:p>
        </w:tc>
      </w:tr>
      <w:tr w:rsidR="002B4C1E" w:rsidRPr="00630129" w14:paraId="2FF782FD" w14:textId="77777777" w:rsidTr="00A63BA8">
        <w:trPr>
          <w:cantSplit/>
        </w:trPr>
        <w:tc>
          <w:tcPr>
            <w:tcW w:w="1191" w:type="pct"/>
          </w:tcPr>
          <w:p w14:paraId="446C1126" w14:textId="77777777" w:rsidR="002B4C1E" w:rsidRPr="00630129" w:rsidRDefault="002B4C1E" w:rsidP="002B4C1E">
            <w:pPr>
              <w:pStyle w:val="EndnoteText"/>
              <w:rPr>
                <w:sz w:val="22"/>
                <w:szCs w:val="22"/>
              </w:rPr>
            </w:pPr>
            <w:r w:rsidRPr="00630129">
              <w:rPr>
                <w:sz w:val="22"/>
                <w:szCs w:val="22"/>
              </w:rPr>
              <w:t xml:space="preserve">Low Fraction </w:t>
            </w:r>
          </w:p>
        </w:tc>
        <w:tc>
          <w:tcPr>
            <w:tcW w:w="1024" w:type="pct"/>
          </w:tcPr>
          <w:p w14:paraId="00DAB5F3" w14:textId="77777777" w:rsidR="002B4C1E" w:rsidRPr="00630129" w:rsidRDefault="002B4C1E" w:rsidP="002B4C1E">
            <w:pPr>
              <w:pStyle w:val="EndnoteText"/>
              <w:rPr>
                <w:sz w:val="22"/>
                <w:szCs w:val="22"/>
              </w:rPr>
            </w:pPr>
            <w:r w:rsidRPr="00630129">
              <w:rPr>
                <w:sz w:val="22"/>
                <w:szCs w:val="22"/>
              </w:rPr>
              <w:t>LOWF</w:t>
            </w:r>
            <w:r w:rsidRPr="00630129">
              <w:rPr>
                <w:sz w:val="22"/>
                <w:szCs w:val="22"/>
                <w:vertAlign w:val="subscript"/>
              </w:rPr>
              <w:t>HPC</w:t>
            </w:r>
          </w:p>
        </w:tc>
        <w:tc>
          <w:tcPr>
            <w:tcW w:w="613" w:type="pct"/>
          </w:tcPr>
          <w:p w14:paraId="6182E844" w14:textId="77777777" w:rsidR="002B4C1E" w:rsidRPr="00630129" w:rsidRDefault="002B4C1E" w:rsidP="002B4C1E">
            <w:pPr>
              <w:pStyle w:val="EndnoteText"/>
              <w:rPr>
                <w:sz w:val="22"/>
                <w:szCs w:val="22"/>
              </w:rPr>
            </w:pPr>
            <w:r w:rsidRPr="00630129">
              <w:rPr>
                <w:sz w:val="22"/>
                <w:szCs w:val="22"/>
              </w:rPr>
              <w:t>Number</w:t>
            </w:r>
          </w:p>
        </w:tc>
        <w:tc>
          <w:tcPr>
            <w:tcW w:w="2171" w:type="pct"/>
          </w:tcPr>
          <w:p w14:paraId="7615735C" w14:textId="77777777" w:rsidR="002B4C1E" w:rsidRPr="00630129" w:rsidRDefault="002B4C1E" w:rsidP="002B4C1E">
            <w:pPr>
              <w:pStyle w:val="EndnoteText"/>
              <w:rPr>
                <w:sz w:val="22"/>
                <w:szCs w:val="22"/>
              </w:rPr>
            </w:pPr>
            <w:r w:rsidRPr="00630129">
              <w:rPr>
                <w:sz w:val="22"/>
                <w:szCs w:val="22"/>
              </w:rPr>
              <w:t>The deemed annual Consumption associated with the switched load Settlement Registers expressed as a fraction of total annual Consumption for a Switched Load Metering System, determined pursuant to paragraph 6.6 of Annex S-2.</w:t>
            </w:r>
          </w:p>
        </w:tc>
      </w:tr>
      <w:tr w:rsidR="002B4C1E" w:rsidRPr="00630129" w14:paraId="0E6F9FAE" w14:textId="77777777" w:rsidTr="00A63BA8">
        <w:trPr>
          <w:cantSplit/>
        </w:trPr>
        <w:tc>
          <w:tcPr>
            <w:tcW w:w="1191" w:type="pct"/>
          </w:tcPr>
          <w:p w14:paraId="4568F369" w14:textId="77777777" w:rsidR="002B4C1E" w:rsidRPr="00630129" w:rsidRDefault="002B4C1E" w:rsidP="002B4C1E">
            <w:pPr>
              <w:pStyle w:val="EndnoteText"/>
              <w:rPr>
                <w:sz w:val="22"/>
                <w:szCs w:val="22"/>
              </w:rPr>
            </w:pPr>
            <w:r w:rsidRPr="00630129">
              <w:rPr>
                <w:sz w:val="22"/>
                <w:szCs w:val="22"/>
              </w:rPr>
              <w:lastRenderedPageBreak/>
              <w:t>Low Fraction Consumption</w:t>
            </w:r>
          </w:p>
        </w:tc>
        <w:tc>
          <w:tcPr>
            <w:tcW w:w="1024" w:type="pct"/>
          </w:tcPr>
          <w:p w14:paraId="664ED244" w14:textId="77777777" w:rsidR="002B4C1E" w:rsidRPr="00630129" w:rsidRDefault="002B4C1E" w:rsidP="002B4C1E">
            <w:pPr>
              <w:pStyle w:val="EndnoteText"/>
              <w:rPr>
                <w:sz w:val="22"/>
                <w:szCs w:val="22"/>
              </w:rPr>
            </w:pPr>
            <w:r w:rsidRPr="00630129">
              <w:rPr>
                <w:sz w:val="22"/>
                <w:szCs w:val="22"/>
              </w:rPr>
              <w:t>H</w:t>
            </w:r>
            <w:r w:rsidRPr="00630129">
              <w:rPr>
                <w:sz w:val="22"/>
                <w:szCs w:val="22"/>
                <w:vertAlign w:val="subscript"/>
              </w:rPr>
              <w:t>HPC</w:t>
            </w:r>
          </w:p>
        </w:tc>
        <w:tc>
          <w:tcPr>
            <w:tcW w:w="613" w:type="pct"/>
          </w:tcPr>
          <w:p w14:paraId="78E573B6" w14:textId="77777777" w:rsidR="002B4C1E" w:rsidRPr="00630129" w:rsidRDefault="002B4C1E" w:rsidP="002B4C1E">
            <w:pPr>
              <w:pStyle w:val="EndnoteText"/>
              <w:rPr>
                <w:sz w:val="22"/>
                <w:szCs w:val="22"/>
              </w:rPr>
            </w:pPr>
            <w:r w:rsidRPr="00630129">
              <w:rPr>
                <w:sz w:val="22"/>
                <w:szCs w:val="22"/>
              </w:rPr>
              <w:t>Number</w:t>
            </w:r>
          </w:p>
        </w:tc>
        <w:tc>
          <w:tcPr>
            <w:tcW w:w="2171" w:type="pct"/>
          </w:tcPr>
          <w:p w14:paraId="1594F45F" w14:textId="77777777" w:rsidR="002B4C1E" w:rsidRPr="00630129" w:rsidRDefault="002B4C1E" w:rsidP="002B4C1E">
            <w:pPr>
              <w:pStyle w:val="EndnoteText"/>
              <w:rPr>
                <w:sz w:val="22"/>
                <w:szCs w:val="22"/>
              </w:rPr>
            </w:pPr>
            <w:r w:rsidRPr="00630129">
              <w:rPr>
                <w:sz w:val="22"/>
                <w:szCs w:val="22"/>
              </w:rPr>
              <w:t>The ratio of electricity Consumption deemed as baseload Consumption during the ‘on’ periods of switched load Time Pattern Regimes to that during the ‘off’ periods of switched load Time Pattern Regimes, determined pursuant to paragraph 6.6 of Annex S-2.</w:t>
            </w:r>
          </w:p>
        </w:tc>
      </w:tr>
      <w:tr w:rsidR="002B4C1E" w:rsidRPr="00630129" w14:paraId="0AE2F187" w14:textId="77777777" w:rsidTr="00A63BA8">
        <w:trPr>
          <w:cantSplit/>
        </w:trPr>
        <w:tc>
          <w:tcPr>
            <w:tcW w:w="1191" w:type="pct"/>
          </w:tcPr>
          <w:p w14:paraId="6B4D8E68" w14:textId="77777777" w:rsidR="002B4C1E" w:rsidRPr="00630129" w:rsidRDefault="002B4C1E" w:rsidP="002B4C1E">
            <w:pPr>
              <w:rPr>
                <w:sz w:val="22"/>
                <w:szCs w:val="22"/>
              </w:rPr>
            </w:pPr>
            <w:r w:rsidRPr="00630129">
              <w:rPr>
                <w:sz w:val="22"/>
                <w:szCs w:val="22"/>
              </w:rPr>
              <w:t>Low Register Profile Coefficient</w:t>
            </w:r>
          </w:p>
        </w:tc>
        <w:tc>
          <w:tcPr>
            <w:tcW w:w="1024" w:type="pct"/>
          </w:tcPr>
          <w:p w14:paraId="195D0E77" w14:textId="77777777" w:rsidR="002B4C1E" w:rsidRPr="00630129" w:rsidRDefault="002B4C1E" w:rsidP="002B4C1E">
            <w:pPr>
              <w:rPr>
                <w:sz w:val="22"/>
                <w:szCs w:val="22"/>
              </w:rPr>
            </w:pPr>
            <w:proofErr w:type="spellStart"/>
            <w:r w:rsidRPr="00630129">
              <w:rPr>
                <w:sz w:val="22"/>
                <w:szCs w:val="22"/>
              </w:rPr>
              <w:t>LRPC</w:t>
            </w:r>
            <w:r w:rsidRPr="00630129">
              <w:rPr>
                <w:sz w:val="22"/>
                <w:szCs w:val="22"/>
                <w:vertAlign w:val="subscript"/>
              </w:rPr>
              <w:t>HPCj</w:t>
            </w:r>
            <w:proofErr w:type="spellEnd"/>
          </w:p>
        </w:tc>
        <w:tc>
          <w:tcPr>
            <w:tcW w:w="613" w:type="pct"/>
          </w:tcPr>
          <w:p w14:paraId="2200A740" w14:textId="77777777" w:rsidR="002B4C1E" w:rsidRPr="00630129" w:rsidRDefault="002B4C1E" w:rsidP="002B4C1E">
            <w:pPr>
              <w:rPr>
                <w:sz w:val="22"/>
                <w:szCs w:val="22"/>
              </w:rPr>
            </w:pPr>
            <w:r w:rsidRPr="00630129">
              <w:rPr>
                <w:sz w:val="22"/>
                <w:szCs w:val="22"/>
              </w:rPr>
              <w:t>Number</w:t>
            </w:r>
          </w:p>
        </w:tc>
        <w:tc>
          <w:tcPr>
            <w:tcW w:w="2171" w:type="pct"/>
          </w:tcPr>
          <w:p w14:paraId="0E1D08B0" w14:textId="77777777" w:rsidR="002B4C1E" w:rsidRPr="00630129" w:rsidRDefault="002B4C1E" w:rsidP="002B4C1E">
            <w:pPr>
              <w:rPr>
                <w:sz w:val="22"/>
                <w:szCs w:val="22"/>
              </w:rPr>
            </w:pPr>
            <w:r w:rsidRPr="00630129">
              <w:rPr>
                <w:sz w:val="22"/>
                <w:szCs w:val="22"/>
              </w:rPr>
              <w:t>The deemed fraction of annual Consumption for a Switched Load Metering System in a Settlement Period recorded on those meter registers which are 'on' during times when there is switched load Consumption at such Metering System, determined pursuant to paragraph 6.6 of Annex S-2.</w:t>
            </w:r>
          </w:p>
        </w:tc>
      </w:tr>
      <w:tr w:rsidR="002B4C1E" w:rsidRPr="00630129" w14:paraId="19720E7D" w14:textId="77777777" w:rsidTr="00A63BA8">
        <w:trPr>
          <w:cantSplit/>
        </w:trPr>
        <w:tc>
          <w:tcPr>
            <w:tcW w:w="1191" w:type="pct"/>
          </w:tcPr>
          <w:p w14:paraId="3F587440" w14:textId="77777777" w:rsidR="002B4C1E" w:rsidRPr="00630129" w:rsidRDefault="002B4C1E" w:rsidP="002B4C1E">
            <w:pPr>
              <w:pStyle w:val="EndnoteText"/>
              <w:rPr>
                <w:sz w:val="22"/>
                <w:szCs w:val="22"/>
              </w:rPr>
            </w:pPr>
            <w:r w:rsidRPr="00630129">
              <w:rPr>
                <w:sz w:val="22"/>
                <w:szCs w:val="22"/>
              </w:rPr>
              <w:t>Matrix Of Regression Coefficients</w:t>
            </w:r>
          </w:p>
        </w:tc>
        <w:tc>
          <w:tcPr>
            <w:tcW w:w="1024" w:type="pct"/>
          </w:tcPr>
          <w:p w14:paraId="3F709B89" w14:textId="77777777" w:rsidR="002B4C1E" w:rsidRPr="00630129" w:rsidRDefault="002B4C1E" w:rsidP="002B4C1E">
            <w:pPr>
              <w:pStyle w:val="EndnoteText"/>
              <w:rPr>
                <w:sz w:val="22"/>
                <w:szCs w:val="22"/>
              </w:rPr>
            </w:pPr>
            <w:r w:rsidRPr="00630129">
              <w:rPr>
                <w:sz w:val="22"/>
                <w:szCs w:val="22"/>
              </w:rPr>
              <w:t>MRC</w:t>
            </w:r>
            <w:r w:rsidRPr="00630129">
              <w:rPr>
                <w:sz w:val="22"/>
                <w:szCs w:val="22"/>
                <w:vertAlign w:val="subscript"/>
              </w:rPr>
              <w:t>Q(aa)(</w:t>
            </w:r>
            <w:proofErr w:type="spellStart"/>
            <w:r w:rsidRPr="00630129">
              <w:rPr>
                <w:sz w:val="22"/>
                <w:szCs w:val="22"/>
                <w:vertAlign w:val="subscript"/>
              </w:rPr>
              <w:t>nn</w:t>
            </w:r>
            <w:proofErr w:type="spellEnd"/>
            <w:r w:rsidRPr="00630129">
              <w:rPr>
                <w:sz w:val="22"/>
                <w:szCs w:val="22"/>
                <w:vertAlign w:val="subscript"/>
              </w:rPr>
              <w:t>)j</w:t>
            </w:r>
          </w:p>
        </w:tc>
        <w:tc>
          <w:tcPr>
            <w:tcW w:w="613" w:type="pct"/>
          </w:tcPr>
          <w:p w14:paraId="5E0B99E7" w14:textId="77777777" w:rsidR="002B4C1E" w:rsidRPr="00630129" w:rsidRDefault="002B4C1E" w:rsidP="002B4C1E">
            <w:pPr>
              <w:pStyle w:val="EndnoteText"/>
              <w:rPr>
                <w:sz w:val="22"/>
                <w:szCs w:val="22"/>
              </w:rPr>
            </w:pPr>
            <w:r w:rsidRPr="00630129">
              <w:rPr>
                <w:sz w:val="22"/>
                <w:szCs w:val="22"/>
              </w:rPr>
              <w:t>Various</w:t>
            </w:r>
          </w:p>
        </w:tc>
        <w:tc>
          <w:tcPr>
            <w:tcW w:w="2171" w:type="pct"/>
          </w:tcPr>
          <w:p w14:paraId="7E1C2987" w14:textId="77777777" w:rsidR="002B4C1E" w:rsidRPr="00630129" w:rsidRDefault="002B4C1E" w:rsidP="002B4C1E">
            <w:pPr>
              <w:pStyle w:val="EndnoteText"/>
              <w:rPr>
                <w:sz w:val="22"/>
                <w:szCs w:val="22"/>
              </w:rPr>
            </w:pPr>
            <w:r w:rsidRPr="00630129">
              <w:rPr>
                <w:sz w:val="22"/>
                <w:szCs w:val="22"/>
              </w:rPr>
              <w:t>The matrix of regression coefficients from time to time supplied by the Profile Administrator pursuant to paragraph 5.1.4 of Annex S-2.</w:t>
            </w:r>
          </w:p>
        </w:tc>
      </w:tr>
      <w:tr w:rsidR="002B4C1E" w:rsidRPr="00630129" w14:paraId="78E41CF5" w14:textId="77777777" w:rsidTr="00A63BA8">
        <w:trPr>
          <w:cantSplit/>
        </w:trPr>
        <w:tc>
          <w:tcPr>
            <w:tcW w:w="1191" w:type="pct"/>
          </w:tcPr>
          <w:p w14:paraId="47A2A15C" w14:textId="77777777" w:rsidR="002B4C1E" w:rsidRPr="00630129" w:rsidRDefault="002B4C1E" w:rsidP="002B4C1E">
            <w:pPr>
              <w:pStyle w:val="EndnoteText"/>
              <w:rPr>
                <w:sz w:val="22"/>
                <w:szCs w:val="22"/>
              </w:rPr>
            </w:pPr>
            <w:r w:rsidRPr="00630129">
              <w:rPr>
                <w:sz w:val="22"/>
                <w:szCs w:val="22"/>
              </w:rPr>
              <w:t>Measurement Class</w:t>
            </w:r>
          </w:p>
        </w:tc>
        <w:tc>
          <w:tcPr>
            <w:tcW w:w="1024" w:type="pct"/>
          </w:tcPr>
          <w:p w14:paraId="451518FE" w14:textId="77777777" w:rsidR="002B4C1E" w:rsidRPr="00630129" w:rsidRDefault="002B4C1E" w:rsidP="002B4C1E">
            <w:pPr>
              <w:pStyle w:val="EndnoteText"/>
              <w:rPr>
                <w:sz w:val="22"/>
                <w:szCs w:val="22"/>
              </w:rPr>
            </w:pPr>
          </w:p>
        </w:tc>
        <w:tc>
          <w:tcPr>
            <w:tcW w:w="613" w:type="pct"/>
          </w:tcPr>
          <w:p w14:paraId="556CA88E" w14:textId="77777777" w:rsidR="002B4C1E" w:rsidRPr="00630129" w:rsidRDefault="002B4C1E" w:rsidP="002B4C1E">
            <w:pPr>
              <w:pStyle w:val="EndnoteText"/>
              <w:rPr>
                <w:sz w:val="22"/>
                <w:szCs w:val="22"/>
              </w:rPr>
            </w:pPr>
          </w:p>
        </w:tc>
        <w:tc>
          <w:tcPr>
            <w:tcW w:w="2171" w:type="pct"/>
          </w:tcPr>
          <w:p w14:paraId="448B3916" w14:textId="77777777" w:rsidR="002B4C1E" w:rsidRPr="00630129" w:rsidRDefault="002B4C1E" w:rsidP="002B4C1E">
            <w:pPr>
              <w:pStyle w:val="EndnoteText"/>
              <w:rPr>
                <w:sz w:val="22"/>
                <w:szCs w:val="22"/>
              </w:rPr>
            </w:pPr>
            <w:r w:rsidRPr="00630129">
              <w:rPr>
                <w:sz w:val="22"/>
                <w:szCs w:val="22"/>
              </w:rPr>
              <w:t>A classification of Metering Systems which indicates how Consumption is measured</w:t>
            </w:r>
          </w:p>
          <w:p w14:paraId="2C19D13E" w14:textId="77777777" w:rsidR="002B4C1E" w:rsidRPr="00630129" w:rsidRDefault="002B4C1E" w:rsidP="002B4C1E">
            <w:pPr>
              <w:pStyle w:val="EndnoteText"/>
              <w:rPr>
                <w:sz w:val="22"/>
                <w:szCs w:val="22"/>
              </w:rPr>
            </w:pPr>
            <w:r w:rsidRPr="00630129">
              <w:rPr>
                <w:sz w:val="22"/>
                <w:szCs w:val="22"/>
              </w:rPr>
              <w:t>i.e. Non Half Hourly Metering Equipment (equivalent to Measurement Class “A”)</w:t>
            </w:r>
          </w:p>
          <w:p w14:paraId="757CFF9A" w14:textId="77777777" w:rsidR="002B4C1E" w:rsidRPr="00630129" w:rsidRDefault="002B4C1E" w:rsidP="002B4C1E">
            <w:pPr>
              <w:pStyle w:val="EndnoteText"/>
              <w:rPr>
                <w:sz w:val="22"/>
                <w:szCs w:val="22"/>
              </w:rPr>
            </w:pPr>
            <w:r w:rsidRPr="00630129">
              <w:rPr>
                <w:sz w:val="22"/>
                <w:szCs w:val="22"/>
              </w:rPr>
              <w:t>Non Half Hourly Unmetered Supplies (equivalent to Measurement Class “B”)</w:t>
            </w:r>
          </w:p>
          <w:p w14:paraId="5766AD1B" w14:textId="77777777" w:rsidR="002B4C1E" w:rsidRPr="00630129" w:rsidRDefault="002B4C1E" w:rsidP="002B4C1E">
            <w:pPr>
              <w:pStyle w:val="EndnoteText"/>
              <w:rPr>
                <w:sz w:val="22"/>
                <w:szCs w:val="22"/>
              </w:rPr>
            </w:pPr>
            <w:r w:rsidRPr="00630129">
              <w:rPr>
                <w:sz w:val="22"/>
                <w:szCs w:val="22"/>
              </w:rPr>
              <w:t>Half Hourly Metering Equipment at above 100kW Premises (equivalent to Measurement Class “C”)</w:t>
            </w:r>
          </w:p>
          <w:p w14:paraId="190BCFE2" w14:textId="77777777" w:rsidR="002B4C1E" w:rsidRPr="00630129" w:rsidRDefault="002B4C1E" w:rsidP="002B4C1E">
            <w:pPr>
              <w:pStyle w:val="EndnoteText"/>
              <w:rPr>
                <w:sz w:val="22"/>
                <w:szCs w:val="22"/>
              </w:rPr>
            </w:pPr>
            <w:r w:rsidRPr="00630129">
              <w:rPr>
                <w:sz w:val="22"/>
                <w:szCs w:val="22"/>
              </w:rPr>
              <w:t>Half Hourly Unmetered Supplies (equivalent to Measurement Class “D”)</w:t>
            </w:r>
          </w:p>
          <w:p w14:paraId="7532DA3B" w14:textId="77777777" w:rsidR="002B4C1E" w:rsidRPr="00630129" w:rsidRDefault="002B4C1E" w:rsidP="002B4C1E">
            <w:pPr>
              <w:pStyle w:val="EndnoteText"/>
              <w:rPr>
                <w:sz w:val="22"/>
                <w:szCs w:val="22"/>
              </w:rPr>
            </w:pPr>
            <w:r w:rsidRPr="00630129">
              <w:rPr>
                <w:sz w:val="22"/>
                <w:szCs w:val="22"/>
              </w:rPr>
              <w:t>Half Hourly Metering Equipment at below 100kW Premises with current transformer (equivalent to Measurement Class “E”)</w:t>
            </w:r>
          </w:p>
          <w:p w14:paraId="3AEAEE10" w14:textId="77777777" w:rsidR="002B4C1E" w:rsidRPr="00630129" w:rsidRDefault="002B4C1E" w:rsidP="002B4C1E">
            <w:pPr>
              <w:pStyle w:val="EndnoteText"/>
              <w:rPr>
                <w:sz w:val="22"/>
                <w:szCs w:val="22"/>
              </w:rPr>
            </w:pPr>
            <w:r w:rsidRPr="00630129">
              <w:rPr>
                <w:sz w:val="22"/>
                <w:szCs w:val="22"/>
              </w:rPr>
              <w:t>Half Hourly Metering Equipment at below 100kW Premises with current transformer or whole current, and at Domestic Premises (equivalent to Measurement Class “F”)</w:t>
            </w:r>
          </w:p>
          <w:p w14:paraId="61BBB38D" w14:textId="77777777" w:rsidR="002B4C1E" w:rsidRPr="00630129" w:rsidRDefault="002B4C1E" w:rsidP="002B4C1E">
            <w:pPr>
              <w:pStyle w:val="EndnoteText"/>
              <w:rPr>
                <w:sz w:val="22"/>
                <w:szCs w:val="22"/>
              </w:rPr>
            </w:pPr>
            <w:r w:rsidRPr="00630129">
              <w:rPr>
                <w:sz w:val="22"/>
                <w:szCs w:val="22"/>
              </w:rPr>
              <w:t>Half Hourly Metering Equipment at below 100kW Premises with whole current and not at Domestic Premises (equivalent to Measurement Class “G”).</w:t>
            </w:r>
          </w:p>
        </w:tc>
      </w:tr>
      <w:tr w:rsidR="002B4C1E" w:rsidRPr="00630129" w14:paraId="3B89C16F" w14:textId="77777777" w:rsidTr="00A63BA8">
        <w:trPr>
          <w:cantSplit/>
        </w:trPr>
        <w:tc>
          <w:tcPr>
            <w:tcW w:w="1191" w:type="pct"/>
          </w:tcPr>
          <w:p w14:paraId="6237E30E" w14:textId="77777777" w:rsidR="002B4C1E" w:rsidRPr="00630129" w:rsidRDefault="002B4C1E" w:rsidP="002B4C1E">
            <w:pPr>
              <w:pStyle w:val="EndnoteText"/>
              <w:rPr>
                <w:sz w:val="22"/>
                <w:szCs w:val="22"/>
              </w:rPr>
            </w:pPr>
            <w:r w:rsidRPr="00630129">
              <w:rPr>
                <w:sz w:val="22"/>
                <w:szCs w:val="22"/>
              </w:rPr>
              <w:t>Measurement Quantity</w:t>
            </w:r>
          </w:p>
        </w:tc>
        <w:tc>
          <w:tcPr>
            <w:tcW w:w="1024" w:type="pct"/>
          </w:tcPr>
          <w:p w14:paraId="150E7A43" w14:textId="77777777" w:rsidR="002B4C1E" w:rsidRPr="00630129" w:rsidRDefault="002B4C1E" w:rsidP="002B4C1E">
            <w:pPr>
              <w:pStyle w:val="EndnoteText"/>
              <w:rPr>
                <w:sz w:val="22"/>
                <w:szCs w:val="22"/>
              </w:rPr>
            </w:pPr>
          </w:p>
        </w:tc>
        <w:tc>
          <w:tcPr>
            <w:tcW w:w="613" w:type="pct"/>
          </w:tcPr>
          <w:p w14:paraId="67751E93" w14:textId="77777777" w:rsidR="002B4C1E" w:rsidRPr="00630129" w:rsidRDefault="002B4C1E" w:rsidP="002B4C1E">
            <w:pPr>
              <w:pStyle w:val="EndnoteText"/>
              <w:rPr>
                <w:sz w:val="22"/>
                <w:szCs w:val="22"/>
              </w:rPr>
            </w:pPr>
          </w:p>
        </w:tc>
        <w:tc>
          <w:tcPr>
            <w:tcW w:w="2171" w:type="pct"/>
          </w:tcPr>
          <w:p w14:paraId="1322DD20" w14:textId="77777777" w:rsidR="002B4C1E" w:rsidRPr="00630129" w:rsidRDefault="002B4C1E" w:rsidP="002B4C1E">
            <w:pPr>
              <w:pStyle w:val="EndnoteText"/>
              <w:rPr>
                <w:sz w:val="22"/>
                <w:szCs w:val="22"/>
              </w:rPr>
            </w:pPr>
            <w:r w:rsidRPr="00630129">
              <w:rPr>
                <w:sz w:val="22"/>
                <w:szCs w:val="22"/>
              </w:rPr>
              <w:t>An indicator to show whether Metered Data in respect of a Metering System is export or import active energy.</w:t>
            </w:r>
          </w:p>
        </w:tc>
      </w:tr>
      <w:tr w:rsidR="002B4C1E" w:rsidRPr="00630129" w14:paraId="1AFC0A68" w14:textId="77777777" w:rsidTr="00A63BA8">
        <w:trPr>
          <w:cantSplit/>
        </w:trPr>
        <w:tc>
          <w:tcPr>
            <w:tcW w:w="1191" w:type="pct"/>
          </w:tcPr>
          <w:p w14:paraId="2ECE8AA1" w14:textId="77777777" w:rsidR="002B4C1E" w:rsidRPr="00630129" w:rsidRDefault="002B4C1E" w:rsidP="002B4C1E">
            <w:pPr>
              <w:pStyle w:val="EndnoteText"/>
              <w:rPr>
                <w:sz w:val="22"/>
                <w:szCs w:val="22"/>
              </w:rPr>
            </w:pPr>
            <w:r w:rsidRPr="00630129">
              <w:rPr>
                <w:sz w:val="22"/>
                <w:szCs w:val="22"/>
              </w:rPr>
              <w:lastRenderedPageBreak/>
              <w:t>Meter Advance</w:t>
            </w:r>
          </w:p>
        </w:tc>
        <w:tc>
          <w:tcPr>
            <w:tcW w:w="1024" w:type="pct"/>
          </w:tcPr>
          <w:p w14:paraId="44A90B05" w14:textId="77777777" w:rsidR="002B4C1E" w:rsidRPr="00630129" w:rsidRDefault="002B4C1E" w:rsidP="002B4C1E">
            <w:pPr>
              <w:pStyle w:val="EndnoteText"/>
              <w:rPr>
                <w:sz w:val="22"/>
                <w:szCs w:val="22"/>
              </w:rPr>
            </w:pPr>
            <w:r w:rsidRPr="00630129">
              <w:rPr>
                <w:sz w:val="22"/>
                <w:szCs w:val="22"/>
              </w:rPr>
              <w:t>MADV</w:t>
            </w:r>
            <w:r w:rsidRPr="00630129">
              <w:rPr>
                <w:sz w:val="22"/>
                <w:szCs w:val="22"/>
                <w:vertAlign w:val="subscript"/>
              </w:rPr>
              <w:t>KR</w:t>
            </w:r>
          </w:p>
        </w:tc>
        <w:tc>
          <w:tcPr>
            <w:tcW w:w="613" w:type="pct"/>
          </w:tcPr>
          <w:p w14:paraId="24189210" w14:textId="77777777" w:rsidR="002B4C1E" w:rsidRPr="00630129" w:rsidRDefault="002B4C1E" w:rsidP="002B4C1E">
            <w:pPr>
              <w:pStyle w:val="EndnoteText"/>
              <w:rPr>
                <w:sz w:val="22"/>
                <w:szCs w:val="22"/>
              </w:rPr>
            </w:pPr>
            <w:r w:rsidRPr="00630129">
              <w:rPr>
                <w:sz w:val="22"/>
                <w:szCs w:val="22"/>
              </w:rPr>
              <w:t>kWh</w:t>
            </w:r>
          </w:p>
        </w:tc>
        <w:tc>
          <w:tcPr>
            <w:tcW w:w="2171" w:type="pct"/>
          </w:tcPr>
          <w:p w14:paraId="5DA84215" w14:textId="77777777" w:rsidR="002B4C1E" w:rsidRPr="00630129" w:rsidRDefault="002B4C1E" w:rsidP="002B4C1E">
            <w:pPr>
              <w:pStyle w:val="EndnoteText"/>
              <w:rPr>
                <w:sz w:val="22"/>
                <w:szCs w:val="22"/>
              </w:rPr>
            </w:pPr>
            <w:r w:rsidRPr="00630129">
              <w:rPr>
                <w:sz w:val="22"/>
                <w:szCs w:val="22"/>
              </w:rPr>
              <w:t xml:space="preserve">The difference recorded for a Settlement Register between one reading, or as the case may be, deemed reading of this register and the next reading or, as the case may be, deemed reading of this register (that is over the Meter Advance Period) used in the determination of Annualised Advance pursuant </w:t>
            </w:r>
            <w:r>
              <w:rPr>
                <w:sz w:val="22"/>
                <w:szCs w:val="22"/>
              </w:rPr>
              <w:t xml:space="preserve">to paragraph 4.3 of Annex S-2. </w:t>
            </w:r>
            <w:r w:rsidRPr="00630129">
              <w:rPr>
                <w:sz w:val="22"/>
                <w:szCs w:val="22"/>
              </w:rPr>
              <w:t>In the case where such next reading is deemed, the Meter Advance may also be known more particularly as a Deemed Meter Advance in which case it shall have an associated Deemed Meter Advance Period.</w:t>
            </w:r>
          </w:p>
        </w:tc>
      </w:tr>
      <w:tr w:rsidR="002B4C1E" w:rsidRPr="00630129" w14:paraId="55AD19F4" w14:textId="77777777" w:rsidTr="00A63BA8">
        <w:trPr>
          <w:cantSplit/>
        </w:trPr>
        <w:tc>
          <w:tcPr>
            <w:tcW w:w="1191" w:type="pct"/>
          </w:tcPr>
          <w:p w14:paraId="5227E50A" w14:textId="77777777" w:rsidR="002B4C1E" w:rsidRPr="00630129" w:rsidRDefault="002B4C1E" w:rsidP="002B4C1E">
            <w:pPr>
              <w:pStyle w:val="EndnoteText"/>
              <w:rPr>
                <w:sz w:val="22"/>
                <w:szCs w:val="22"/>
              </w:rPr>
            </w:pPr>
            <w:bookmarkStart w:id="57" w:name="_GoBack" w:colFirst="4" w:colLast="4"/>
            <w:r w:rsidRPr="00630129">
              <w:rPr>
                <w:sz w:val="22"/>
                <w:szCs w:val="22"/>
              </w:rPr>
              <w:t>Meter Advance Period</w:t>
            </w:r>
          </w:p>
        </w:tc>
        <w:tc>
          <w:tcPr>
            <w:tcW w:w="1024" w:type="pct"/>
          </w:tcPr>
          <w:p w14:paraId="5F8A7F61" w14:textId="77777777" w:rsidR="002B4C1E" w:rsidRPr="00630129" w:rsidRDefault="002B4C1E" w:rsidP="002B4C1E">
            <w:pPr>
              <w:pStyle w:val="EndnoteText"/>
              <w:rPr>
                <w:sz w:val="22"/>
                <w:szCs w:val="22"/>
              </w:rPr>
            </w:pPr>
            <w:r w:rsidRPr="00630129">
              <w:rPr>
                <w:sz w:val="22"/>
                <w:szCs w:val="22"/>
              </w:rPr>
              <w:t>MAP</w:t>
            </w:r>
          </w:p>
        </w:tc>
        <w:tc>
          <w:tcPr>
            <w:tcW w:w="613" w:type="pct"/>
          </w:tcPr>
          <w:p w14:paraId="5F45A8C4" w14:textId="77777777" w:rsidR="002B4C1E" w:rsidRPr="00630129" w:rsidRDefault="002B4C1E" w:rsidP="002B4C1E">
            <w:pPr>
              <w:pStyle w:val="EndnoteText"/>
              <w:rPr>
                <w:sz w:val="22"/>
                <w:szCs w:val="22"/>
              </w:rPr>
            </w:pPr>
          </w:p>
        </w:tc>
        <w:tc>
          <w:tcPr>
            <w:tcW w:w="2171" w:type="pct"/>
          </w:tcPr>
          <w:p w14:paraId="0E686310" w14:textId="77777777" w:rsidR="002B4C1E" w:rsidRPr="00630129" w:rsidRDefault="002B4C1E" w:rsidP="002B4C1E">
            <w:pPr>
              <w:pStyle w:val="EndnoteText"/>
              <w:rPr>
                <w:sz w:val="22"/>
                <w:szCs w:val="22"/>
              </w:rPr>
            </w:pPr>
            <w:r w:rsidRPr="00630129">
              <w:rPr>
                <w:sz w:val="22"/>
                <w:szCs w:val="22"/>
              </w:rPr>
              <w:t>The period of complete Settlement Days between successive meter readings for a Settlement Register, which shall be the period from and including the Settlement Day on which a meter reading is taken up to and including the Settlement Day prior to the Settlement Day on which the next meter reading is taken.</w:t>
            </w:r>
          </w:p>
        </w:tc>
      </w:tr>
      <w:bookmarkEnd w:id="57"/>
      <w:tr w:rsidR="002B4C1E" w:rsidRPr="00630129" w14:paraId="7AEAEC39" w14:textId="77777777" w:rsidTr="00A63BA8">
        <w:trPr>
          <w:cantSplit/>
        </w:trPr>
        <w:tc>
          <w:tcPr>
            <w:tcW w:w="1191" w:type="pct"/>
          </w:tcPr>
          <w:p w14:paraId="6CC987DF" w14:textId="77777777" w:rsidR="002B4C1E" w:rsidRPr="00630129" w:rsidRDefault="002B4C1E" w:rsidP="002B4C1E">
            <w:pPr>
              <w:pStyle w:val="EndnoteText"/>
              <w:rPr>
                <w:sz w:val="22"/>
                <w:szCs w:val="22"/>
              </w:rPr>
            </w:pPr>
            <w:r w:rsidRPr="00630129">
              <w:rPr>
                <w:sz w:val="22"/>
                <w:szCs w:val="22"/>
              </w:rPr>
              <w:t>Metered Data</w:t>
            </w:r>
          </w:p>
        </w:tc>
        <w:tc>
          <w:tcPr>
            <w:tcW w:w="1024" w:type="pct"/>
          </w:tcPr>
          <w:p w14:paraId="0A6E54E0" w14:textId="77777777" w:rsidR="002B4C1E" w:rsidRPr="00630129" w:rsidRDefault="002B4C1E" w:rsidP="002B4C1E">
            <w:pPr>
              <w:pStyle w:val="EndnoteText"/>
              <w:rPr>
                <w:sz w:val="22"/>
                <w:szCs w:val="22"/>
              </w:rPr>
            </w:pPr>
          </w:p>
        </w:tc>
        <w:tc>
          <w:tcPr>
            <w:tcW w:w="613" w:type="pct"/>
          </w:tcPr>
          <w:p w14:paraId="45BAC75A" w14:textId="77777777" w:rsidR="002B4C1E" w:rsidRPr="00630129" w:rsidRDefault="002B4C1E" w:rsidP="002B4C1E">
            <w:pPr>
              <w:pStyle w:val="EndnoteText"/>
              <w:rPr>
                <w:sz w:val="22"/>
                <w:szCs w:val="22"/>
              </w:rPr>
            </w:pPr>
          </w:p>
        </w:tc>
        <w:tc>
          <w:tcPr>
            <w:tcW w:w="2171" w:type="pct"/>
          </w:tcPr>
          <w:p w14:paraId="297EA775" w14:textId="77777777" w:rsidR="002B4C1E" w:rsidRPr="00630129" w:rsidRDefault="002B4C1E" w:rsidP="002B4C1E">
            <w:pPr>
              <w:pStyle w:val="EndnoteText"/>
              <w:rPr>
                <w:sz w:val="22"/>
                <w:szCs w:val="22"/>
              </w:rPr>
            </w:pPr>
            <w:r w:rsidRPr="00630129">
              <w:rPr>
                <w:sz w:val="22"/>
                <w:szCs w:val="22"/>
              </w:rPr>
              <w:t>Data concerning the quantities of Active Energy exported or imported measured, collected, recorded and otherwise determined pursuant to the Code.</w:t>
            </w:r>
          </w:p>
        </w:tc>
      </w:tr>
      <w:tr w:rsidR="002B4C1E" w:rsidRPr="00630129" w14:paraId="30046AD4" w14:textId="77777777" w:rsidTr="00A63BA8">
        <w:trPr>
          <w:cantSplit/>
        </w:trPr>
        <w:tc>
          <w:tcPr>
            <w:tcW w:w="1191" w:type="pct"/>
          </w:tcPr>
          <w:p w14:paraId="217533CE" w14:textId="77777777" w:rsidR="002B4C1E" w:rsidRPr="00630129" w:rsidRDefault="002B4C1E" w:rsidP="002B4C1E">
            <w:pPr>
              <w:pStyle w:val="EndnoteText"/>
              <w:rPr>
                <w:sz w:val="22"/>
                <w:szCs w:val="22"/>
              </w:rPr>
            </w:pPr>
            <w:r w:rsidRPr="00630129">
              <w:rPr>
                <w:sz w:val="22"/>
                <w:szCs w:val="22"/>
              </w:rPr>
              <w:t>Metering System Delivered Volumes</w:t>
            </w:r>
          </w:p>
        </w:tc>
        <w:tc>
          <w:tcPr>
            <w:tcW w:w="1024" w:type="pct"/>
          </w:tcPr>
          <w:p w14:paraId="28512B4C" w14:textId="77777777" w:rsidR="002B4C1E" w:rsidRPr="00630129" w:rsidRDefault="002B4C1E" w:rsidP="002B4C1E">
            <w:pPr>
              <w:pStyle w:val="EndnoteText"/>
              <w:rPr>
                <w:sz w:val="22"/>
                <w:szCs w:val="22"/>
              </w:rPr>
            </w:pPr>
            <w:proofErr w:type="spellStart"/>
            <w:r w:rsidRPr="00630129">
              <w:rPr>
                <w:sz w:val="22"/>
                <w:szCs w:val="22"/>
              </w:rPr>
              <w:t>QVMD</w:t>
            </w:r>
            <w:r w:rsidRPr="00630129">
              <w:rPr>
                <w:sz w:val="22"/>
                <w:szCs w:val="22"/>
                <w:vertAlign w:val="subscript"/>
              </w:rPr>
              <w:t>Kj</w:t>
            </w:r>
            <w:proofErr w:type="spellEnd"/>
          </w:p>
        </w:tc>
        <w:tc>
          <w:tcPr>
            <w:tcW w:w="613" w:type="pct"/>
          </w:tcPr>
          <w:p w14:paraId="4CF6C4B2" w14:textId="77777777" w:rsidR="002B4C1E" w:rsidRPr="00630129" w:rsidRDefault="002B4C1E" w:rsidP="002B4C1E">
            <w:pPr>
              <w:pStyle w:val="EndnoteText"/>
              <w:rPr>
                <w:sz w:val="22"/>
                <w:szCs w:val="22"/>
              </w:rPr>
            </w:pPr>
            <w:r w:rsidRPr="00630129">
              <w:rPr>
                <w:sz w:val="22"/>
                <w:szCs w:val="22"/>
              </w:rPr>
              <w:t>MWh</w:t>
            </w:r>
          </w:p>
        </w:tc>
        <w:tc>
          <w:tcPr>
            <w:tcW w:w="2171" w:type="pct"/>
          </w:tcPr>
          <w:p w14:paraId="31E4C272" w14:textId="56DDE772" w:rsidR="002B4C1E" w:rsidRPr="00630129" w:rsidRDefault="002B4C1E" w:rsidP="003859AF">
            <w:pPr>
              <w:pStyle w:val="EndnoteText"/>
              <w:rPr>
                <w:sz w:val="22"/>
                <w:szCs w:val="22"/>
              </w:rPr>
            </w:pPr>
            <w:r w:rsidRPr="00630129">
              <w:rPr>
                <w:sz w:val="22"/>
                <w:szCs w:val="22"/>
              </w:rPr>
              <w:t>The quantity determined in accordance with paragraph 3.10.</w:t>
            </w:r>
            <w:del w:id="58" w:author="Aditi Tulpule" w:date="2021-02-24T16:16:00Z">
              <w:r w:rsidRPr="00630129">
                <w:rPr>
                  <w:sz w:val="22"/>
                  <w:szCs w:val="22"/>
                </w:rPr>
                <w:delText>2 of</w:delText>
              </w:r>
            </w:del>
            <w:ins w:id="59" w:author="Aditi Tulpule" w:date="2021-02-24T16:16:00Z">
              <w:r w:rsidR="003859AF">
                <w:rPr>
                  <w:sz w:val="22"/>
                  <w:szCs w:val="22"/>
                </w:rPr>
                <w:t>4A</w:t>
              </w:r>
            </w:ins>
            <w:r w:rsidR="006E1641">
              <w:rPr>
                <w:sz w:val="22"/>
                <w:szCs w:val="22"/>
              </w:rPr>
              <w:t xml:space="preserve"> </w:t>
            </w:r>
            <w:ins w:id="60" w:author="Aditi Tulpule" w:date="2021-02-24T16:16:00Z">
              <w:r w:rsidRPr="00630129">
                <w:rPr>
                  <w:sz w:val="22"/>
                  <w:szCs w:val="22"/>
                </w:rPr>
                <w:t>of</w:t>
              </w:r>
            </w:ins>
            <w:r w:rsidRPr="00630129">
              <w:rPr>
                <w:sz w:val="22"/>
                <w:szCs w:val="22"/>
              </w:rPr>
              <w:t xml:space="preserve"> Annex S-2.</w:t>
            </w:r>
          </w:p>
        </w:tc>
      </w:tr>
      <w:tr w:rsidR="002B4C1E" w:rsidRPr="00630129" w14:paraId="0A4E9F38" w14:textId="77777777" w:rsidTr="00A63BA8">
        <w:trPr>
          <w:cantSplit/>
        </w:trPr>
        <w:tc>
          <w:tcPr>
            <w:tcW w:w="1191" w:type="pct"/>
          </w:tcPr>
          <w:p w14:paraId="34831192" w14:textId="77777777" w:rsidR="002B4C1E" w:rsidRPr="00630129" w:rsidRDefault="002B4C1E" w:rsidP="002B4C1E">
            <w:pPr>
              <w:pStyle w:val="EndnoteText"/>
              <w:rPr>
                <w:sz w:val="22"/>
                <w:szCs w:val="22"/>
              </w:rPr>
            </w:pPr>
            <w:r w:rsidRPr="00630129">
              <w:rPr>
                <w:sz w:val="22"/>
                <w:szCs w:val="22"/>
              </w:rPr>
              <w:t>Metering System Metered Consumption</w:t>
            </w:r>
          </w:p>
        </w:tc>
        <w:tc>
          <w:tcPr>
            <w:tcW w:w="1024" w:type="pct"/>
          </w:tcPr>
          <w:p w14:paraId="2345DD9D" w14:textId="77777777" w:rsidR="002B4C1E" w:rsidRPr="00630129" w:rsidRDefault="002B4C1E" w:rsidP="002B4C1E">
            <w:pPr>
              <w:pStyle w:val="EndnoteText"/>
              <w:rPr>
                <w:sz w:val="22"/>
                <w:szCs w:val="22"/>
              </w:rPr>
            </w:pPr>
            <w:proofErr w:type="spellStart"/>
            <w:r w:rsidRPr="00630129">
              <w:rPr>
                <w:sz w:val="22"/>
                <w:szCs w:val="22"/>
              </w:rPr>
              <w:t>VMMC</w:t>
            </w:r>
            <w:r w:rsidRPr="00630129">
              <w:rPr>
                <w:sz w:val="22"/>
                <w:szCs w:val="22"/>
                <w:vertAlign w:val="subscript"/>
              </w:rPr>
              <w:t>HZaNKji</w:t>
            </w:r>
            <w:proofErr w:type="spellEnd"/>
          </w:p>
        </w:tc>
        <w:tc>
          <w:tcPr>
            <w:tcW w:w="613" w:type="pct"/>
          </w:tcPr>
          <w:p w14:paraId="4A53A621" w14:textId="77777777" w:rsidR="002B4C1E" w:rsidRPr="00630129" w:rsidRDefault="002B4C1E" w:rsidP="002B4C1E">
            <w:pPr>
              <w:pStyle w:val="EndnoteText"/>
              <w:rPr>
                <w:sz w:val="22"/>
                <w:szCs w:val="22"/>
              </w:rPr>
            </w:pPr>
            <w:r w:rsidRPr="00630129">
              <w:rPr>
                <w:sz w:val="22"/>
                <w:szCs w:val="22"/>
              </w:rPr>
              <w:t>MWh</w:t>
            </w:r>
          </w:p>
        </w:tc>
        <w:tc>
          <w:tcPr>
            <w:tcW w:w="2171" w:type="pct"/>
          </w:tcPr>
          <w:p w14:paraId="06190E84" w14:textId="77777777" w:rsidR="002B4C1E" w:rsidRPr="00630129" w:rsidRDefault="002B4C1E" w:rsidP="002B4C1E">
            <w:pPr>
              <w:pStyle w:val="EndnoteText"/>
              <w:rPr>
                <w:sz w:val="22"/>
                <w:szCs w:val="22"/>
              </w:rPr>
            </w:pPr>
            <w:r w:rsidRPr="00630129">
              <w:rPr>
                <w:sz w:val="22"/>
                <w:szCs w:val="22"/>
              </w:rPr>
              <w:t>The quantity determined in accordance with paragraph 7.1.1B of Annex S-2.</w:t>
            </w:r>
          </w:p>
        </w:tc>
      </w:tr>
      <w:tr w:rsidR="002B4C1E" w:rsidRPr="00630129" w14:paraId="6B2976A0"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053EE2D7" w14:textId="77777777" w:rsidR="002B4C1E" w:rsidRPr="00630129" w:rsidRDefault="002B4C1E" w:rsidP="002B4C1E">
            <w:pPr>
              <w:pStyle w:val="EndnoteText"/>
              <w:rPr>
                <w:sz w:val="22"/>
                <w:szCs w:val="22"/>
              </w:rPr>
            </w:pPr>
            <w:r w:rsidRPr="00630129">
              <w:rPr>
                <w:sz w:val="22"/>
                <w:szCs w:val="22"/>
              </w:rPr>
              <w:t>Metering System Period Disconnection Duration</w:t>
            </w:r>
          </w:p>
        </w:tc>
        <w:tc>
          <w:tcPr>
            <w:tcW w:w="1024" w:type="pct"/>
            <w:tcBorders>
              <w:top w:val="single" w:sz="6" w:space="0" w:color="000000"/>
              <w:left w:val="single" w:sz="6" w:space="0" w:color="000000"/>
              <w:bottom w:val="single" w:sz="6" w:space="0" w:color="000000"/>
              <w:right w:val="single" w:sz="6" w:space="0" w:color="000000"/>
            </w:tcBorders>
          </w:tcPr>
          <w:p w14:paraId="58910E1F" w14:textId="77777777" w:rsidR="002B4C1E" w:rsidRPr="00630129" w:rsidRDefault="002B4C1E" w:rsidP="002B4C1E">
            <w:pPr>
              <w:pStyle w:val="EndnoteText"/>
              <w:rPr>
                <w:sz w:val="22"/>
                <w:szCs w:val="22"/>
              </w:rPr>
            </w:pPr>
            <w:proofErr w:type="spellStart"/>
            <w:r w:rsidRPr="00630129">
              <w:rPr>
                <w:sz w:val="22"/>
                <w:szCs w:val="22"/>
              </w:rPr>
              <w:t>M</w:t>
            </w:r>
            <w:r w:rsidRPr="00630129">
              <w:rPr>
                <w:sz w:val="22"/>
                <w:szCs w:val="22"/>
                <w:vertAlign w:val="subscript"/>
              </w:rPr>
              <w:t>Kj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4FD7A80F" w14:textId="77777777" w:rsidR="002B4C1E" w:rsidRPr="00630129" w:rsidRDefault="002B4C1E" w:rsidP="002B4C1E">
            <w:pPr>
              <w:pStyle w:val="EndnoteText"/>
              <w:rPr>
                <w:sz w:val="22"/>
                <w:szCs w:val="22"/>
              </w:rPr>
            </w:pPr>
            <w:r w:rsidRPr="00630129">
              <w:rPr>
                <w:sz w:val="22"/>
                <w:szCs w:val="22"/>
              </w:rPr>
              <w:t>Hours</w:t>
            </w:r>
          </w:p>
        </w:tc>
        <w:tc>
          <w:tcPr>
            <w:tcW w:w="2171" w:type="pct"/>
            <w:tcBorders>
              <w:top w:val="single" w:sz="6" w:space="0" w:color="000000"/>
              <w:left w:val="single" w:sz="6" w:space="0" w:color="000000"/>
              <w:bottom w:val="single" w:sz="6" w:space="0" w:color="000000"/>
              <w:right w:val="single" w:sz="6" w:space="0" w:color="000000"/>
            </w:tcBorders>
          </w:tcPr>
          <w:p w14:paraId="1F571766" w14:textId="77777777" w:rsidR="002B4C1E" w:rsidRPr="00630129" w:rsidRDefault="002B4C1E" w:rsidP="002B4C1E">
            <w:pPr>
              <w:pStyle w:val="EndnoteText"/>
              <w:rPr>
                <w:sz w:val="22"/>
                <w:szCs w:val="22"/>
              </w:rPr>
            </w:pPr>
            <w:r w:rsidRPr="00630129">
              <w:rPr>
                <w:sz w:val="22"/>
                <w:szCs w:val="22"/>
              </w:rPr>
              <w:t>The duration in hours in a given Settlement Period for which a given Metering System was subject to Demand Disconnection.</w:t>
            </w:r>
          </w:p>
        </w:tc>
      </w:tr>
      <w:tr w:rsidR="002B4C1E" w:rsidRPr="00630129" w14:paraId="566CA449" w14:textId="77777777" w:rsidTr="00A63BA8">
        <w:trPr>
          <w:cantSplit/>
        </w:trPr>
        <w:tc>
          <w:tcPr>
            <w:tcW w:w="1191" w:type="pct"/>
          </w:tcPr>
          <w:p w14:paraId="30B8B869" w14:textId="77777777" w:rsidR="002B4C1E" w:rsidRPr="00630129" w:rsidRDefault="002B4C1E" w:rsidP="002B4C1E">
            <w:pPr>
              <w:pStyle w:val="EndnoteText"/>
              <w:rPr>
                <w:sz w:val="22"/>
                <w:szCs w:val="22"/>
              </w:rPr>
            </w:pPr>
            <w:r w:rsidRPr="00630129">
              <w:rPr>
                <w:sz w:val="22"/>
                <w:szCs w:val="22"/>
              </w:rPr>
              <w:t>Modified Switched Load State Indicator</w:t>
            </w:r>
          </w:p>
        </w:tc>
        <w:tc>
          <w:tcPr>
            <w:tcW w:w="1024" w:type="pct"/>
          </w:tcPr>
          <w:p w14:paraId="3987575B" w14:textId="77777777" w:rsidR="002B4C1E" w:rsidRPr="00630129" w:rsidRDefault="002B4C1E" w:rsidP="002B4C1E">
            <w:pPr>
              <w:pStyle w:val="EndnoteText"/>
              <w:rPr>
                <w:sz w:val="22"/>
                <w:szCs w:val="22"/>
                <w:vertAlign w:val="subscript"/>
              </w:rPr>
            </w:pPr>
            <w:proofErr w:type="spellStart"/>
            <w:r w:rsidRPr="00630129">
              <w:rPr>
                <w:sz w:val="22"/>
                <w:szCs w:val="22"/>
              </w:rPr>
              <w:t>SQNEW</w:t>
            </w:r>
            <w:r w:rsidRPr="00630129">
              <w:rPr>
                <w:sz w:val="22"/>
                <w:szCs w:val="22"/>
                <w:vertAlign w:val="subscript"/>
              </w:rPr>
              <w:t>Cj</w:t>
            </w:r>
            <w:proofErr w:type="spellEnd"/>
          </w:p>
        </w:tc>
        <w:tc>
          <w:tcPr>
            <w:tcW w:w="613" w:type="pct"/>
          </w:tcPr>
          <w:p w14:paraId="182F1547" w14:textId="77777777" w:rsidR="002B4C1E" w:rsidRPr="00630129" w:rsidRDefault="002B4C1E" w:rsidP="002B4C1E">
            <w:pPr>
              <w:pStyle w:val="EndnoteText"/>
              <w:rPr>
                <w:sz w:val="22"/>
                <w:szCs w:val="22"/>
              </w:rPr>
            </w:pPr>
            <w:r w:rsidRPr="00630129">
              <w:rPr>
                <w:sz w:val="22"/>
                <w:szCs w:val="22"/>
              </w:rPr>
              <w:t>Indicator (1 or 0)</w:t>
            </w:r>
          </w:p>
        </w:tc>
        <w:tc>
          <w:tcPr>
            <w:tcW w:w="2171" w:type="pct"/>
          </w:tcPr>
          <w:p w14:paraId="615008C0" w14:textId="77777777" w:rsidR="002B4C1E" w:rsidRPr="00630129" w:rsidRDefault="002B4C1E" w:rsidP="002B4C1E">
            <w:pPr>
              <w:pStyle w:val="EndnoteText"/>
              <w:rPr>
                <w:sz w:val="22"/>
                <w:szCs w:val="22"/>
              </w:rPr>
            </w:pPr>
            <w:r w:rsidRPr="00630129">
              <w:rPr>
                <w:sz w:val="22"/>
                <w:szCs w:val="22"/>
              </w:rPr>
              <w:t>A Switched Load State Indicator modified pursuant to paragraph 6.6 of Annex S-2.</w:t>
            </w:r>
          </w:p>
        </w:tc>
      </w:tr>
      <w:tr w:rsidR="002B4C1E" w:rsidRPr="00630129" w14:paraId="640878F6" w14:textId="77777777" w:rsidTr="00A63BA8">
        <w:trPr>
          <w:cantSplit/>
        </w:trPr>
        <w:tc>
          <w:tcPr>
            <w:tcW w:w="1191" w:type="pct"/>
          </w:tcPr>
          <w:p w14:paraId="20E76BFF" w14:textId="77777777" w:rsidR="002B4C1E" w:rsidRPr="00630129" w:rsidRDefault="002B4C1E" w:rsidP="002B4C1E">
            <w:pPr>
              <w:pStyle w:val="EndnoteText"/>
              <w:rPr>
                <w:sz w:val="22"/>
                <w:szCs w:val="22"/>
              </w:rPr>
            </w:pPr>
            <w:proofErr w:type="spellStart"/>
            <w:r w:rsidRPr="00630129">
              <w:rPr>
                <w:sz w:val="22"/>
                <w:szCs w:val="22"/>
              </w:rPr>
              <w:t>Mon</w:t>
            </w:r>
            <w:r w:rsidRPr="00630129">
              <w:rPr>
                <w:sz w:val="22"/>
                <w:szCs w:val="22"/>
                <w:vertAlign w:val="subscript"/>
              </w:rPr>
              <w:t>T</w:t>
            </w:r>
            <w:proofErr w:type="spellEnd"/>
            <w:r w:rsidRPr="00630129">
              <w:rPr>
                <w:sz w:val="22"/>
                <w:szCs w:val="22"/>
              </w:rPr>
              <w:t xml:space="preserve">, </w:t>
            </w:r>
            <w:proofErr w:type="spellStart"/>
            <w:r w:rsidRPr="00630129">
              <w:rPr>
                <w:sz w:val="22"/>
                <w:szCs w:val="22"/>
              </w:rPr>
              <w:t>Wed</w:t>
            </w:r>
            <w:r w:rsidRPr="00630129">
              <w:rPr>
                <w:sz w:val="22"/>
                <w:szCs w:val="22"/>
                <w:vertAlign w:val="subscript"/>
              </w:rPr>
              <w:t>T</w:t>
            </w:r>
            <w:proofErr w:type="spellEnd"/>
            <w:r w:rsidRPr="00630129">
              <w:rPr>
                <w:sz w:val="22"/>
                <w:szCs w:val="22"/>
              </w:rPr>
              <w:t xml:space="preserve">, </w:t>
            </w:r>
            <w:proofErr w:type="spellStart"/>
            <w:r w:rsidRPr="00630129">
              <w:rPr>
                <w:sz w:val="22"/>
                <w:szCs w:val="22"/>
              </w:rPr>
              <w:t>Thu</w:t>
            </w:r>
            <w:r w:rsidRPr="00630129">
              <w:rPr>
                <w:sz w:val="22"/>
                <w:szCs w:val="22"/>
                <w:vertAlign w:val="subscript"/>
              </w:rPr>
              <w:t>T</w:t>
            </w:r>
            <w:proofErr w:type="spellEnd"/>
            <w:r w:rsidRPr="00630129">
              <w:rPr>
                <w:sz w:val="22"/>
                <w:szCs w:val="22"/>
              </w:rPr>
              <w:t xml:space="preserve"> and </w:t>
            </w:r>
            <w:proofErr w:type="spellStart"/>
            <w:r w:rsidRPr="00630129">
              <w:rPr>
                <w:sz w:val="22"/>
                <w:szCs w:val="22"/>
              </w:rPr>
              <w:t>Fri</w:t>
            </w:r>
            <w:r w:rsidRPr="00630129">
              <w:rPr>
                <w:sz w:val="22"/>
                <w:szCs w:val="22"/>
                <w:vertAlign w:val="subscript"/>
              </w:rPr>
              <w:t>T</w:t>
            </w:r>
            <w:proofErr w:type="spellEnd"/>
          </w:p>
        </w:tc>
        <w:tc>
          <w:tcPr>
            <w:tcW w:w="1024" w:type="pct"/>
          </w:tcPr>
          <w:p w14:paraId="6926E98E" w14:textId="77777777" w:rsidR="002B4C1E" w:rsidRPr="00630129" w:rsidRDefault="002B4C1E" w:rsidP="002B4C1E">
            <w:pPr>
              <w:pStyle w:val="EndnoteText"/>
              <w:rPr>
                <w:sz w:val="22"/>
                <w:szCs w:val="22"/>
              </w:rPr>
            </w:pPr>
          </w:p>
        </w:tc>
        <w:tc>
          <w:tcPr>
            <w:tcW w:w="613" w:type="pct"/>
          </w:tcPr>
          <w:p w14:paraId="14DAD736" w14:textId="77777777" w:rsidR="002B4C1E" w:rsidRPr="00630129" w:rsidRDefault="002B4C1E" w:rsidP="002B4C1E">
            <w:pPr>
              <w:pStyle w:val="EndnoteText"/>
              <w:rPr>
                <w:sz w:val="22"/>
                <w:szCs w:val="22"/>
              </w:rPr>
            </w:pPr>
            <w:r w:rsidRPr="00630129">
              <w:rPr>
                <w:sz w:val="22"/>
                <w:szCs w:val="22"/>
              </w:rPr>
              <w:t>Indicators (1 or 0)</w:t>
            </w:r>
          </w:p>
        </w:tc>
        <w:tc>
          <w:tcPr>
            <w:tcW w:w="2171" w:type="pct"/>
          </w:tcPr>
          <w:p w14:paraId="2A7EF84D" w14:textId="77777777" w:rsidR="002B4C1E" w:rsidRPr="00630129" w:rsidRDefault="002B4C1E" w:rsidP="002B4C1E">
            <w:pPr>
              <w:pStyle w:val="EndnoteText"/>
              <w:rPr>
                <w:sz w:val="22"/>
                <w:szCs w:val="22"/>
              </w:rPr>
            </w:pPr>
            <w:r w:rsidRPr="00630129">
              <w:rPr>
                <w:sz w:val="22"/>
                <w:szCs w:val="22"/>
              </w:rPr>
              <w:t>A set of indicators whose values are determined pursuant to paragraph 6.5 of Annex S-2.</w:t>
            </w:r>
          </w:p>
        </w:tc>
      </w:tr>
      <w:tr w:rsidR="002B4C1E" w:rsidRPr="00630129" w14:paraId="6C55661F" w14:textId="77777777" w:rsidTr="00A63BA8">
        <w:trPr>
          <w:cantSplit/>
        </w:trPr>
        <w:tc>
          <w:tcPr>
            <w:tcW w:w="1191" w:type="pct"/>
          </w:tcPr>
          <w:p w14:paraId="34157126" w14:textId="77777777" w:rsidR="002B4C1E" w:rsidRPr="00FA6F10"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FC0D03">
              <w:rPr>
                <w:rFonts w:ascii="Times New Roman" w:hAnsi="Times New Roman"/>
                <w:sz w:val="22"/>
              </w:rPr>
              <w:t>MSID ABSVD</w:t>
            </w:r>
            <w:r>
              <w:rPr>
                <w:rFonts w:ascii="Times New Roman" w:hAnsi="Times New Roman"/>
                <w:sz w:val="22"/>
              </w:rPr>
              <w:t xml:space="preserve"> (Non Losses)</w:t>
            </w:r>
          </w:p>
        </w:tc>
        <w:tc>
          <w:tcPr>
            <w:tcW w:w="1024" w:type="pct"/>
          </w:tcPr>
          <w:p w14:paraId="35A29B58" w14:textId="77777777" w:rsidR="002B4C1E" w:rsidRPr="00FA6F10"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FC0D03">
              <w:rPr>
                <w:rFonts w:ascii="Times New Roman" w:hAnsi="Times New Roman"/>
                <w:sz w:val="22"/>
              </w:rPr>
              <w:t>MSABSVD</w:t>
            </w:r>
            <w:r>
              <w:rPr>
                <w:rFonts w:ascii="Times New Roman" w:hAnsi="Times New Roman"/>
                <w:sz w:val="22"/>
                <w:vertAlign w:val="subscript"/>
              </w:rPr>
              <w:t>N</w:t>
            </w:r>
            <w:r w:rsidRPr="00FC0D03">
              <w:rPr>
                <w:rFonts w:ascii="Times New Roman" w:hAnsi="Times New Roman"/>
                <w:sz w:val="22"/>
                <w:vertAlign w:val="subscript"/>
              </w:rPr>
              <w:t>Kj</w:t>
            </w:r>
            <w:r>
              <w:rPr>
                <w:rFonts w:ascii="Times New Roman" w:hAnsi="Times New Roman"/>
                <w:sz w:val="22"/>
                <w:vertAlign w:val="subscript"/>
              </w:rPr>
              <w:t>i</w:t>
            </w:r>
            <w:proofErr w:type="spellEnd"/>
          </w:p>
        </w:tc>
        <w:tc>
          <w:tcPr>
            <w:tcW w:w="613" w:type="pct"/>
          </w:tcPr>
          <w:p w14:paraId="3A2E3EF5" w14:textId="77777777" w:rsidR="002B4C1E" w:rsidRPr="00FA6F10"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FC0D03">
              <w:rPr>
                <w:rFonts w:ascii="Times New Roman" w:hAnsi="Times New Roman"/>
                <w:sz w:val="22"/>
              </w:rPr>
              <w:t>MWh</w:t>
            </w:r>
          </w:p>
        </w:tc>
        <w:tc>
          <w:tcPr>
            <w:tcW w:w="2171" w:type="pct"/>
          </w:tcPr>
          <w:p w14:paraId="1B321B7E" w14:textId="77777777" w:rsidR="002B4C1E" w:rsidRPr="00FA6F10"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FC0D03">
              <w:rPr>
                <w:rFonts w:ascii="Times New Roman" w:hAnsi="Times New Roman"/>
                <w:sz w:val="22"/>
              </w:rPr>
              <w:t>The amount determined in accordance with Annex S-2 paragraph 7.</w:t>
            </w:r>
            <w:r>
              <w:rPr>
                <w:rFonts w:ascii="Times New Roman" w:hAnsi="Times New Roman"/>
                <w:sz w:val="22"/>
              </w:rPr>
              <w:t>1.6</w:t>
            </w:r>
          </w:p>
        </w:tc>
      </w:tr>
      <w:tr w:rsidR="002B4C1E" w:rsidRPr="00630129" w14:paraId="56D19D1E" w14:textId="77777777" w:rsidTr="00A63BA8">
        <w:trPr>
          <w:cantSplit/>
        </w:trPr>
        <w:tc>
          <w:tcPr>
            <w:tcW w:w="1191" w:type="pct"/>
          </w:tcPr>
          <w:p w14:paraId="233B99B1" w14:textId="77777777" w:rsidR="002B4C1E" w:rsidRPr="00FA6F10"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FC0D03">
              <w:rPr>
                <w:rFonts w:ascii="Times New Roman" w:hAnsi="Times New Roman"/>
                <w:sz w:val="22"/>
              </w:rPr>
              <w:t>MSID ABSVD (Losses)</w:t>
            </w:r>
          </w:p>
        </w:tc>
        <w:tc>
          <w:tcPr>
            <w:tcW w:w="1024" w:type="pct"/>
          </w:tcPr>
          <w:p w14:paraId="4083DA77" w14:textId="77777777" w:rsidR="002B4C1E" w:rsidRPr="00FA6F10"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FC0D03">
              <w:rPr>
                <w:rFonts w:ascii="Times New Roman" w:hAnsi="Times New Roman"/>
                <w:sz w:val="22"/>
              </w:rPr>
              <w:t>MSABSVDL</w:t>
            </w:r>
            <w:r>
              <w:rPr>
                <w:rFonts w:ascii="Times New Roman" w:hAnsi="Times New Roman"/>
                <w:sz w:val="22"/>
                <w:vertAlign w:val="subscript"/>
              </w:rPr>
              <w:t>N</w:t>
            </w:r>
            <w:r w:rsidRPr="00FC0D03">
              <w:rPr>
                <w:rFonts w:ascii="Times New Roman" w:hAnsi="Times New Roman"/>
                <w:sz w:val="22"/>
                <w:vertAlign w:val="subscript"/>
              </w:rPr>
              <w:t>Kj</w:t>
            </w:r>
            <w:r>
              <w:rPr>
                <w:rFonts w:ascii="Times New Roman" w:hAnsi="Times New Roman"/>
                <w:sz w:val="22"/>
                <w:vertAlign w:val="subscript"/>
              </w:rPr>
              <w:t>i</w:t>
            </w:r>
            <w:proofErr w:type="spellEnd"/>
          </w:p>
        </w:tc>
        <w:tc>
          <w:tcPr>
            <w:tcW w:w="613" w:type="pct"/>
          </w:tcPr>
          <w:p w14:paraId="1D60E5CB" w14:textId="77777777" w:rsidR="002B4C1E" w:rsidRPr="00FA6F10"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
        </w:tc>
        <w:tc>
          <w:tcPr>
            <w:tcW w:w="2171" w:type="pct"/>
          </w:tcPr>
          <w:p w14:paraId="295C5911" w14:textId="77777777" w:rsidR="002B4C1E" w:rsidRPr="00FA6F10" w:rsidRDefault="002B4C1E" w:rsidP="002B4C1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FC0D03">
              <w:rPr>
                <w:rFonts w:ascii="Times New Roman" w:hAnsi="Times New Roman"/>
                <w:sz w:val="22"/>
              </w:rPr>
              <w:t>The data determined by the SVAA in accordance with Annex S-2 paragraph 7.2.</w:t>
            </w:r>
            <w:r>
              <w:rPr>
                <w:rFonts w:ascii="Times New Roman" w:hAnsi="Times New Roman"/>
                <w:sz w:val="22"/>
              </w:rPr>
              <w:t>6</w:t>
            </w:r>
            <w:r w:rsidRPr="00FC0D03">
              <w:rPr>
                <w:rFonts w:ascii="Times New Roman" w:hAnsi="Times New Roman"/>
                <w:sz w:val="22"/>
              </w:rPr>
              <w:t>.</w:t>
            </w:r>
          </w:p>
        </w:tc>
      </w:tr>
      <w:tr w:rsidR="002B4C1E" w:rsidRPr="00630129" w14:paraId="0C32C00B" w14:textId="77777777" w:rsidTr="00A63BA8">
        <w:trPr>
          <w:cantSplit/>
        </w:trPr>
        <w:tc>
          <w:tcPr>
            <w:tcW w:w="1191" w:type="pct"/>
          </w:tcPr>
          <w:p w14:paraId="42856DBA" w14:textId="77777777" w:rsidR="002B4C1E" w:rsidRPr="00630129" w:rsidRDefault="002B4C1E" w:rsidP="002B4C1E">
            <w:pPr>
              <w:pStyle w:val="EndnoteText"/>
              <w:rPr>
                <w:sz w:val="22"/>
                <w:szCs w:val="22"/>
              </w:rPr>
            </w:pPr>
            <w:r w:rsidRPr="00630129">
              <w:rPr>
                <w:sz w:val="22"/>
                <w:szCs w:val="22"/>
              </w:rPr>
              <w:lastRenderedPageBreak/>
              <w:t>MSID Pair Delivered Volume</w:t>
            </w:r>
          </w:p>
        </w:tc>
        <w:tc>
          <w:tcPr>
            <w:tcW w:w="1024" w:type="pct"/>
          </w:tcPr>
          <w:p w14:paraId="13CF4CA5" w14:textId="77777777" w:rsidR="002B4C1E" w:rsidRPr="00630129" w:rsidRDefault="002B4C1E" w:rsidP="002B4C1E">
            <w:pPr>
              <w:pStyle w:val="EndnoteText"/>
              <w:rPr>
                <w:sz w:val="22"/>
                <w:szCs w:val="22"/>
              </w:rPr>
            </w:pPr>
            <w:proofErr w:type="spellStart"/>
            <w:r w:rsidRPr="00630129">
              <w:rPr>
                <w:sz w:val="22"/>
                <w:szCs w:val="22"/>
              </w:rPr>
              <w:t>MPDV</w:t>
            </w:r>
            <w:r w:rsidRPr="00630129">
              <w:rPr>
                <w:sz w:val="22"/>
                <w:szCs w:val="22"/>
                <w:vertAlign w:val="subscript"/>
              </w:rPr>
              <w:t>j</w:t>
            </w:r>
            <w:proofErr w:type="spellEnd"/>
          </w:p>
        </w:tc>
        <w:tc>
          <w:tcPr>
            <w:tcW w:w="613" w:type="pct"/>
          </w:tcPr>
          <w:p w14:paraId="12BC01C7" w14:textId="77777777" w:rsidR="002B4C1E" w:rsidRPr="00630129" w:rsidRDefault="002B4C1E" w:rsidP="002B4C1E">
            <w:pPr>
              <w:pStyle w:val="EndnoteText"/>
              <w:rPr>
                <w:sz w:val="22"/>
                <w:szCs w:val="22"/>
              </w:rPr>
            </w:pPr>
            <w:r w:rsidRPr="00630129">
              <w:rPr>
                <w:sz w:val="22"/>
                <w:szCs w:val="22"/>
              </w:rPr>
              <w:t>MWh</w:t>
            </w:r>
          </w:p>
        </w:tc>
        <w:tc>
          <w:tcPr>
            <w:tcW w:w="2171" w:type="pct"/>
          </w:tcPr>
          <w:p w14:paraId="519CECBC" w14:textId="77777777" w:rsidR="002B4C1E" w:rsidRPr="00B27D7B" w:rsidRDefault="002B4C1E" w:rsidP="002B4C1E">
            <w:pPr>
              <w:pStyle w:val="EndnoteText"/>
              <w:rPr>
                <w:sz w:val="22"/>
                <w:szCs w:val="22"/>
              </w:rPr>
            </w:pPr>
            <w:r w:rsidRPr="00FC0D03">
              <w:rPr>
                <w:sz w:val="22"/>
                <w:szCs w:val="22"/>
              </w:rPr>
              <w:t>MSID Pair Delivered Volume is such volumes of Active Energy notified to the SVAA by the NETSO for the purposes of calculating Non BM Unit ABSVD (</w:t>
            </w:r>
            <w:proofErr w:type="spellStart"/>
            <w:r w:rsidRPr="00FC0D03">
              <w:rPr>
                <w:sz w:val="22"/>
                <w:szCs w:val="22"/>
              </w:rPr>
              <w:t>SNBABSVD</w:t>
            </w:r>
            <w:r w:rsidRPr="00FC0D03">
              <w:rPr>
                <w:sz w:val="22"/>
                <w:szCs w:val="22"/>
                <w:vertAlign w:val="subscript"/>
              </w:rPr>
              <w:t>ij</w:t>
            </w:r>
            <w:proofErr w:type="spellEnd"/>
            <w:r w:rsidRPr="00FC0D03">
              <w:rPr>
                <w:sz w:val="22"/>
                <w:szCs w:val="22"/>
              </w:rPr>
              <w:t>); or by the Virtual Lead Party for the purposes of aggregating Secondary BM Unit Supplier Delivered Volume (</w:t>
            </w:r>
            <w:proofErr w:type="spellStart"/>
            <w:r w:rsidRPr="00FC0D03">
              <w:rPr>
                <w:sz w:val="22"/>
                <w:szCs w:val="22"/>
              </w:rPr>
              <w:t>VBMUSDV</w:t>
            </w:r>
            <w:r w:rsidRPr="00FC0D03">
              <w:rPr>
                <w:sz w:val="22"/>
                <w:szCs w:val="22"/>
                <w:vertAlign w:val="subscript"/>
              </w:rPr>
              <w:t>iZj</w:t>
            </w:r>
            <w:proofErr w:type="spellEnd"/>
            <w:r w:rsidRPr="00FC0D03">
              <w:rPr>
                <w:sz w:val="22"/>
                <w:szCs w:val="22"/>
              </w:rPr>
              <w:t>)</w:t>
            </w:r>
          </w:p>
        </w:tc>
      </w:tr>
      <w:tr w:rsidR="002B4C1E" w:rsidRPr="00630129" w14:paraId="5A861206" w14:textId="77777777" w:rsidTr="00A63BA8">
        <w:trPr>
          <w:cantSplit/>
        </w:trPr>
        <w:tc>
          <w:tcPr>
            <w:tcW w:w="1191" w:type="pct"/>
          </w:tcPr>
          <w:p w14:paraId="11FE0E03" w14:textId="77777777" w:rsidR="002B4C1E" w:rsidRPr="00630129" w:rsidRDefault="002B4C1E" w:rsidP="002B4C1E">
            <w:pPr>
              <w:pStyle w:val="EndnoteText"/>
              <w:rPr>
                <w:sz w:val="22"/>
                <w:szCs w:val="22"/>
              </w:rPr>
            </w:pPr>
            <w:r w:rsidRPr="00630129">
              <w:rPr>
                <w:sz w:val="22"/>
                <w:szCs w:val="22"/>
              </w:rPr>
              <w:t>MSID Standing Data</w:t>
            </w:r>
          </w:p>
        </w:tc>
        <w:tc>
          <w:tcPr>
            <w:tcW w:w="1024" w:type="pct"/>
          </w:tcPr>
          <w:p w14:paraId="5A6C3C6A" w14:textId="77777777" w:rsidR="002B4C1E" w:rsidRPr="00630129" w:rsidRDefault="002B4C1E" w:rsidP="002B4C1E">
            <w:pPr>
              <w:pStyle w:val="EndnoteText"/>
              <w:rPr>
                <w:sz w:val="22"/>
                <w:szCs w:val="22"/>
              </w:rPr>
            </w:pPr>
          </w:p>
        </w:tc>
        <w:tc>
          <w:tcPr>
            <w:tcW w:w="613" w:type="pct"/>
          </w:tcPr>
          <w:p w14:paraId="0556989C" w14:textId="77777777" w:rsidR="002B4C1E" w:rsidRPr="00630129" w:rsidRDefault="002B4C1E" w:rsidP="002B4C1E">
            <w:pPr>
              <w:pStyle w:val="EndnoteText"/>
              <w:rPr>
                <w:sz w:val="22"/>
                <w:szCs w:val="22"/>
              </w:rPr>
            </w:pPr>
          </w:p>
        </w:tc>
        <w:tc>
          <w:tcPr>
            <w:tcW w:w="2171" w:type="pct"/>
          </w:tcPr>
          <w:p w14:paraId="662953F0" w14:textId="77777777" w:rsidR="002B4C1E" w:rsidRPr="00630129" w:rsidRDefault="002B4C1E" w:rsidP="002B4C1E">
            <w:pPr>
              <w:pStyle w:val="EndnoteText"/>
              <w:rPr>
                <w:sz w:val="22"/>
                <w:szCs w:val="22"/>
              </w:rPr>
            </w:pPr>
            <w:r w:rsidRPr="00630129">
              <w:rPr>
                <w:sz w:val="22"/>
                <w:szCs w:val="22"/>
              </w:rPr>
              <w:t>The data procured by the SVAA where it has confirmed the allocation of an MSID Pair to a Secondary BM Unit and shall include those data items described in Section S11.2.3.</w:t>
            </w:r>
          </w:p>
        </w:tc>
      </w:tr>
      <w:tr w:rsidR="002431A0" w:rsidRPr="00630129" w14:paraId="0BE947F8" w14:textId="77777777" w:rsidTr="002431A0">
        <w:trPr>
          <w:cantSplit/>
          <w:ins w:id="61" w:author="Aditi Tulpule" w:date="2021-02-24T16:16:00Z"/>
        </w:trPr>
        <w:tc>
          <w:tcPr>
            <w:tcW w:w="1191" w:type="pct"/>
          </w:tcPr>
          <w:p w14:paraId="646E6956" w14:textId="460FEB47" w:rsidR="002431A0" w:rsidRPr="00630129" w:rsidRDefault="002431A0" w:rsidP="002431A0">
            <w:pPr>
              <w:pStyle w:val="EndnoteText"/>
              <w:rPr>
                <w:ins w:id="62" w:author="Aditi Tulpule" w:date="2021-02-24T16:16:00Z"/>
                <w:sz w:val="22"/>
                <w:szCs w:val="22"/>
              </w:rPr>
            </w:pPr>
            <w:ins w:id="63" w:author="Aditi Tulpule" w:date="2021-02-24T16:16:00Z">
              <w:r>
                <w:rPr>
                  <w:sz w:val="22"/>
                  <w:szCs w:val="22"/>
                </w:rPr>
                <w:t>Net Differencing Delivered Volume</w:t>
              </w:r>
            </w:ins>
          </w:p>
        </w:tc>
        <w:tc>
          <w:tcPr>
            <w:tcW w:w="1024" w:type="pct"/>
          </w:tcPr>
          <w:p w14:paraId="7ACBFD6D" w14:textId="6BC1E685" w:rsidR="002431A0" w:rsidRPr="00630129" w:rsidRDefault="002431A0" w:rsidP="002431A0">
            <w:pPr>
              <w:pStyle w:val="EndnoteText"/>
              <w:rPr>
                <w:ins w:id="64" w:author="Aditi Tulpule" w:date="2021-02-24T16:16:00Z"/>
                <w:sz w:val="22"/>
                <w:szCs w:val="22"/>
              </w:rPr>
            </w:pPr>
            <w:proofErr w:type="spellStart"/>
            <w:ins w:id="65" w:author="Aditi Tulpule" w:date="2021-02-24T16:16:00Z">
              <w:r>
                <w:rPr>
                  <w:sz w:val="22"/>
                  <w:szCs w:val="22"/>
                </w:rPr>
                <w:t>NDDVj</w:t>
              </w:r>
              <w:proofErr w:type="spellEnd"/>
            </w:ins>
          </w:p>
        </w:tc>
        <w:tc>
          <w:tcPr>
            <w:tcW w:w="613" w:type="pct"/>
          </w:tcPr>
          <w:p w14:paraId="7EC64218" w14:textId="08B57375" w:rsidR="002431A0" w:rsidRPr="00630129" w:rsidRDefault="002431A0" w:rsidP="002431A0">
            <w:pPr>
              <w:pStyle w:val="EndnoteText"/>
              <w:rPr>
                <w:ins w:id="66" w:author="Aditi Tulpule" w:date="2021-02-24T16:16:00Z"/>
                <w:sz w:val="22"/>
                <w:szCs w:val="22"/>
              </w:rPr>
            </w:pPr>
            <w:ins w:id="67" w:author="Aditi Tulpule" w:date="2021-02-24T16:16:00Z">
              <w:r w:rsidRPr="00630129">
                <w:rPr>
                  <w:sz w:val="22"/>
                  <w:szCs w:val="22"/>
                </w:rPr>
                <w:t>MWh</w:t>
              </w:r>
            </w:ins>
          </w:p>
        </w:tc>
        <w:tc>
          <w:tcPr>
            <w:tcW w:w="2171" w:type="pct"/>
          </w:tcPr>
          <w:p w14:paraId="16E28A88" w14:textId="12B5FEE8" w:rsidR="002431A0" w:rsidRPr="00630129" w:rsidRDefault="002431A0" w:rsidP="002431A0">
            <w:pPr>
              <w:pStyle w:val="EndnoteText"/>
              <w:rPr>
                <w:ins w:id="68" w:author="Aditi Tulpule" w:date="2021-02-24T16:16:00Z"/>
                <w:sz w:val="22"/>
                <w:szCs w:val="22"/>
              </w:rPr>
            </w:pPr>
            <w:ins w:id="69" w:author="Aditi Tulpule" w:date="2021-02-24T16:16:00Z">
              <w:r>
                <w:rPr>
                  <w:sz w:val="22"/>
                  <w:szCs w:val="22"/>
                </w:rPr>
                <w:t>has the meaning given to it in Annex S-2 3.11.5</w:t>
              </w:r>
            </w:ins>
          </w:p>
        </w:tc>
      </w:tr>
      <w:tr w:rsidR="002431A0" w:rsidRPr="00630129" w14:paraId="26C0783F" w14:textId="77777777" w:rsidTr="00A63BA8">
        <w:trPr>
          <w:cantSplit/>
        </w:trPr>
        <w:tc>
          <w:tcPr>
            <w:tcW w:w="1191" w:type="pct"/>
          </w:tcPr>
          <w:p w14:paraId="20F5A6EB" w14:textId="6630AE66" w:rsidR="002431A0" w:rsidRPr="00630129" w:rsidRDefault="002431A0" w:rsidP="002431A0">
            <w:pPr>
              <w:pStyle w:val="EndnoteText"/>
              <w:rPr>
                <w:sz w:val="22"/>
                <w:szCs w:val="22"/>
              </w:rPr>
            </w:pPr>
            <w:r>
              <w:rPr>
                <w:sz w:val="22"/>
                <w:szCs w:val="22"/>
              </w:rPr>
              <w:t>Net Differencing Volume</w:t>
            </w:r>
          </w:p>
        </w:tc>
        <w:tc>
          <w:tcPr>
            <w:tcW w:w="1024" w:type="pct"/>
          </w:tcPr>
          <w:p w14:paraId="0B115985" w14:textId="0FAF8C17" w:rsidR="002431A0" w:rsidRPr="00630129" w:rsidRDefault="002431A0" w:rsidP="002431A0">
            <w:pPr>
              <w:pStyle w:val="EndnoteText"/>
              <w:rPr>
                <w:sz w:val="22"/>
                <w:szCs w:val="22"/>
              </w:rPr>
            </w:pPr>
            <w:proofErr w:type="spellStart"/>
            <w:r w:rsidRPr="0084694A">
              <w:rPr>
                <w:sz w:val="22"/>
                <w:szCs w:val="22"/>
              </w:rPr>
              <w:t>VNDK</w:t>
            </w:r>
            <w:r>
              <w:rPr>
                <w:color w:val="1F497D"/>
                <w:vertAlign w:val="subscript"/>
              </w:rPr>
              <w:t>j</w:t>
            </w:r>
            <w:proofErr w:type="spellEnd"/>
          </w:p>
        </w:tc>
        <w:tc>
          <w:tcPr>
            <w:tcW w:w="613" w:type="pct"/>
          </w:tcPr>
          <w:p w14:paraId="33A3F61E" w14:textId="5C9E0188" w:rsidR="002431A0" w:rsidRPr="00630129" w:rsidRDefault="002431A0" w:rsidP="002431A0">
            <w:pPr>
              <w:pStyle w:val="EndnoteText"/>
              <w:rPr>
                <w:sz w:val="22"/>
                <w:szCs w:val="22"/>
              </w:rPr>
            </w:pPr>
            <w:r w:rsidRPr="00630129">
              <w:rPr>
                <w:sz w:val="22"/>
                <w:szCs w:val="22"/>
              </w:rPr>
              <w:t>MWh</w:t>
            </w:r>
          </w:p>
        </w:tc>
        <w:tc>
          <w:tcPr>
            <w:tcW w:w="2171" w:type="pct"/>
          </w:tcPr>
          <w:p w14:paraId="3425BC95" w14:textId="32CA34F0" w:rsidR="002431A0" w:rsidRPr="00630129" w:rsidRDefault="002431A0" w:rsidP="002431A0">
            <w:pPr>
              <w:pStyle w:val="EndnoteText"/>
              <w:rPr>
                <w:sz w:val="22"/>
                <w:szCs w:val="22"/>
              </w:rPr>
            </w:pPr>
            <w:r>
              <w:rPr>
                <w:sz w:val="22"/>
                <w:szCs w:val="22"/>
              </w:rPr>
              <w:t xml:space="preserve">has the meaning given to it in </w:t>
            </w:r>
            <w:del w:id="70" w:author="Aditi Tulpule" w:date="2021-02-24T16:16:00Z">
              <w:r w:rsidR="002B4C1E">
                <w:rPr>
                  <w:sz w:val="22"/>
                  <w:szCs w:val="22"/>
                </w:rPr>
                <w:delText>Section</w:delText>
              </w:r>
            </w:del>
            <w:ins w:id="71" w:author="Aditi Tulpule" w:date="2021-02-24T16:16:00Z">
              <w:r>
                <w:rPr>
                  <w:sz w:val="22"/>
                  <w:szCs w:val="22"/>
                </w:rPr>
                <w:t>Annex</w:t>
              </w:r>
            </w:ins>
            <w:r>
              <w:rPr>
                <w:sz w:val="22"/>
                <w:szCs w:val="22"/>
              </w:rPr>
              <w:t xml:space="preserve"> S-2 7.1.1C</w:t>
            </w:r>
          </w:p>
        </w:tc>
      </w:tr>
      <w:tr w:rsidR="002431A0" w:rsidRPr="00630129" w14:paraId="534152E6" w14:textId="77777777" w:rsidTr="00A63BA8">
        <w:trPr>
          <w:cantSplit/>
        </w:trPr>
        <w:tc>
          <w:tcPr>
            <w:tcW w:w="1191" w:type="pct"/>
          </w:tcPr>
          <w:p w14:paraId="0F7AB04A" w14:textId="77777777" w:rsidR="002431A0" w:rsidRPr="00630129" w:rsidRDefault="002431A0" w:rsidP="002431A0">
            <w:pPr>
              <w:pStyle w:val="EndnoteText"/>
              <w:rPr>
                <w:sz w:val="22"/>
                <w:szCs w:val="22"/>
              </w:rPr>
            </w:pPr>
            <w:r w:rsidRPr="00630129">
              <w:rPr>
                <w:sz w:val="22"/>
                <w:szCs w:val="22"/>
              </w:rPr>
              <w:t>Non Half Hourly Supplier Deemed Take</w:t>
            </w:r>
          </w:p>
        </w:tc>
        <w:tc>
          <w:tcPr>
            <w:tcW w:w="1024" w:type="pct"/>
          </w:tcPr>
          <w:p w14:paraId="70C9CD63" w14:textId="77777777" w:rsidR="002431A0" w:rsidRPr="00630129" w:rsidRDefault="002431A0" w:rsidP="002431A0">
            <w:pPr>
              <w:pStyle w:val="EndnoteText"/>
              <w:rPr>
                <w:sz w:val="22"/>
                <w:szCs w:val="22"/>
              </w:rPr>
            </w:pPr>
            <w:proofErr w:type="spellStart"/>
            <w:r w:rsidRPr="00630129">
              <w:rPr>
                <w:sz w:val="22"/>
                <w:szCs w:val="22"/>
              </w:rPr>
              <w:t>NHHSDT</w:t>
            </w:r>
            <w:r w:rsidRPr="00630129">
              <w:rPr>
                <w:sz w:val="22"/>
                <w:szCs w:val="22"/>
                <w:vertAlign w:val="subscript"/>
              </w:rPr>
              <w:t>HZj</w:t>
            </w:r>
            <w:proofErr w:type="spellEnd"/>
          </w:p>
        </w:tc>
        <w:tc>
          <w:tcPr>
            <w:tcW w:w="613" w:type="pct"/>
          </w:tcPr>
          <w:p w14:paraId="08D94C40" w14:textId="77777777" w:rsidR="002431A0" w:rsidRPr="00630129" w:rsidRDefault="002431A0" w:rsidP="002431A0">
            <w:pPr>
              <w:pStyle w:val="EndnoteText"/>
              <w:rPr>
                <w:sz w:val="22"/>
                <w:szCs w:val="22"/>
              </w:rPr>
            </w:pPr>
            <w:r w:rsidRPr="00630129">
              <w:rPr>
                <w:sz w:val="22"/>
                <w:szCs w:val="22"/>
              </w:rPr>
              <w:t>MWh</w:t>
            </w:r>
          </w:p>
        </w:tc>
        <w:tc>
          <w:tcPr>
            <w:tcW w:w="2171" w:type="pct"/>
          </w:tcPr>
          <w:p w14:paraId="134EDB57" w14:textId="77777777" w:rsidR="002431A0" w:rsidRPr="00630129" w:rsidRDefault="002431A0" w:rsidP="002431A0">
            <w:pPr>
              <w:pStyle w:val="EndnoteText"/>
              <w:rPr>
                <w:sz w:val="22"/>
                <w:szCs w:val="22"/>
              </w:rPr>
            </w:pPr>
            <w:r w:rsidRPr="00630129">
              <w:rPr>
                <w:sz w:val="22"/>
                <w:szCs w:val="22"/>
              </w:rPr>
              <w:t>That part of the corrected Supplier Deemed Take associated with those Consumption Component Classes for which the data aggregation type is ‘N’, determined pursuant to paragraph 9.5 of Annex S-2.</w:t>
            </w:r>
          </w:p>
        </w:tc>
      </w:tr>
      <w:tr w:rsidR="002431A0" w:rsidRPr="00630129" w14:paraId="2C4E98EF"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0C162789" w14:textId="77777777" w:rsidR="002431A0" w:rsidRPr="00630129" w:rsidRDefault="002431A0" w:rsidP="002431A0">
            <w:pPr>
              <w:pStyle w:val="EndnoteText"/>
              <w:rPr>
                <w:sz w:val="22"/>
                <w:szCs w:val="22"/>
              </w:rPr>
            </w:pPr>
            <w:r w:rsidRPr="00630129">
              <w:rPr>
                <w:sz w:val="22"/>
                <w:szCs w:val="22"/>
              </w:rPr>
              <w:t>Non-BM STOR Instruction Volume</w:t>
            </w:r>
          </w:p>
        </w:tc>
        <w:tc>
          <w:tcPr>
            <w:tcW w:w="1024" w:type="pct"/>
            <w:tcBorders>
              <w:top w:val="single" w:sz="6" w:space="0" w:color="000000"/>
              <w:left w:val="single" w:sz="6" w:space="0" w:color="000000"/>
              <w:bottom w:val="single" w:sz="6" w:space="0" w:color="000000"/>
              <w:right w:val="single" w:sz="6" w:space="0" w:color="000000"/>
            </w:tcBorders>
          </w:tcPr>
          <w:p w14:paraId="48F76E6A" w14:textId="77777777" w:rsidR="002431A0" w:rsidRPr="00630129" w:rsidRDefault="002431A0" w:rsidP="002431A0">
            <w:pPr>
              <w:pStyle w:val="EndnoteText"/>
              <w:rPr>
                <w:sz w:val="22"/>
                <w:szCs w:val="22"/>
              </w:rPr>
            </w:pPr>
            <w:proofErr w:type="spellStart"/>
            <w:r w:rsidRPr="00630129">
              <w:rPr>
                <w:sz w:val="22"/>
                <w:szCs w:val="22"/>
              </w:rPr>
              <w:t>NBSVD</w:t>
            </w:r>
            <w:r w:rsidRPr="00630129">
              <w:rPr>
                <w:sz w:val="22"/>
                <w:szCs w:val="22"/>
                <w:vertAlign w:val="subscript"/>
              </w:rPr>
              <w:t>ZaKj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5753A276" w14:textId="77777777" w:rsidR="002431A0" w:rsidRPr="00630129" w:rsidRDefault="002431A0" w:rsidP="002431A0">
            <w:pPr>
              <w:pStyle w:val="EndnoteText"/>
              <w:rPr>
                <w:sz w:val="22"/>
                <w:szCs w:val="22"/>
              </w:rPr>
            </w:pPr>
            <w:r w:rsidRPr="00630129">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3E8C6D6C" w14:textId="77777777" w:rsidR="002431A0" w:rsidRPr="00630129" w:rsidRDefault="002431A0" w:rsidP="002431A0">
            <w:pPr>
              <w:pStyle w:val="EndnoteText"/>
              <w:rPr>
                <w:sz w:val="22"/>
                <w:szCs w:val="22"/>
              </w:rPr>
            </w:pPr>
            <w:r w:rsidRPr="00630129">
              <w:rPr>
                <w:sz w:val="22"/>
                <w:szCs w:val="22"/>
              </w:rPr>
              <w:t>The estimated volume of demand side Non-BM STOR delivered as determined and notified by the NETSO pursuant to Section S9.2.1.</w:t>
            </w:r>
          </w:p>
        </w:tc>
      </w:tr>
      <w:tr w:rsidR="002431A0" w:rsidRPr="00630129" w14:paraId="1C61D1C1" w14:textId="77777777" w:rsidTr="00A63BA8">
        <w:trPr>
          <w:cantSplit/>
        </w:trPr>
        <w:tc>
          <w:tcPr>
            <w:tcW w:w="1191" w:type="pct"/>
          </w:tcPr>
          <w:p w14:paraId="5E4DD45A" w14:textId="77777777" w:rsidR="002431A0" w:rsidRPr="00630129" w:rsidRDefault="002431A0" w:rsidP="002431A0">
            <w:pPr>
              <w:pStyle w:val="EndnoteText"/>
              <w:rPr>
                <w:sz w:val="22"/>
                <w:szCs w:val="22"/>
              </w:rPr>
            </w:pPr>
            <w:r w:rsidRPr="00630129">
              <w:rPr>
                <w:sz w:val="22"/>
                <w:szCs w:val="22"/>
              </w:rPr>
              <w:t>Noon Effective Temperature</w:t>
            </w:r>
          </w:p>
        </w:tc>
        <w:tc>
          <w:tcPr>
            <w:tcW w:w="1024" w:type="pct"/>
          </w:tcPr>
          <w:p w14:paraId="6AD85E21" w14:textId="77777777" w:rsidR="002431A0" w:rsidRPr="00630129" w:rsidRDefault="002431A0" w:rsidP="002431A0">
            <w:pPr>
              <w:pStyle w:val="EndnoteText"/>
              <w:rPr>
                <w:sz w:val="22"/>
                <w:szCs w:val="22"/>
              </w:rPr>
            </w:pPr>
            <w:r w:rsidRPr="00630129">
              <w:rPr>
                <w:sz w:val="22"/>
                <w:szCs w:val="22"/>
              </w:rPr>
              <w:t>NET</w:t>
            </w:r>
            <w:r w:rsidRPr="00630129">
              <w:rPr>
                <w:sz w:val="22"/>
                <w:szCs w:val="22"/>
                <w:vertAlign w:val="subscript"/>
              </w:rPr>
              <w:t>H</w:t>
            </w:r>
          </w:p>
        </w:tc>
        <w:tc>
          <w:tcPr>
            <w:tcW w:w="613" w:type="pct"/>
          </w:tcPr>
          <w:p w14:paraId="09A0053D" w14:textId="77777777" w:rsidR="002431A0" w:rsidRPr="00630129" w:rsidRDefault="002431A0" w:rsidP="002431A0">
            <w:pPr>
              <w:pStyle w:val="EndnoteText"/>
              <w:rPr>
                <w:sz w:val="22"/>
                <w:szCs w:val="22"/>
              </w:rPr>
            </w:pPr>
            <w:r w:rsidRPr="00630129">
              <w:rPr>
                <w:sz w:val="22"/>
                <w:szCs w:val="22"/>
              </w:rPr>
              <w:sym w:font="Symbol" w:char="F0B0"/>
            </w:r>
            <w:r w:rsidRPr="00630129">
              <w:rPr>
                <w:sz w:val="22"/>
                <w:szCs w:val="22"/>
              </w:rPr>
              <w:t>F</w:t>
            </w:r>
          </w:p>
        </w:tc>
        <w:tc>
          <w:tcPr>
            <w:tcW w:w="2171" w:type="pct"/>
          </w:tcPr>
          <w:p w14:paraId="5AF5A257" w14:textId="77777777" w:rsidR="002431A0" w:rsidRPr="00630129" w:rsidRDefault="002431A0" w:rsidP="002431A0">
            <w:pPr>
              <w:pStyle w:val="EndnoteText"/>
              <w:rPr>
                <w:sz w:val="22"/>
                <w:szCs w:val="22"/>
              </w:rPr>
            </w:pPr>
            <w:r w:rsidRPr="00630129">
              <w:rPr>
                <w:sz w:val="22"/>
                <w:szCs w:val="22"/>
              </w:rPr>
              <w:t>A temperature determined pursuant to paragraph 6.5 of Annex S-2.</w:t>
            </w:r>
          </w:p>
        </w:tc>
      </w:tr>
      <w:tr w:rsidR="002431A0" w:rsidRPr="00630129" w14:paraId="44B4E330" w14:textId="77777777" w:rsidTr="00A63BA8">
        <w:trPr>
          <w:cantSplit/>
        </w:trPr>
        <w:tc>
          <w:tcPr>
            <w:tcW w:w="1191" w:type="pct"/>
          </w:tcPr>
          <w:p w14:paraId="6FB88D09" w14:textId="77777777" w:rsidR="002431A0" w:rsidRPr="00630129" w:rsidRDefault="002431A0" w:rsidP="002431A0">
            <w:pPr>
              <w:pStyle w:val="EndnoteText"/>
              <w:rPr>
                <w:sz w:val="22"/>
                <w:szCs w:val="22"/>
              </w:rPr>
            </w:pPr>
            <w:r w:rsidRPr="00630129">
              <w:rPr>
                <w:sz w:val="22"/>
                <w:szCs w:val="22"/>
              </w:rPr>
              <w:t>Normal Fraction</w:t>
            </w:r>
          </w:p>
        </w:tc>
        <w:tc>
          <w:tcPr>
            <w:tcW w:w="1024" w:type="pct"/>
          </w:tcPr>
          <w:p w14:paraId="16078DC1" w14:textId="77777777" w:rsidR="002431A0" w:rsidRPr="00630129" w:rsidRDefault="002431A0" w:rsidP="002431A0">
            <w:pPr>
              <w:pStyle w:val="EndnoteText"/>
              <w:rPr>
                <w:sz w:val="22"/>
                <w:szCs w:val="22"/>
              </w:rPr>
            </w:pPr>
            <w:r w:rsidRPr="00630129">
              <w:rPr>
                <w:sz w:val="22"/>
                <w:szCs w:val="22"/>
              </w:rPr>
              <w:t>NF</w:t>
            </w:r>
            <w:r w:rsidRPr="00630129">
              <w:rPr>
                <w:sz w:val="22"/>
                <w:szCs w:val="22"/>
                <w:vertAlign w:val="subscript"/>
              </w:rPr>
              <w:t>HPC</w:t>
            </w:r>
          </w:p>
        </w:tc>
        <w:tc>
          <w:tcPr>
            <w:tcW w:w="613" w:type="pct"/>
          </w:tcPr>
          <w:p w14:paraId="3AD5E5C7"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3ADCD3C4" w14:textId="77777777" w:rsidR="002431A0" w:rsidRPr="00630129" w:rsidRDefault="002431A0" w:rsidP="002431A0">
            <w:pPr>
              <w:pStyle w:val="EndnoteText"/>
              <w:rPr>
                <w:sz w:val="22"/>
                <w:szCs w:val="22"/>
              </w:rPr>
            </w:pPr>
            <w:r w:rsidRPr="00630129">
              <w:rPr>
                <w:sz w:val="22"/>
                <w:szCs w:val="22"/>
              </w:rPr>
              <w:t>The deemed annual Consumption associated with the non-switched load Settlement Registers expressed as a fraction of total annual Consumption for a Switched Load Metering System determined pursuant to paragraph 6.6 of Annex S-2.</w:t>
            </w:r>
          </w:p>
        </w:tc>
      </w:tr>
      <w:tr w:rsidR="002431A0" w:rsidRPr="00630129" w14:paraId="40986D42" w14:textId="77777777" w:rsidTr="00A63BA8">
        <w:trPr>
          <w:cantSplit/>
        </w:trPr>
        <w:tc>
          <w:tcPr>
            <w:tcW w:w="1191" w:type="pct"/>
          </w:tcPr>
          <w:p w14:paraId="6A7C923C" w14:textId="77777777" w:rsidR="002431A0" w:rsidRPr="00630129" w:rsidRDefault="002431A0" w:rsidP="002431A0">
            <w:pPr>
              <w:rPr>
                <w:sz w:val="22"/>
                <w:szCs w:val="22"/>
              </w:rPr>
            </w:pPr>
            <w:r w:rsidRPr="00630129">
              <w:rPr>
                <w:sz w:val="22"/>
                <w:szCs w:val="22"/>
              </w:rPr>
              <w:t>Normal Register Profile Coefficient</w:t>
            </w:r>
          </w:p>
        </w:tc>
        <w:tc>
          <w:tcPr>
            <w:tcW w:w="1024" w:type="pct"/>
          </w:tcPr>
          <w:p w14:paraId="4802F3EB" w14:textId="77777777" w:rsidR="002431A0" w:rsidRPr="00630129" w:rsidRDefault="002431A0" w:rsidP="002431A0">
            <w:pPr>
              <w:rPr>
                <w:sz w:val="22"/>
                <w:szCs w:val="22"/>
              </w:rPr>
            </w:pPr>
            <w:proofErr w:type="spellStart"/>
            <w:r w:rsidRPr="00630129">
              <w:rPr>
                <w:sz w:val="22"/>
                <w:szCs w:val="22"/>
              </w:rPr>
              <w:t>NRPC</w:t>
            </w:r>
            <w:r w:rsidRPr="00630129">
              <w:rPr>
                <w:sz w:val="22"/>
                <w:szCs w:val="22"/>
                <w:vertAlign w:val="subscript"/>
              </w:rPr>
              <w:t>HPCj</w:t>
            </w:r>
            <w:proofErr w:type="spellEnd"/>
          </w:p>
        </w:tc>
        <w:tc>
          <w:tcPr>
            <w:tcW w:w="613" w:type="pct"/>
          </w:tcPr>
          <w:p w14:paraId="34545C55" w14:textId="77777777" w:rsidR="002431A0" w:rsidRPr="00630129" w:rsidRDefault="002431A0" w:rsidP="002431A0">
            <w:pPr>
              <w:rPr>
                <w:sz w:val="22"/>
                <w:szCs w:val="22"/>
              </w:rPr>
            </w:pPr>
            <w:r w:rsidRPr="00630129">
              <w:rPr>
                <w:sz w:val="22"/>
                <w:szCs w:val="22"/>
              </w:rPr>
              <w:t>Number</w:t>
            </w:r>
          </w:p>
        </w:tc>
        <w:tc>
          <w:tcPr>
            <w:tcW w:w="2171" w:type="pct"/>
          </w:tcPr>
          <w:p w14:paraId="2366FA2E" w14:textId="77777777" w:rsidR="002431A0" w:rsidRPr="00630129" w:rsidRDefault="002431A0" w:rsidP="002431A0">
            <w:pPr>
              <w:rPr>
                <w:sz w:val="22"/>
                <w:szCs w:val="22"/>
              </w:rPr>
            </w:pPr>
            <w:r w:rsidRPr="00630129">
              <w:rPr>
                <w:sz w:val="22"/>
                <w:szCs w:val="22"/>
              </w:rPr>
              <w:t>The deemed fraction of annual Consumption for a Switched Load Metering System in a Settlement Period recorded on those meter registers which are 'on' during times when there is no switched load Consumption at such Metering System, determined pursuant to paragraph 6.6 of Annex S-2.</w:t>
            </w:r>
          </w:p>
        </w:tc>
      </w:tr>
      <w:tr w:rsidR="002431A0" w:rsidRPr="00630129" w14:paraId="0D723A9C" w14:textId="77777777" w:rsidTr="00A63BA8">
        <w:trPr>
          <w:cantSplit/>
        </w:trPr>
        <w:tc>
          <w:tcPr>
            <w:tcW w:w="1191" w:type="pct"/>
          </w:tcPr>
          <w:p w14:paraId="32A45FCF" w14:textId="77777777" w:rsidR="002431A0" w:rsidRPr="00630129" w:rsidRDefault="002431A0" w:rsidP="002431A0">
            <w:pPr>
              <w:pStyle w:val="Header"/>
              <w:tabs>
                <w:tab w:val="clear" w:pos="4153"/>
                <w:tab w:val="clear" w:pos="8306"/>
              </w:tabs>
              <w:rPr>
                <w:sz w:val="22"/>
                <w:szCs w:val="22"/>
              </w:rPr>
            </w:pPr>
            <w:r w:rsidRPr="00630129">
              <w:rPr>
                <w:sz w:val="22"/>
                <w:szCs w:val="22"/>
              </w:rPr>
              <w:lastRenderedPageBreak/>
              <w:t>Number of Metering Systems Contributing to the Standard Settlement Configuration Estimated Daily Consumption</w:t>
            </w:r>
          </w:p>
        </w:tc>
        <w:tc>
          <w:tcPr>
            <w:tcW w:w="1024" w:type="pct"/>
          </w:tcPr>
          <w:p w14:paraId="66FC5214" w14:textId="77777777" w:rsidR="002431A0" w:rsidRPr="00630129" w:rsidRDefault="002431A0" w:rsidP="002431A0">
            <w:pPr>
              <w:pStyle w:val="listabc"/>
              <w:numPr>
                <w:ilvl w:val="0"/>
                <w:numId w:val="0"/>
              </w:numPr>
              <w:spacing w:after="0" w:line="240" w:lineRule="auto"/>
              <w:rPr>
                <w:rFonts w:ascii="Times New Roman" w:hAnsi="Times New Roman"/>
                <w:i w:val="0"/>
                <w:szCs w:val="22"/>
              </w:rPr>
            </w:pPr>
            <w:r w:rsidRPr="00630129">
              <w:rPr>
                <w:rFonts w:ascii="Times New Roman" w:hAnsi="Times New Roman"/>
                <w:i w:val="0"/>
                <w:szCs w:val="22"/>
              </w:rPr>
              <w:t>NMSSCEDC</w:t>
            </w:r>
            <w:r w:rsidRPr="00630129">
              <w:rPr>
                <w:rFonts w:ascii="Times New Roman" w:hAnsi="Times New Roman"/>
                <w:i w:val="0"/>
                <w:szCs w:val="22"/>
                <w:vertAlign w:val="subscript"/>
              </w:rPr>
              <w:t>HPCT</w:t>
            </w:r>
          </w:p>
        </w:tc>
        <w:tc>
          <w:tcPr>
            <w:tcW w:w="613" w:type="pct"/>
          </w:tcPr>
          <w:p w14:paraId="78E5A6D9"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1D3ECE04" w14:textId="77777777" w:rsidR="002431A0" w:rsidRPr="00630129" w:rsidRDefault="002431A0" w:rsidP="002431A0">
            <w:pPr>
              <w:pStyle w:val="Header"/>
              <w:tabs>
                <w:tab w:val="clear" w:pos="4153"/>
                <w:tab w:val="clear" w:pos="8306"/>
              </w:tabs>
              <w:rPr>
                <w:sz w:val="22"/>
                <w:szCs w:val="22"/>
              </w:rPr>
            </w:pPr>
            <w:r w:rsidRPr="00630129">
              <w:rPr>
                <w:sz w:val="22"/>
                <w:szCs w:val="22"/>
              </w:rPr>
              <w:t xml:space="preserve">The number of </w:t>
            </w:r>
            <w:proofErr w:type="spellStart"/>
            <w:r w:rsidRPr="00630129">
              <w:rPr>
                <w:sz w:val="22"/>
                <w:szCs w:val="22"/>
              </w:rPr>
              <w:t>non half</w:t>
            </w:r>
            <w:proofErr w:type="spellEnd"/>
            <w:r w:rsidRPr="00630129">
              <w:rPr>
                <w:sz w:val="22"/>
                <w:szCs w:val="22"/>
              </w:rPr>
              <w:t xml:space="preserve"> hourly metering systems for which SPM data was used in determining the Standard Settlement Configuration Estimated Daily Consumption pursuant to paragraph 5.1 of Annex S-2.</w:t>
            </w:r>
          </w:p>
        </w:tc>
      </w:tr>
      <w:tr w:rsidR="002431A0" w:rsidRPr="00630129" w14:paraId="19F4F38A" w14:textId="77777777" w:rsidTr="00A63BA8">
        <w:trPr>
          <w:cantSplit/>
        </w:trPr>
        <w:tc>
          <w:tcPr>
            <w:tcW w:w="1191" w:type="pct"/>
          </w:tcPr>
          <w:p w14:paraId="723F2D43" w14:textId="77777777" w:rsidR="002431A0" w:rsidRPr="00630129" w:rsidRDefault="002431A0" w:rsidP="002431A0">
            <w:pPr>
              <w:pStyle w:val="EndnoteText"/>
              <w:rPr>
                <w:sz w:val="22"/>
                <w:szCs w:val="22"/>
              </w:rPr>
            </w:pPr>
            <w:r w:rsidRPr="00630129">
              <w:rPr>
                <w:sz w:val="22"/>
                <w:szCs w:val="22"/>
              </w:rPr>
              <w:t>Number Of Non Half Hourly Metered Metering Systems Requiring A Default Estimated Annual Consumption</w:t>
            </w:r>
          </w:p>
        </w:tc>
        <w:tc>
          <w:tcPr>
            <w:tcW w:w="1024" w:type="pct"/>
          </w:tcPr>
          <w:p w14:paraId="7CB86530" w14:textId="77777777" w:rsidR="002431A0" w:rsidRPr="00630129" w:rsidRDefault="002431A0" w:rsidP="002431A0">
            <w:pPr>
              <w:pStyle w:val="EndnoteText"/>
              <w:rPr>
                <w:sz w:val="22"/>
                <w:szCs w:val="22"/>
              </w:rPr>
            </w:pPr>
            <w:r w:rsidRPr="00630129">
              <w:rPr>
                <w:sz w:val="22"/>
                <w:szCs w:val="22"/>
              </w:rPr>
              <w:t>NMMDE</w:t>
            </w:r>
            <w:r w:rsidRPr="00630129">
              <w:rPr>
                <w:sz w:val="22"/>
                <w:szCs w:val="22"/>
                <w:vertAlign w:val="subscript"/>
              </w:rPr>
              <w:t>HZLPR</w:t>
            </w:r>
          </w:p>
        </w:tc>
        <w:tc>
          <w:tcPr>
            <w:tcW w:w="613" w:type="pct"/>
          </w:tcPr>
          <w:p w14:paraId="490EDA66"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59DD4D8D" w14:textId="77777777" w:rsidR="002431A0" w:rsidRPr="00630129" w:rsidRDefault="002431A0" w:rsidP="002431A0">
            <w:pPr>
              <w:pStyle w:val="EndnoteText"/>
              <w:rPr>
                <w:sz w:val="22"/>
                <w:szCs w:val="22"/>
              </w:rPr>
            </w:pPr>
            <w:r w:rsidRPr="00630129">
              <w:rPr>
                <w:sz w:val="22"/>
                <w:szCs w:val="22"/>
              </w:rPr>
              <w:t xml:space="preserve">The number of </w:t>
            </w:r>
            <w:proofErr w:type="spellStart"/>
            <w:r w:rsidRPr="00630129">
              <w:rPr>
                <w:sz w:val="22"/>
                <w:szCs w:val="22"/>
              </w:rPr>
              <w:t>non half</w:t>
            </w:r>
            <w:proofErr w:type="spellEnd"/>
            <w:r w:rsidRPr="00630129">
              <w:rPr>
                <w:sz w:val="22"/>
                <w:szCs w:val="22"/>
              </w:rPr>
              <w:t xml:space="preserve"> hourly Settlement Registers within metered SVA Metering Systems without either an Annualised Advance or an Estimated Annual Consumption and which therefore require a Default Estimated Annual Consumption to be determined, the value of which is maintained pursuant to Annex S-2.</w:t>
            </w:r>
          </w:p>
        </w:tc>
      </w:tr>
      <w:tr w:rsidR="002431A0" w:rsidRPr="00630129" w14:paraId="4074B358"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652FBC63" w14:textId="77777777" w:rsidR="002431A0" w:rsidRPr="00630129" w:rsidRDefault="002431A0" w:rsidP="002431A0">
            <w:pPr>
              <w:pStyle w:val="EndnoteText"/>
              <w:rPr>
                <w:sz w:val="22"/>
                <w:szCs w:val="22"/>
              </w:rPr>
            </w:pPr>
            <w:r w:rsidRPr="00630129">
              <w:rPr>
                <w:sz w:val="22"/>
                <w:szCs w:val="22"/>
              </w:rPr>
              <w:t>Number Of Non Half Hourly Metered Metering Systems Requiring A Default Estimated Annual Consumption (Disconnected)</w:t>
            </w:r>
          </w:p>
        </w:tc>
        <w:tc>
          <w:tcPr>
            <w:tcW w:w="1024" w:type="pct"/>
            <w:tcBorders>
              <w:top w:val="single" w:sz="6" w:space="0" w:color="000000"/>
              <w:left w:val="single" w:sz="6" w:space="0" w:color="000000"/>
              <w:bottom w:val="single" w:sz="6" w:space="0" w:color="000000"/>
              <w:right w:val="single" w:sz="6" w:space="0" w:color="000000"/>
            </w:tcBorders>
          </w:tcPr>
          <w:p w14:paraId="735B1833" w14:textId="77777777" w:rsidR="002431A0" w:rsidRPr="00630129" w:rsidRDefault="002431A0" w:rsidP="002431A0">
            <w:pPr>
              <w:pStyle w:val="EndnoteText"/>
              <w:rPr>
                <w:sz w:val="22"/>
                <w:szCs w:val="22"/>
              </w:rPr>
            </w:pPr>
            <w:r w:rsidRPr="00630129">
              <w:rPr>
                <w:sz w:val="22"/>
                <w:szCs w:val="22"/>
              </w:rPr>
              <w:t>NMMDED</w:t>
            </w:r>
            <w:r w:rsidRPr="00630129">
              <w:rPr>
                <w:sz w:val="22"/>
                <w:szCs w:val="22"/>
                <w:vertAlign w:val="subscript"/>
              </w:rPr>
              <w:t>HZLPR</w:t>
            </w:r>
          </w:p>
        </w:tc>
        <w:tc>
          <w:tcPr>
            <w:tcW w:w="613" w:type="pct"/>
            <w:tcBorders>
              <w:top w:val="single" w:sz="6" w:space="0" w:color="000000"/>
              <w:left w:val="single" w:sz="6" w:space="0" w:color="000000"/>
              <w:bottom w:val="single" w:sz="6" w:space="0" w:color="000000"/>
              <w:right w:val="single" w:sz="6" w:space="0" w:color="000000"/>
            </w:tcBorders>
          </w:tcPr>
          <w:p w14:paraId="08BC4E7F" w14:textId="77777777" w:rsidR="002431A0" w:rsidRPr="00630129" w:rsidRDefault="002431A0" w:rsidP="002431A0">
            <w:pPr>
              <w:pStyle w:val="EndnoteText"/>
              <w:rPr>
                <w:sz w:val="22"/>
                <w:szCs w:val="22"/>
              </w:rPr>
            </w:pPr>
            <w:r w:rsidRPr="00630129">
              <w:rPr>
                <w:sz w:val="22"/>
                <w:szCs w:val="22"/>
              </w:rPr>
              <w:t>Number</w:t>
            </w:r>
          </w:p>
        </w:tc>
        <w:tc>
          <w:tcPr>
            <w:tcW w:w="2171" w:type="pct"/>
            <w:tcBorders>
              <w:top w:val="single" w:sz="6" w:space="0" w:color="000000"/>
              <w:left w:val="single" w:sz="6" w:space="0" w:color="000000"/>
              <w:bottom w:val="single" w:sz="6" w:space="0" w:color="000000"/>
              <w:right w:val="single" w:sz="6" w:space="0" w:color="000000"/>
            </w:tcBorders>
          </w:tcPr>
          <w:p w14:paraId="3B1C1C41" w14:textId="77777777" w:rsidR="002431A0" w:rsidRPr="00630129" w:rsidRDefault="002431A0" w:rsidP="002431A0">
            <w:pPr>
              <w:pStyle w:val="EndnoteText"/>
              <w:rPr>
                <w:sz w:val="22"/>
                <w:szCs w:val="22"/>
              </w:rPr>
            </w:pPr>
            <w:r w:rsidRPr="00630129">
              <w:rPr>
                <w:sz w:val="22"/>
                <w:szCs w:val="22"/>
              </w:rPr>
              <w:t xml:space="preserve">The number of </w:t>
            </w:r>
            <w:proofErr w:type="spellStart"/>
            <w:r w:rsidRPr="00630129">
              <w:rPr>
                <w:sz w:val="22"/>
                <w:szCs w:val="22"/>
              </w:rPr>
              <w:t>non half</w:t>
            </w:r>
            <w:proofErr w:type="spellEnd"/>
            <w:r w:rsidRPr="00630129">
              <w:rPr>
                <w:sz w:val="22"/>
                <w:szCs w:val="22"/>
              </w:rPr>
              <w:t xml:space="preserve"> hourly Settlement Registers within metered SVA Metering Systems without either an Annualised Advance or an Estimated Annual Consumption and which therefore require a Default Estimated Annual Consumption to be determined which were subject to Demand Disconnection, the value of which is maintained pursuant to Annex S-2.</w:t>
            </w:r>
          </w:p>
        </w:tc>
      </w:tr>
      <w:tr w:rsidR="002431A0" w:rsidRPr="00630129" w14:paraId="47F3E683" w14:textId="77777777" w:rsidTr="00A63BA8">
        <w:trPr>
          <w:cantSplit/>
        </w:trPr>
        <w:tc>
          <w:tcPr>
            <w:tcW w:w="1191" w:type="pct"/>
          </w:tcPr>
          <w:p w14:paraId="5811069E" w14:textId="77777777" w:rsidR="002431A0" w:rsidRPr="00630129" w:rsidRDefault="002431A0" w:rsidP="002431A0">
            <w:pPr>
              <w:pStyle w:val="EndnoteText"/>
              <w:rPr>
                <w:sz w:val="22"/>
                <w:szCs w:val="22"/>
              </w:rPr>
            </w:pPr>
            <w:r w:rsidRPr="00630129">
              <w:rPr>
                <w:sz w:val="22"/>
                <w:szCs w:val="22"/>
              </w:rPr>
              <w:t>Number Of Non Half Hourly Metering Systems Contributing To The Total Annualised Advance</w:t>
            </w:r>
          </w:p>
        </w:tc>
        <w:tc>
          <w:tcPr>
            <w:tcW w:w="1024" w:type="pct"/>
          </w:tcPr>
          <w:p w14:paraId="2037B876" w14:textId="77777777" w:rsidR="002431A0" w:rsidRPr="00630129" w:rsidRDefault="002431A0" w:rsidP="002431A0">
            <w:pPr>
              <w:pStyle w:val="EndnoteText"/>
              <w:rPr>
                <w:sz w:val="22"/>
                <w:szCs w:val="22"/>
              </w:rPr>
            </w:pPr>
            <w:r w:rsidRPr="00630129">
              <w:rPr>
                <w:sz w:val="22"/>
                <w:szCs w:val="22"/>
              </w:rPr>
              <w:t>NMA</w:t>
            </w:r>
            <w:r w:rsidRPr="00630129">
              <w:rPr>
                <w:sz w:val="22"/>
                <w:szCs w:val="22"/>
                <w:vertAlign w:val="subscript"/>
              </w:rPr>
              <w:t>HZLPR</w:t>
            </w:r>
          </w:p>
        </w:tc>
        <w:tc>
          <w:tcPr>
            <w:tcW w:w="613" w:type="pct"/>
          </w:tcPr>
          <w:p w14:paraId="14AC5146"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31B6AC11" w14:textId="77777777" w:rsidR="002431A0" w:rsidRPr="00630129" w:rsidRDefault="002431A0" w:rsidP="002431A0">
            <w:pPr>
              <w:pStyle w:val="EndnoteText"/>
              <w:rPr>
                <w:sz w:val="22"/>
                <w:szCs w:val="22"/>
              </w:rPr>
            </w:pPr>
            <w:r w:rsidRPr="00630129">
              <w:rPr>
                <w:sz w:val="22"/>
                <w:szCs w:val="22"/>
              </w:rPr>
              <w:t xml:space="preserve">The number of </w:t>
            </w:r>
            <w:proofErr w:type="spellStart"/>
            <w:r w:rsidRPr="00630129">
              <w:rPr>
                <w:sz w:val="22"/>
                <w:szCs w:val="22"/>
              </w:rPr>
              <w:t>non half</w:t>
            </w:r>
            <w:proofErr w:type="spellEnd"/>
            <w:r w:rsidRPr="00630129">
              <w:rPr>
                <w:sz w:val="22"/>
                <w:szCs w:val="22"/>
              </w:rPr>
              <w:t xml:space="preserve"> hourly Settlement Registers within SVA Metering Systems contributing to the calculation of Total Annualised Advance, the value of which is maintained pursuant to paragraph 4.4 of Annex S-2.</w:t>
            </w:r>
          </w:p>
        </w:tc>
      </w:tr>
      <w:tr w:rsidR="002431A0" w:rsidRPr="00630129" w14:paraId="1D181ADC" w14:textId="77777777" w:rsidTr="00A63BA8">
        <w:trPr>
          <w:cantSplit/>
        </w:trPr>
        <w:tc>
          <w:tcPr>
            <w:tcW w:w="1191" w:type="pct"/>
          </w:tcPr>
          <w:p w14:paraId="72DEFD5D" w14:textId="77777777" w:rsidR="002431A0" w:rsidRPr="00630129" w:rsidRDefault="002431A0" w:rsidP="002431A0">
            <w:pPr>
              <w:pStyle w:val="EndnoteText"/>
              <w:rPr>
                <w:sz w:val="22"/>
                <w:szCs w:val="22"/>
              </w:rPr>
            </w:pPr>
            <w:r w:rsidRPr="00630129">
              <w:rPr>
                <w:sz w:val="22"/>
                <w:szCs w:val="22"/>
              </w:rPr>
              <w:t>Number Of Non Half Hourly Metering Systems Contributing To The Total Estimated Annual Consumption</w:t>
            </w:r>
          </w:p>
        </w:tc>
        <w:tc>
          <w:tcPr>
            <w:tcW w:w="1024" w:type="pct"/>
          </w:tcPr>
          <w:p w14:paraId="6FAAC774" w14:textId="77777777" w:rsidR="002431A0" w:rsidRPr="00630129" w:rsidRDefault="002431A0" w:rsidP="002431A0">
            <w:pPr>
              <w:pStyle w:val="EndnoteText"/>
              <w:rPr>
                <w:sz w:val="22"/>
                <w:szCs w:val="22"/>
              </w:rPr>
            </w:pPr>
            <w:r w:rsidRPr="00630129">
              <w:rPr>
                <w:sz w:val="22"/>
                <w:szCs w:val="22"/>
              </w:rPr>
              <w:t>NMME</w:t>
            </w:r>
            <w:r w:rsidRPr="00630129">
              <w:rPr>
                <w:sz w:val="22"/>
                <w:szCs w:val="22"/>
                <w:vertAlign w:val="subscript"/>
              </w:rPr>
              <w:t>HZLPR</w:t>
            </w:r>
          </w:p>
        </w:tc>
        <w:tc>
          <w:tcPr>
            <w:tcW w:w="613" w:type="pct"/>
          </w:tcPr>
          <w:p w14:paraId="05B291EC" w14:textId="77777777" w:rsidR="002431A0" w:rsidRPr="00630129" w:rsidRDefault="002431A0" w:rsidP="002431A0">
            <w:pPr>
              <w:pStyle w:val="EndnoteText"/>
              <w:rPr>
                <w:sz w:val="22"/>
                <w:szCs w:val="22"/>
              </w:rPr>
            </w:pPr>
            <w:r w:rsidRPr="00630129">
              <w:rPr>
                <w:sz w:val="22"/>
                <w:szCs w:val="22"/>
              </w:rPr>
              <w:t xml:space="preserve">Number </w:t>
            </w:r>
          </w:p>
        </w:tc>
        <w:tc>
          <w:tcPr>
            <w:tcW w:w="2171" w:type="pct"/>
          </w:tcPr>
          <w:p w14:paraId="2E94CA0D" w14:textId="77777777" w:rsidR="002431A0" w:rsidRPr="00630129" w:rsidRDefault="002431A0" w:rsidP="002431A0">
            <w:pPr>
              <w:pStyle w:val="EndnoteText"/>
              <w:rPr>
                <w:sz w:val="22"/>
                <w:szCs w:val="22"/>
              </w:rPr>
            </w:pPr>
            <w:r w:rsidRPr="00630129">
              <w:rPr>
                <w:sz w:val="22"/>
                <w:szCs w:val="22"/>
              </w:rPr>
              <w:t xml:space="preserve">The number of </w:t>
            </w:r>
            <w:proofErr w:type="spellStart"/>
            <w:r w:rsidRPr="00630129">
              <w:rPr>
                <w:sz w:val="22"/>
                <w:szCs w:val="22"/>
              </w:rPr>
              <w:t>non half</w:t>
            </w:r>
            <w:proofErr w:type="spellEnd"/>
            <w:r w:rsidRPr="00630129">
              <w:rPr>
                <w:sz w:val="22"/>
                <w:szCs w:val="22"/>
              </w:rPr>
              <w:t xml:space="preserve"> hourly Settlement Registers within metered SVA Metering Systems contributing to the calculation of Total Estimated Annual Consumption, the value of which is maintained pursuant to paragraph 4.4 of Annex S-2.</w:t>
            </w:r>
          </w:p>
        </w:tc>
      </w:tr>
      <w:tr w:rsidR="002431A0" w:rsidRPr="00630129" w14:paraId="63C213EC"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40CB1DFF" w14:textId="77777777" w:rsidR="002431A0" w:rsidRPr="00630129" w:rsidRDefault="002431A0" w:rsidP="002431A0">
            <w:pPr>
              <w:pStyle w:val="EndnoteText"/>
              <w:rPr>
                <w:sz w:val="22"/>
                <w:szCs w:val="22"/>
              </w:rPr>
            </w:pPr>
            <w:r w:rsidRPr="00630129">
              <w:rPr>
                <w:sz w:val="22"/>
                <w:szCs w:val="22"/>
              </w:rPr>
              <w:t>Number Of Non Half Hourly Metering Systems Contributing To The Total Annualised Advance (Disconnected)</w:t>
            </w:r>
          </w:p>
        </w:tc>
        <w:tc>
          <w:tcPr>
            <w:tcW w:w="1024" w:type="pct"/>
            <w:tcBorders>
              <w:top w:val="single" w:sz="6" w:space="0" w:color="000000"/>
              <w:left w:val="single" w:sz="6" w:space="0" w:color="000000"/>
              <w:bottom w:val="single" w:sz="6" w:space="0" w:color="000000"/>
              <w:right w:val="single" w:sz="6" w:space="0" w:color="000000"/>
            </w:tcBorders>
          </w:tcPr>
          <w:p w14:paraId="4B4AA2B1" w14:textId="77777777" w:rsidR="002431A0" w:rsidRPr="00630129" w:rsidRDefault="002431A0" w:rsidP="002431A0">
            <w:pPr>
              <w:pStyle w:val="EndnoteText"/>
              <w:rPr>
                <w:sz w:val="22"/>
                <w:szCs w:val="22"/>
              </w:rPr>
            </w:pPr>
            <w:r w:rsidRPr="00630129">
              <w:rPr>
                <w:sz w:val="22"/>
                <w:szCs w:val="22"/>
              </w:rPr>
              <w:t>NMAD</w:t>
            </w:r>
            <w:r w:rsidRPr="00630129">
              <w:rPr>
                <w:sz w:val="22"/>
                <w:szCs w:val="22"/>
                <w:vertAlign w:val="subscript"/>
              </w:rPr>
              <w:t>HZLPR</w:t>
            </w:r>
          </w:p>
        </w:tc>
        <w:tc>
          <w:tcPr>
            <w:tcW w:w="613" w:type="pct"/>
            <w:tcBorders>
              <w:top w:val="single" w:sz="6" w:space="0" w:color="000000"/>
              <w:left w:val="single" w:sz="6" w:space="0" w:color="000000"/>
              <w:bottom w:val="single" w:sz="6" w:space="0" w:color="000000"/>
              <w:right w:val="single" w:sz="6" w:space="0" w:color="000000"/>
            </w:tcBorders>
          </w:tcPr>
          <w:p w14:paraId="09503F17" w14:textId="77777777" w:rsidR="002431A0" w:rsidRPr="00630129" w:rsidRDefault="002431A0" w:rsidP="002431A0">
            <w:pPr>
              <w:pStyle w:val="EndnoteText"/>
              <w:rPr>
                <w:sz w:val="22"/>
                <w:szCs w:val="22"/>
              </w:rPr>
            </w:pPr>
            <w:r w:rsidRPr="00630129">
              <w:rPr>
                <w:sz w:val="22"/>
                <w:szCs w:val="22"/>
              </w:rPr>
              <w:t>Number</w:t>
            </w:r>
          </w:p>
        </w:tc>
        <w:tc>
          <w:tcPr>
            <w:tcW w:w="2171" w:type="pct"/>
            <w:tcBorders>
              <w:top w:val="single" w:sz="6" w:space="0" w:color="000000"/>
              <w:left w:val="single" w:sz="6" w:space="0" w:color="000000"/>
              <w:bottom w:val="single" w:sz="6" w:space="0" w:color="000000"/>
              <w:right w:val="single" w:sz="6" w:space="0" w:color="000000"/>
            </w:tcBorders>
          </w:tcPr>
          <w:p w14:paraId="66910036" w14:textId="77777777" w:rsidR="002431A0" w:rsidRPr="00630129" w:rsidRDefault="002431A0" w:rsidP="002431A0">
            <w:pPr>
              <w:pStyle w:val="EndnoteText"/>
              <w:rPr>
                <w:sz w:val="22"/>
                <w:szCs w:val="22"/>
              </w:rPr>
            </w:pPr>
            <w:r w:rsidRPr="00630129">
              <w:rPr>
                <w:sz w:val="22"/>
                <w:szCs w:val="22"/>
              </w:rPr>
              <w:t xml:space="preserve">The number of </w:t>
            </w:r>
            <w:proofErr w:type="spellStart"/>
            <w:r w:rsidRPr="00630129">
              <w:rPr>
                <w:sz w:val="22"/>
                <w:szCs w:val="22"/>
              </w:rPr>
              <w:t>non half</w:t>
            </w:r>
            <w:proofErr w:type="spellEnd"/>
            <w:r w:rsidRPr="00630129">
              <w:rPr>
                <w:sz w:val="22"/>
                <w:szCs w:val="22"/>
              </w:rPr>
              <w:t xml:space="preserve"> hourly Settlement Registers within SVA Metering Systems contributing to the calculation of Total Annualised Advance which were subject to Demand Disconnection, the value of which is maintained pursuant to paragraph 4.5 of Annex S-2.</w:t>
            </w:r>
          </w:p>
        </w:tc>
      </w:tr>
      <w:tr w:rsidR="002431A0" w:rsidRPr="00630129" w14:paraId="0F80A349"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27832BB0" w14:textId="77777777" w:rsidR="002431A0" w:rsidRPr="00630129" w:rsidRDefault="002431A0" w:rsidP="002431A0">
            <w:pPr>
              <w:pStyle w:val="EndnoteText"/>
              <w:rPr>
                <w:sz w:val="22"/>
                <w:szCs w:val="22"/>
              </w:rPr>
            </w:pPr>
            <w:r w:rsidRPr="00630129">
              <w:rPr>
                <w:sz w:val="22"/>
                <w:szCs w:val="22"/>
              </w:rPr>
              <w:lastRenderedPageBreak/>
              <w:t>Number Of Non Half Hourly Metering Systems Contributing To The Total Estimated Annual Consumption (Disconnected)</w:t>
            </w:r>
          </w:p>
        </w:tc>
        <w:tc>
          <w:tcPr>
            <w:tcW w:w="1024" w:type="pct"/>
            <w:tcBorders>
              <w:top w:val="single" w:sz="6" w:space="0" w:color="000000"/>
              <w:left w:val="single" w:sz="6" w:space="0" w:color="000000"/>
              <w:bottom w:val="single" w:sz="6" w:space="0" w:color="000000"/>
              <w:right w:val="single" w:sz="6" w:space="0" w:color="000000"/>
            </w:tcBorders>
          </w:tcPr>
          <w:p w14:paraId="6E2FC871" w14:textId="77777777" w:rsidR="002431A0" w:rsidRPr="00630129" w:rsidRDefault="002431A0" w:rsidP="002431A0">
            <w:pPr>
              <w:pStyle w:val="EndnoteText"/>
              <w:rPr>
                <w:sz w:val="22"/>
                <w:szCs w:val="22"/>
              </w:rPr>
            </w:pPr>
            <w:r w:rsidRPr="00630129">
              <w:rPr>
                <w:sz w:val="22"/>
                <w:szCs w:val="22"/>
              </w:rPr>
              <w:t>NMMED</w:t>
            </w:r>
            <w:r w:rsidRPr="00630129">
              <w:rPr>
                <w:sz w:val="22"/>
                <w:szCs w:val="22"/>
                <w:vertAlign w:val="subscript"/>
              </w:rPr>
              <w:t>HZLPR</w:t>
            </w:r>
          </w:p>
        </w:tc>
        <w:tc>
          <w:tcPr>
            <w:tcW w:w="613" w:type="pct"/>
            <w:tcBorders>
              <w:top w:val="single" w:sz="6" w:space="0" w:color="000000"/>
              <w:left w:val="single" w:sz="6" w:space="0" w:color="000000"/>
              <w:bottom w:val="single" w:sz="6" w:space="0" w:color="000000"/>
              <w:right w:val="single" w:sz="6" w:space="0" w:color="000000"/>
            </w:tcBorders>
          </w:tcPr>
          <w:p w14:paraId="3A297829" w14:textId="77777777" w:rsidR="002431A0" w:rsidRPr="00630129" w:rsidRDefault="002431A0" w:rsidP="002431A0">
            <w:pPr>
              <w:pStyle w:val="EndnoteText"/>
              <w:rPr>
                <w:sz w:val="22"/>
                <w:szCs w:val="22"/>
              </w:rPr>
            </w:pPr>
            <w:r w:rsidRPr="00630129">
              <w:rPr>
                <w:sz w:val="22"/>
                <w:szCs w:val="22"/>
              </w:rPr>
              <w:t xml:space="preserve">Number </w:t>
            </w:r>
          </w:p>
        </w:tc>
        <w:tc>
          <w:tcPr>
            <w:tcW w:w="2171" w:type="pct"/>
            <w:tcBorders>
              <w:top w:val="single" w:sz="6" w:space="0" w:color="000000"/>
              <w:left w:val="single" w:sz="6" w:space="0" w:color="000000"/>
              <w:bottom w:val="single" w:sz="6" w:space="0" w:color="000000"/>
              <w:right w:val="single" w:sz="6" w:space="0" w:color="000000"/>
            </w:tcBorders>
          </w:tcPr>
          <w:p w14:paraId="63F37FF4" w14:textId="77777777" w:rsidR="002431A0" w:rsidRPr="00630129" w:rsidRDefault="002431A0" w:rsidP="002431A0">
            <w:pPr>
              <w:pStyle w:val="EndnoteText"/>
              <w:rPr>
                <w:sz w:val="22"/>
                <w:szCs w:val="22"/>
              </w:rPr>
            </w:pPr>
            <w:r w:rsidRPr="00630129">
              <w:rPr>
                <w:sz w:val="22"/>
                <w:szCs w:val="22"/>
              </w:rPr>
              <w:t xml:space="preserve">The number of </w:t>
            </w:r>
            <w:proofErr w:type="spellStart"/>
            <w:r w:rsidRPr="00630129">
              <w:rPr>
                <w:sz w:val="22"/>
                <w:szCs w:val="22"/>
              </w:rPr>
              <w:t>non half</w:t>
            </w:r>
            <w:proofErr w:type="spellEnd"/>
            <w:r w:rsidRPr="00630129">
              <w:rPr>
                <w:sz w:val="22"/>
                <w:szCs w:val="22"/>
              </w:rPr>
              <w:t xml:space="preserve"> hourly Settlement Registers within metered SVA Metering Systems contributing to the calculation of Total Estimated Annual Consumption which were subject to Demand Disconnection, the value of which is maintained pursuant to paragraph 4.5 of Annex S-2.</w:t>
            </w:r>
          </w:p>
        </w:tc>
      </w:tr>
      <w:tr w:rsidR="002431A0" w:rsidRPr="00630129" w14:paraId="501D51A6" w14:textId="77777777" w:rsidTr="00A63BA8">
        <w:trPr>
          <w:cantSplit/>
        </w:trPr>
        <w:tc>
          <w:tcPr>
            <w:tcW w:w="1191" w:type="pct"/>
          </w:tcPr>
          <w:p w14:paraId="5504F3B8" w14:textId="77777777" w:rsidR="002431A0" w:rsidRPr="00630129" w:rsidRDefault="002431A0" w:rsidP="002431A0">
            <w:pPr>
              <w:pStyle w:val="EndnoteText"/>
              <w:rPr>
                <w:sz w:val="22"/>
                <w:szCs w:val="22"/>
              </w:rPr>
            </w:pPr>
            <w:r w:rsidRPr="00630129">
              <w:rPr>
                <w:sz w:val="22"/>
                <w:szCs w:val="22"/>
              </w:rPr>
              <w:t>Number Of Non Half Hourly Unmetered Metering Systems Contributing To The Total Estimated Annual Consumption</w:t>
            </w:r>
          </w:p>
        </w:tc>
        <w:tc>
          <w:tcPr>
            <w:tcW w:w="1024" w:type="pct"/>
          </w:tcPr>
          <w:p w14:paraId="3A06CFA2" w14:textId="77777777" w:rsidR="002431A0" w:rsidRPr="00630129" w:rsidRDefault="002431A0" w:rsidP="002431A0">
            <w:pPr>
              <w:pStyle w:val="EndnoteText"/>
              <w:rPr>
                <w:sz w:val="22"/>
                <w:szCs w:val="22"/>
              </w:rPr>
            </w:pPr>
            <w:r w:rsidRPr="00630129">
              <w:rPr>
                <w:sz w:val="22"/>
                <w:szCs w:val="22"/>
              </w:rPr>
              <w:t>NMUE</w:t>
            </w:r>
            <w:r w:rsidRPr="00630129">
              <w:rPr>
                <w:sz w:val="22"/>
                <w:szCs w:val="22"/>
                <w:vertAlign w:val="subscript"/>
              </w:rPr>
              <w:t>HZLPR</w:t>
            </w:r>
          </w:p>
        </w:tc>
        <w:tc>
          <w:tcPr>
            <w:tcW w:w="613" w:type="pct"/>
          </w:tcPr>
          <w:p w14:paraId="32584202"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7EE91D7D" w14:textId="77777777" w:rsidR="002431A0" w:rsidRPr="00630129" w:rsidRDefault="002431A0" w:rsidP="002431A0">
            <w:pPr>
              <w:pStyle w:val="EndnoteText"/>
              <w:rPr>
                <w:sz w:val="22"/>
                <w:szCs w:val="22"/>
              </w:rPr>
            </w:pPr>
            <w:r w:rsidRPr="00630129">
              <w:rPr>
                <w:sz w:val="22"/>
                <w:szCs w:val="22"/>
              </w:rPr>
              <w:t xml:space="preserve">The number of </w:t>
            </w:r>
            <w:proofErr w:type="spellStart"/>
            <w:r w:rsidRPr="00630129">
              <w:rPr>
                <w:sz w:val="22"/>
                <w:szCs w:val="22"/>
              </w:rPr>
              <w:t>non half</w:t>
            </w:r>
            <w:proofErr w:type="spellEnd"/>
            <w:r w:rsidRPr="00630129">
              <w:rPr>
                <w:sz w:val="22"/>
                <w:szCs w:val="22"/>
              </w:rPr>
              <w:t xml:space="preserve"> hourly Settlement Registers within Unmetered Supplies contributing to Total Estimated Annual Consumption, the value of which is maintained pursuant to paragraph 4.4 of Annex S-2.</w:t>
            </w:r>
          </w:p>
        </w:tc>
      </w:tr>
      <w:tr w:rsidR="002431A0" w:rsidRPr="00630129" w14:paraId="42B01771"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0FD23648" w14:textId="77777777" w:rsidR="002431A0" w:rsidRPr="00630129" w:rsidRDefault="002431A0" w:rsidP="002431A0">
            <w:pPr>
              <w:pStyle w:val="EndnoteText"/>
              <w:rPr>
                <w:sz w:val="22"/>
                <w:szCs w:val="22"/>
              </w:rPr>
            </w:pPr>
            <w:r w:rsidRPr="00630129">
              <w:rPr>
                <w:sz w:val="22"/>
                <w:szCs w:val="22"/>
              </w:rPr>
              <w:t>Number Of Non Half Hourly Unmetered Metering Systems Contributing To The Total Estimated Annual Consumption (Disconnected)</w:t>
            </w:r>
          </w:p>
        </w:tc>
        <w:tc>
          <w:tcPr>
            <w:tcW w:w="1024" w:type="pct"/>
            <w:tcBorders>
              <w:top w:val="single" w:sz="6" w:space="0" w:color="000000"/>
              <w:left w:val="single" w:sz="6" w:space="0" w:color="000000"/>
              <w:bottom w:val="single" w:sz="6" w:space="0" w:color="000000"/>
              <w:right w:val="single" w:sz="6" w:space="0" w:color="000000"/>
            </w:tcBorders>
          </w:tcPr>
          <w:p w14:paraId="0E792DFE" w14:textId="77777777" w:rsidR="002431A0" w:rsidRPr="00630129" w:rsidRDefault="002431A0" w:rsidP="002431A0">
            <w:pPr>
              <w:pStyle w:val="EndnoteText"/>
              <w:rPr>
                <w:sz w:val="22"/>
                <w:szCs w:val="22"/>
              </w:rPr>
            </w:pPr>
            <w:r w:rsidRPr="00630129">
              <w:rPr>
                <w:sz w:val="22"/>
                <w:szCs w:val="22"/>
              </w:rPr>
              <w:t>NMUED</w:t>
            </w:r>
            <w:r w:rsidRPr="00630129">
              <w:rPr>
                <w:sz w:val="22"/>
                <w:szCs w:val="22"/>
                <w:vertAlign w:val="subscript"/>
              </w:rPr>
              <w:t>HZLPR</w:t>
            </w:r>
          </w:p>
        </w:tc>
        <w:tc>
          <w:tcPr>
            <w:tcW w:w="613" w:type="pct"/>
            <w:tcBorders>
              <w:top w:val="single" w:sz="6" w:space="0" w:color="000000"/>
              <w:left w:val="single" w:sz="6" w:space="0" w:color="000000"/>
              <w:bottom w:val="single" w:sz="6" w:space="0" w:color="000000"/>
              <w:right w:val="single" w:sz="6" w:space="0" w:color="000000"/>
            </w:tcBorders>
          </w:tcPr>
          <w:p w14:paraId="59E627D6" w14:textId="77777777" w:rsidR="002431A0" w:rsidRPr="00630129" w:rsidRDefault="002431A0" w:rsidP="002431A0">
            <w:pPr>
              <w:pStyle w:val="EndnoteText"/>
              <w:rPr>
                <w:sz w:val="22"/>
                <w:szCs w:val="22"/>
              </w:rPr>
            </w:pPr>
            <w:r w:rsidRPr="00630129">
              <w:rPr>
                <w:sz w:val="22"/>
                <w:szCs w:val="22"/>
              </w:rPr>
              <w:t>Number</w:t>
            </w:r>
          </w:p>
        </w:tc>
        <w:tc>
          <w:tcPr>
            <w:tcW w:w="2171" w:type="pct"/>
            <w:tcBorders>
              <w:top w:val="single" w:sz="6" w:space="0" w:color="000000"/>
              <w:left w:val="single" w:sz="6" w:space="0" w:color="000000"/>
              <w:bottom w:val="single" w:sz="6" w:space="0" w:color="000000"/>
              <w:right w:val="single" w:sz="6" w:space="0" w:color="000000"/>
            </w:tcBorders>
          </w:tcPr>
          <w:p w14:paraId="6D933047" w14:textId="77777777" w:rsidR="002431A0" w:rsidRPr="00630129" w:rsidRDefault="002431A0" w:rsidP="002431A0">
            <w:pPr>
              <w:pStyle w:val="EndnoteText"/>
              <w:rPr>
                <w:sz w:val="22"/>
                <w:szCs w:val="22"/>
              </w:rPr>
            </w:pPr>
            <w:r w:rsidRPr="00630129">
              <w:rPr>
                <w:sz w:val="22"/>
                <w:szCs w:val="22"/>
              </w:rPr>
              <w:t xml:space="preserve">The number of </w:t>
            </w:r>
            <w:proofErr w:type="spellStart"/>
            <w:r w:rsidRPr="00630129">
              <w:rPr>
                <w:sz w:val="22"/>
                <w:szCs w:val="22"/>
              </w:rPr>
              <w:t>non half</w:t>
            </w:r>
            <w:proofErr w:type="spellEnd"/>
            <w:r w:rsidRPr="00630129">
              <w:rPr>
                <w:sz w:val="22"/>
                <w:szCs w:val="22"/>
              </w:rPr>
              <w:t xml:space="preserve"> hourly Settlement Registers within Unmetered Supplies contributing to Total Estimated Annual Consumption which were subject to Demand Disconnection, the value of which is maintained pursuant to paragraph 4.5 of Annex S-2.</w:t>
            </w:r>
          </w:p>
        </w:tc>
      </w:tr>
      <w:tr w:rsidR="002431A0" w:rsidRPr="00630129" w14:paraId="48609925" w14:textId="77777777" w:rsidTr="00A63BA8">
        <w:trPr>
          <w:cantSplit/>
        </w:trPr>
        <w:tc>
          <w:tcPr>
            <w:tcW w:w="1191" w:type="pct"/>
          </w:tcPr>
          <w:p w14:paraId="7880296E" w14:textId="77777777" w:rsidR="002431A0" w:rsidRPr="00630129" w:rsidRDefault="002431A0" w:rsidP="002431A0">
            <w:pPr>
              <w:pStyle w:val="EndnoteText"/>
              <w:rPr>
                <w:sz w:val="22"/>
                <w:szCs w:val="22"/>
              </w:rPr>
            </w:pPr>
            <w:r w:rsidRPr="00630129">
              <w:rPr>
                <w:sz w:val="22"/>
                <w:szCs w:val="22"/>
              </w:rPr>
              <w:t>Number Of Non Half Hourly Unmetered Metering Systems Requiring A Default Estimated Annual Consumption</w:t>
            </w:r>
          </w:p>
        </w:tc>
        <w:tc>
          <w:tcPr>
            <w:tcW w:w="1024" w:type="pct"/>
          </w:tcPr>
          <w:p w14:paraId="67C269EE" w14:textId="77777777" w:rsidR="002431A0" w:rsidRPr="00630129" w:rsidRDefault="002431A0" w:rsidP="002431A0">
            <w:pPr>
              <w:pStyle w:val="EndnoteText"/>
              <w:rPr>
                <w:sz w:val="22"/>
                <w:szCs w:val="22"/>
              </w:rPr>
            </w:pPr>
            <w:r w:rsidRPr="00630129">
              <w:rPr>
                <w:sz w:val="22"/>
                <w:szCs w:val="22"/>
              </w:rPr>
              <w:t>NMUDE</w:t>
            </w:r>
            <w:r w:rsidRPr="00630129">
              <w:rPr>
                <w:sz w:val="22"/>
                <w:szCs w:val="22"/>
                <w:vertAlign w:val="subscript"/>
              </w:rPr>
              <w:t>HZLPR</w:t>
            </w:r>
          </w:p>
        </w:tc>
        <w:tc>
          <w:tcPr>
            <w:tcW w:w="613" w:type="pct"/>
          </w:tcPr>
          <w:p w14:paraId="2866AACD"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05B33E10" w14:textId="77777777" w:rsidR="002431A0" w:rsidRPr="00630129" w:rsidRDefault="002431A0" w:rsidP="002431A0">
            <w:pPr>
              <w:pStyle w:val="EndnoteText"/>
              <w:rPr>
                <w:sz w:val="22"/>
                <w:szCs w:val="22"/>
              </w:rPr>
            </w:pPr>
            <w:r w:rsidRPr="00630129">
              <w:rPr>
                <w:sz w:val="22"/>
                <w:szCs w:val="22"/>
              </w:rPr>
              <w:t xml:space="preserve">The number of </w:t>
            </w:r>
            <w:proofErr w:type="spellStart"/>
            <w:r w:rsidRPr="00630129">
              <w:rPr>
                <w:sz w:val="22"/>
                <w:szCs w:val="22"/>
              </w:rPr>
              <w:t>non half</w:t>
            </w:r>
            <w:proofErr w:type="spellEnd"/>
            <w:r w:rsidRPr="00630129">
              <w:rPr>
                <w:sz w:val="22"/>
                <w:szCs w:val="22"/>
              </w:rPr>
              <w:t xml:space="preserve"> hourly Settlement Registers within Unmetered Metering System without an Estimated Annual Consumption and which therefore require a Default Estimated Annual Consumption to be determined, the value of which is maintained pursuant to paragraph 4.4 of Annex S-2.</w:t>
            </w:r>
          </w:p>
        </w:tc>
      </w:tr>
      <w:tr w:rsidR="002431A0" w:rsidRPr="00630129" w14:paraId="315A1600"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3CDFF629" w14:textId="77777777" w:rsidR="002431A0" w:rsidRPr="00630129" w:rsidRDefault="002431A0" w:rsidP="002431A0">
            <w:pPr>
              <w:pStyle w:val="EndnoteText"/>
              <w:rPr>
                <w:sz w:val="22"/>
                <w:szCs w:val="22"/>
              </w:rPr>
            </w:pPr>
            <w:r w:rsidRPr="00630129">
              <w:rPr>
                <w:sz w:val="22"/>
                <w:szCs w:val="22"/>
              </w:rPr>
              <w:t>Number Of Non Half Hourly Unmetered Metering Systems Requiring A Default Estimated Annual Consumption (Disconnected)</w:t>
            </w:r>
          </w:p>
        </w:tc>
        <w:tc>
          <w:tcPr>
            <w:tcW w:w="1024" w:type="pct"/>
            <w:tcBorders>
              <w:top w:val="single" w:sz="6" w:space="0" w:color="000000"/>
              <w:left w:val="single" w:sz="6" w:space="0" w:color="000000"/>
              <w:bottom w:val="single" w:sz="6" w:space="0" w:color="000000"/>
              <w:right w:val="single" w:sz="6" w:space="0" w:color="000000"/>
            </w:tcBorders>
          </w:tcPr>
          <w:p w14:paraId="76F354F0" w14:textId="77777777" w:rsidR="002431A0" w:rsidRPr="00630129" w:rsidRDefault="002431A0" w:rsidP="002431A0">
            <w:pPr>
              <w:pStyle w:val="EndnoteText"/>
              <w:rPr>
                <w:sz w:val="22"/>
                <w:szCs w:val="22"/>
              </w:rPr>
            </w:pPr>
            <w:r w:rsidRPr="00630129">
              <w:rPr>
                <w:sz w:val="22"/>
                <w:szCs w:val="22"/>
              </w:rPr>
              <w:t>NMUDED</w:t>
            </w:r>
            <w:r w:rsidRPr="00630129">
              <w:rPr>
                <w:sz w:val="22"/>
                <w:szCs w:val="22"/>
                <w:vertAlign w:val="subscript"/>
              </w:rPr>
              <w:t>HZLPR</w:t>
            </w:r>
          </w:p>
        </w:tc>
        <w:tc>
          <w:tcPr>
            <w:tcW w:w="613" w:type="pct"/>
            <w:tcBorders>
              <w:top w:val="single" w:sz="6" w:space="0" w:color="000000"/>
              <w:left w:val="single" w:sz="6" w:space="0" w:color="000000"/>
              <w:bottom w:val="single" w:sz="6" w:space="0" w:color="000000"/>
              <w:right w:val="single" w:sz="6" w:space="0" w:color="000000"/>
            </w:tcBorders>
          </w:tcPr>
          <w:p w14:paraId="700E776A" w14:textId="77777777" w:rsidR="002431A0" w:rsidRPr="00630129" w:rsidRDefault="002431A0" w:rsidP="002431A0">
            <w:pPr>
              <w:pStyle w:val="EndnoteText"/>
              <w:rPr>
                <w:sz w:val="22"/>
                <w:szCs w:val="22"/>
              </w:rPr>
            </w:pPr>
            <w:r w:rsidRPr="00630129">
              <w:rPr>
                <w:sz w:val="22"/>
                <w:szCs w:val="22"/>
              </w:rPr>
              <w:t>Number</w:t>
            </w:r>
          </w:p>
        </w:tc>
        <w:tc>
          <w:tcPr>
            <w:tcW w:w="2171" w:type="pct"/>
            <w:tcBorders>
              <w:top w:val="single" w:sz="6" w:space="0" w:color="000000"/>
              <w:left w:val="single" w:sz="6" w:space="0" w:color="000000"/>
              <w:bottom w:val="single" w:sz="6" w:space="0" w:color="000000"/>
              <w:right w:val="single" w:sz="6" w:space="0" w:color="000000"/>
            </w:tcBorders>
          </w:tcPr>
          <w:p w14:paraId="76082400" w14:textId="77777777" w:rsidR="002431A0" w:rsidRPr="00630129" w:rsidRDefault="002431A0" w:rsidP="002431A0">
            <w:pPr>
              <w:pStyle w:val="EndnoteText"/>
              <w:rPr>
                <w:sz w:val="22"/>
                <w:szCs w:val="22"/>
              </w:rPr>
            </w:pPr>
            <w:r w:rsidRPr="00630129">
              <w:rPr>
                <w:sz w:val="22"/>
                <w:szCs w:val="22"/>
              </w:rPr>
              <w:t xml:space="preserve">The number of </w:t>
            </w:r>
            <w:proofErr w:type="spellStart"/>
            <w:r w:rsidRPr="00630129">
              <w:rPr>
                <w:sz w:val="22"/>
                <w:szCs w:val="22"/>
              </w:rPr>
              <w:t>non half</w:t>
            </w:r>
            <w:proofErr w:type="spellEnd"/>
            <w:r w:rsidRPr="00630129">
              <w:rPr>
                <w:sz w:val="22"/>
                <w:szCs w:val="22"/>
              </w:rPr>
              <w:t xml:space="preserve"> hourly Settlement Registers within Unmetered Metering System without an Estimated Annual Consumption and which therefore require a Default Estimated Annual Consumption to be determined which were subject to Demand Disconnection, the value of which is maintained pursuant to paragraph 4.5 of Annex S-2.</w:t>
            </w:r>
          </w:p>
        </w:tc>
      </w:tr>
      <w:tr w:rsidR="002431A0" w:rsidRPr="00630129" w14:paraId="7425F644" w14:textId="77777777" w:rsidTr="00A63BA8">
        <w:trPr>
          <w:cantSplit/>
        </w:trPr>
        <w:tc>
          <w:tcPr>
            <w:tcW w:w="1191" w:type="pct"/>
          </w:tcPr>
          <w:p w14:paraId="680ADD88" w14:textId="77777777" w:rsidR="002431A0" w:rsidRPr="00630129" w:rsidRDefault="002431A0" w:rsidP="002431A0">
            <w:pPr>
              <w:pStyle w:val="EndnoteText"/>
              <w:rPr>
                <w:sz w:val="22"/>
                <w:szCs w:val="22"/>
              </w:rPr>
            </w:pPr>
            <w:r w:rsidRPr="00630129">
              <w:rPr>
                <w:sz w:val="22"/>
                <w:szCs w:val="22"/>
              </w:rPr>
              <w:t>Period Profile Class Coefficient</w:t>
            </w:r>
          </w:p>
        </w:tc>
        <w:tc>
          <w:tcPr>
            <w:tcW w:w="1024" w:type="pct"/>
          </w:tcPr>
          <w:p w14:paraId="03E19AF4" w14:textId="77777777" w:rsidR="002431A0" w:rsidRPr="00630129" w:rsidRDefault="002431A0" w:rsidP="002431A0">
            <w:pPr>
              <w:pStyle w:val="EndnoteText"/>
              <w:rPr>
                <w:sz w:val="22"/>
                <w:szCs w:val="22"/>
              </w:rPr>
            </w:pPr>
            <w:proofErr w:type="spellStart"/>
            <w:r w:rsidRPr="00630129">
              <w:rPr>
                <w:sz w:val="22"/>
                <w:szCs w:val="22"/>
              </w:rPr>
              <w:t>PPCC</w:t>
            </w:r>
            <w:r w:rsidRPr="00630129">
              <w:rPr>
                <w:sz w:val="22"/>
                <w:szCs w:val="22"/>
                <w:vertAlign w:val="subscript"/>
              </w:rPr>
              <w:t>HPRj</w:t>
            </w:r>
            <w:proofErr w:type="spellEnd"/>
          </w:p>
        </w:tc>
        <w:tc>
          <w:tcPr>
            <w:tcW w:w="613" w:type="pct"/>
          </w:tcPr>
          <w:p w14:paraId="01022F61"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4BE03A36" w14:textId="77777777" w:rsidR="002431A0" w:rsidRPr="00630129" w:rsidRDefault="002431A0" w:rsidP="002431A0">
            <w:pPr>
              <w:pStyle w:val="EndnoteText"/>
              <w:rPr>
                <w:sz w:val="22"/>
                <w:szCs w:val="22"/>
              </w:rPr>
            </w:pPr>
            <w:r w:rsidRPr="00630129">
              <w:rPr>
                <w:sz w:val="22"/>
                <w:szCs w:val="22"/>
              </w:rPr>
              <w:t>The profile coefficient for a Time Pattern Regime associated with a valid combination of Profile Class and Standard Settlement Configuration determined pursuant to paragraph 6.7 of Annex S-2.</w:t>
            </w:r>
          </w:p>
        </w:tc>
      </w:tr>
      <w:tr w:rsidR="002431A0" w:rsidRPr="00630129" w14:paraId="7F028655" w14:textId="77777777" w:rsidTr="00A63BA8">
        <w:trPr>
          <w:cantSplit/>
        </w:trPr>
        <w:tc>
          <w:tcPr>
            <w:tcW w:w="1191" w:type="pct"/>
          </w:tcPr>
          <w:p w14:paraId="6F659366" w14:textId="77777777" w:rsidR="002431A0" w:rsidRPr="00630129" w:rsidRDefault="002431A0" w:rsidP="002431A0">
            <w:pPr>
              <w:pStyle w:val="EndnoteText"/>
              <w:rPr>
                <w:sz w:val="22"/>
                <w:szCs w:val="22"/>
              </w:rPr>
            </w:pPr>
            <w:r w:rsidRPr="00630129">
              <w:rPr>
                <w:sz w:val="22"/>
                <w:szCs w:val="22"/>
              </w:rPr>
              <w:lastRenderedPageBreak/>
              <w:t>Period Time Pattern State Indicator</w:t>
            </w:r>
          </w:p>
        </w:tc>
        <w:tc>
          <w:tcPr>
            <w:tcW w:w="1024" w:type="pct"/>
          </w:tcPr>
          <w:p w14:paraId="26D4A445" w14:textId="77777777" w:rsidR="002431A0" w:rsidRPr="00630129" w:rsidRDefault="002431A0" w:rsidP="002431A0">
            <w:pPr>
              <w:pStyle w:val="EndnoteText"/>
              <w:rPr>
                <w:sz w:val="22"/>
                <w:szCs w:val="22"/>
              </w:rPr>
            </w:pPr>
            <w:proofErr w:type="spellStart"/>
            <w:r w:rsidRPr="00630129">
              <w:rPr>
                <w:sz w:val="22"/>
                <w:szCs w:val="22"/>
              </w:rPr>
              <w:t>Q</w:t>
            </w:r>
            <w:r w:rsidRPr="00630129">
              <w:rPr>
                <w:sz w:val="22"/>
                <w:szCs w:val="22"/>
                <w:vertAlign w:val="subscript"/>
              </w:rPr>
              <w:t>Rj</w:t>
            </w:r>
            <w:proofErr w:type="spellEnd"/>
          </w:p>
        </w:tc>
        <w:tc>
          <w:tcPr>
            <w:tcW w:w="613" w:type="pct"/>
          </w:tcPr>
          <w:p w14:paraId="46AEBA6A" w14:textId="77777777" w:rsidR="002431A0" w:rsidRPr="00630129" w:rsidRDefault="002431A0" w:rsidP="002431A0">
            <w:pPr>
              <w:pStyle w:val="EndnoteText"/>
              <w:rPr>
                <w:sz w:val="22"/>
                <w:szCs w:val="22"/>
              </w:rPr>
            </w:pPr>
            <w:r w:rsidRPr="00630129">
              <w:rPr>
                <w:sz w:val="22"/>
                <w:szCs w:val="22"/>
              </w:rPr>
              <w:t>Indicator (1 or 0)</w:t>
            </w:r>
          </w:p>
        </w:tc>
        <w:tc>
          <w:tcPr>
            <w:tcW w:w="2171" w:type="pct"/>
          </w:tcPr>
          <w:p w14:paraId="38325C0F" w14:textId="77777777" w:rsidR="002431A0" w:rsidRPr="00630129" w:rsidRDefault="002431A0" w:rsidP="002431A0">
            <w:pPr>
              <w:pStyle w:val="EndnoteText"/>
              <w:rPr>
                <w:sz w:val="22"/>
                <w:szCs w:val="22"/>
              </w:rPr>
            </w:pPr>
            <w:r w:rsidRPr="00630129">
              <w:rPr>
                <w:sz w:val="22"/>
                <w:szCs w:val="22"/>
              </w:rPr>
              <w:t>An indicator showing for a particular combination of Time Pattern Regime and Standard Settlement Configuration whether the associated Settlement Registers are recording Metered Data, determined pursuant to paragraph 6.4 of Annex S-2.</w:t>
            </w:r>
          </w:p>
        </w:tc>
      </w:tr>
      <w:tr w:rsidR="002431A0" w:rsidRPr="00630129" w14:paraId="24775B34" w14:textId="77777777" w:rsidTr="00A63BA8">
        <w:trPr>
          <w:cantSplit/>
        </w:trPr>
        <w:tc>
          <w:tcPr>
            <w:tcW w:w="1191" w:type="pct"/>
          </w:tcPr>
          <w:p w14:paraId="1EE877BF" w14:textId="77777777" w:rsidR="002431A0" w:rsidRPr="00630129" w:rsidRDefault="002431A0" w:rsidP="002431A0">
            <w:pPr>
              <w:pStyle w:val="EndnoteText"/>
              <w:rPr>
                <w:sz w:val="22"/>
                <w:szCs w:val="22"/>
              </w:rPr>
            </w:pPr>
            <w:r w:rsidRPr="00630129">
              <w:rPr>
                <w:sz w:val="22"/>
                <w:szCs w:val="22"/>
              </w:rPr>
              <w:t>Previous Estimated Annual Consumption</w:t>
            </w:r>
          </w:p>
        </w:tc>
        <w:tc>
          <w:tcPr>
            <w:tcW w:w="1024" w:type="pct"/>
          </w:tcPr>
          <w:p w14:paraId="5746A072" w14:textId="77777777" w:rsidR="002431A0" w:rsidRPr="00630129" w:rsidRDefault="002431A0" w:rsidP="002431A0">
            <w:pPr>
              <w:pStyle w:val="EndnoteText"/>
              <w:rPr>
                <w:sz w:val="22"/>
                <w:szCs w:val="22"/>
              </w:rPr>
            </w:pPr>
            <w:r w:rsidRPr="00630129">
              <w:rPr>
                <w:sz w:val="22"/>
                <w:szCs w:val="22"/>
              </w:rPr>
              <w:t>PEAC</w:t>
            </w:r>
            <w:r w:rsidRPr="00630129">
              <w:rPr>
                <w:sz w:val="22"/>
                <w:szCs w:val="22"/>
                <w:vertAlign w:val="subscript"/>
              </w:rPr>
              <w:t>KR</w:t>
            </w:r>
          </w:p>
        </w:tc>
        <w:tc>
          <w:tcPr>
            <w:tcW w:w="613" w:type="pct"/>
          </w:tcPr>
          <w:p w14:paraId="4B8608E2" w14:textId="77777777" w:rsidR="002431A0" w:rsidRPr="00630129" w:rsidRDefault="002431A0" w:rsidP="002431A0">
            <w:pPr>
              <w:pStyle w:val="EndnoteText"/>
              <w:rPr>
                <w:sz w:val="22"/>
                <w:szCs w:val="22"/>
              </w:rPr>
            </w:pPr>
            <w:r w:rsidRPr="00630129">
              <w:rPr>
                <w:sz w:val="22"/>
                <w:szCs w:val="22"/>
              </w:rPr>
              <w:t>kWh</w:t>
            </w:r>
          </w:p>
        </w:tc>
        <w:tc>
          <w:tcPr>
            <w:tcW w:w="2171" w:type="pct"/>
          </w:tcPr>
          <w:p w14:paraId="700FAD46" w14:textId="77777777" w:rsidR="002431A0" w:rsidRPr="00630129" w:rsidRDefault="002431A0" w:rsidP="002431A0">
            <w:pPr>
              <w:pStyle w:val="EndnoteText"/>
              <w:rPr>
                <w:sz w:val="22"/>
                <w:szCs w:val="22"/>
              </w:rPr>
            </w:pPr>
            <w:r w:rsidRPr="00630129">
              <w:rPr>
                <w:sz w:val="22"/>
                <w:szCs w:val="22"/>
              </w:rPr>
              <w:t>The value of Estimated Annual Consumption determined pursuant to paragraph 4.3 of Annex S-2.</w:t>
            </w:r>
          </w:p>
        </w:tc>
      </w:tr>
      <w:tr w:rsidR="002431A0" w:rsidRPr="00630129" w14:paraId="07F01247" w14:textId="77777777" w:rsidTr="00A63BA8">
        <w:trPr>
          <w:cantSplit/>
        </w:trPr>
        <w:tc>
          <w:tcPr>
            <w:tcW w:w="1191" w:type="pct"/>
          </w:tcPr>
          <w:p w14:paraId="11F2AEA3" w14:textId="77777777" w:rsidR="002431A0" w:rsidRPr="00630129" w:rsidRDefault="002431A0" w:rsidP="002431A0">
            <w:pPr>
              <w:pStyle w:val="Header"/>
              <w:tabs>
                <w:tab w:val="clear" w:pos="4153"/>
                <w:tab w:val="clear" w:pos="8306"/>
              </w:tabs>
              <w:rPr>
                <w:sz w:val="22"/>
                <w:szCs w:val="22"/>
              </w:rPr>
            </w:pPr>
            <w:r w:rsidRPr="00630129">
              <w:rPr>
                <w:sz w:val="22"/>
                <w:szCs w:val="22"/>
              </w:rPr>
              <w:t>Primary Supplier's Metering System Metered Consumption</w:t>
            </w:r>
          </w:p>
        </w:tc>
        <w:tc>
          <w:tcPr>
            <w:tcW w:w="1024" w:type="pct"/>
          </w:tcPr>
          <w:p w14:paraId="26226767" w14:textId="77777777" w:rsidR="002431A0" w:rsidRPr="00630129" w:rsidRDefault="002431A0" w:rsidP="002431A0">
            <w:pPr>
              <w:pStyle w:val="EndnoteText"/>
              <w:rPr>
                <w:sz w:val="22"/>
                <w:szCs w:val="22"/>
              </w:rPr>
            </w:pPr>
            <w:r w:rsidRPr="00630129">
              <w:rPr>
                <w:sz w:val="22"/>
                <w:szCs w:val="22"/>
              </w:rPr>
              <w:t>PSMMC</w:t>
            </w:r>
            <w:r w:rsidRPr="00630129">
              <w:rPr>
                <w:sz w:val="22"/>
                <w:szCs w:val="22"/>
                <w:vertAlign w:val="subscript"/>
              </w:rPr>
              <w:t>Z1a1K1j</w:t>
            </w:r>
            <w:r w:rsidRPr="00630129">
              <w:rPr>
                <w:sz w:val="22"/>
                <w:szCs w:val="22"/>
              </w:rPr>
              <w:t xml:space="preserve"> or (where applicable) PSMMC</w:t>
            </w:r>
            <w:r w:rsidRPr="00630129">
              <w:rPr>
                <w:sz w:val="22"/>
                <w:szCs w:val="22"/>
                <w:vertAlign w:val="subscript"/>
              </w:rPr>
              <w:t>Z1a1.1K1.1j</w:t>
            </w:r>
          </w:p>
        </w:tc>
        <w:tc>
          <w:tcPr>
            <w:tcW w:w="613" w:type="pct"/>
          </w:tcPr>
          <w:p w14:paraId="10E59923" w14:textId="77777777" w:rsidR="002431A0" w:rsidRPr="00630129" w:rsidRDefault="002431A0" w:rsidP="002431A0">
            <w:pPr>
              <w:pStyle w:val="EndnoteText"/>
              <w:rPr>
                <w:sz w:val="22"/>
                <w:szCs w:val="22"/>
              </w:rPr>
            </w:pPr>
            <w:r w:rsidRPr="00630129">
              <w:rPr>
                <w:sz w:val="22"/>
                <w:szCs w:val="22"/>
              </w:rPr>
              <w:t>kWh</w:t>
            </w:r>
          </w:p>
        </w:tc>
        <w:tc>
          <w:tcPr>
            <w:tcW w:w="2171" w:type="pct"/>
          </w:tcPr>
          <w:p w14:paraId="53308877" w14:textId="77777777" w:rsidR="002431A0" w:rsidRPr="00630129" w:rsidRDefault="002431A0" w:rsidP="002431A0">
            <w:pPr>
              <w:pStyle w:val="EndnoteText"/>
              <w:rPr>
                <w:sz w:val="22"/>
                <w:szCs w:val="22"/>
              </w:rPr>
            </w:pPr>
            <w:r w:rsidRPr="00630129">
              <w:rPr>
                <w:sz w:val="22"/>
                <w:szCs w:val="22"/>
              </w:rPr>
              <w:t>The half hourly metered Consumption for a Primary SVA Metering System Number determined pursuant to paragraph 3.5 of Annex S-2.</w:t>
            </w:r>
          </w:p>
        </w:tc>
      </w:tr>
      <w:tr w:rsidR="002431A0" w:rsidRPr="00630129" w14:paraId="2E3DCEA8" w14:textId="77777777" w:rsidTr="00A63BA8">
        <w:trPr>
          <w:cantSplit/>
        </w:trPr>
        <w:tc>
          <w:tcPr>
            <w:tcW w:w="1191" w:type="pct"/>
          </w:tcPr>
          <w:p w14:paraId="1FF9E77D" w14:textId="77777777" w:rsidR="002431A0" w:rsidRPr="00630129" w:rsidRDefault="002431A0" w:rsidP="002431A0">
            <w:pPr>
              <w:pStyle w:val="EndnoteText"/>
              <w:rPr>
                <w:sz w:val="22"/>
                <w:szCs w:val="22"/>
              </w:rPr>
            </w:pPr>
            <w:r w:rsidRPr="00630129">
              <w:rPr>
                <w:sz w:val="22"/>
                <w:szCs w:val="22"/>
              </w:rPr>
              <w:t>Profile</w:t>
            </w:r>
          </w:p>
        </w:tc>
        <w:tc>
          <w:tcPr>
            <w:tcW w:w="1024" w:type="pct"/>
          </w:tcPr>
          <w:p w14:paraId="51327B01" w14:textId="77777777" w:rsidR="002431A0" w:rsidRPr="00630129" w:rsidRDefault="002431A0" w:rsidP="002431A0">
            <w:pPr>
              <w:pStyle w:val="EndnoteText"/>
              <w:rPr>
                <w:sz w:val="22"/>
                <w:szCs w:val="22"/>
              </w:rPr>
            </w:pPr>
          </w:p>
        </w:tc>
        <w:tc>
          <w:tcPr>
            <w:tcW w:w="613" w:type="pct"/>
          </w:tcPr>
          <w:p w14:paraId="18A5B1FA" w14:textId="77777777" w:rsidR="002431A0" w:rsidRPr="00630129" w:rsidRDefault="002431A0" w:rsidP="002431A0">
            <w:pPr>
              <w:pStyle w:val="EndnoteText"/>
              <w:rPr>
                <w:sz w:val="22"/>
                <w:szCs w:val="22"/>
              </w:rPr>
            </w:pPr>
          </w:p>
        </w:tc>
        <w:tc>
          <w:tcPr>
            <w:tcW w:w="2171" w:type="pct"/>
          </w:tcPr>
          <w:p w14:paraId="27A98AC7" w14:textId="77777777" w:rsidR="002431A0" w:rsidRPr="00630129" w:rsidRDefault="002431A0" w:rsidP="002431A0">
            <w:pPr>
              <w:pStyle w:val="EndnoteText"/>
              <w:rPr>
                <w:sz w:val="22"/>
                <w:szCs w:val="22"/>
              </w:rPr>
            </w:pPr>
            <w:r w:rsidRPr="00630129">
              <w:rPr>
                <w:sz w:val="22"/>
                <w:szCs w:val="22"/>
              </w:rPr>
              <w:t>A pattern of Consumption specified over a Settlement Day, or part thereof, on a Settlement Period basis.</w:t>
            </w:r>
          </w:p>
        </w:tc>
      </w:tr>
      <w:tr w:rsidR="002431A0" w:rsidRPr="00630129" w14:paraId="47DC96D3" w14:textId="77777777" w:rsidTr="00A63BA8">
        <w:trPr>
          <w:cantSplit/>
        </w:trPr>
        <w:tc>
          <w:tcPr>
            <w:tcW w:w="1191" w:type="pct"/>
          </w:tcPr>
          <w:p w14:paraId="142DDF1F" w14:textId="77777777" w:rsidR="002431A0" w:rsidRPr="00630129" w:rsidRDefault="002431A0" w:rsidP="002431A0">
            <w:pPr>
              <w:pStyle w:val="EndnoteText"/>
              <w:rPr>
                <w:sz w:val="22"/>
                <w:szCs w:val="22"/>
              </w:rPr>
            </w:pPr>
            <w:r w:rsidRPr="00630129">
              <w:rPr>
                <w:sz w:val="22"/>
                <w:szCs w:val="22"/>
              </w:rPr>
              <w:t>Profile Class</w:t>
            </w:r>
          </w:p>
        </w:tc>
        <w:tc>
          <w:tcPr>
            <w:tcW w:w="1024" w:type="pct"/>
          </w:tcPr>
          <w:p w14:paraId="3ED564CE" w14:textId="77777777" w:rsidR="002431A0" w:rsidRPr="00630129" w:rsidRDefault="002431A0" w:rsidP="002431A0">
            <w:pPr>
              <w:pStyle w:val="EndnoteText"/>
              <w:rPr>
                <w:sz w:val="22"/>
                <w:szCs w:val="22"/>
              </w:rPr>
            </w:pPr>
          </w:p>
        </w:tc>
        <w:tc>
          <w:tcPr>
            <w:tcW w:w="613" w:type="pct"/>
          </w:tcPr>
          <w:p w14:paraId="1B8903B0" w14:textId="77777777" w:rsidR="002431A0" w:rsidRPr="00630129" w:rsidRDefault="002431A0" w:rsidP="002431A0">
            <w:pPr>
              <w:pStyle w:val="EndnoteText"/>
              <w:rPr>
                <w:sz w:val="22"/>
                <w:szCs w:val="22"/>
              </w:rPr>
            </w:pPr>
          </w:p>
        </w:tc>
        <w:tc>
          <w:tcPr>
            <w:tcW w:w="2171" w:type="pct"/>
          </w:tcPr>
          <w:p w14:paraId="725F2A09" w14:textId="77777777" w:rsidR="002431A0" w:rsidRPr="00630129" w:rsidRDefault="002431A0" w:rsidP="002431A0">
            <w:pPr>
              <w:pStyle w:val="EndnoteText"/>
              <w:rPr>
                <w:sz w:val="22"/>
                <w:szCs w:val="22"/>
              </w:rPr>
            </w:pPr>
            <w:r w:rsidRPr="00630129">
              <w:rPr>
                <w:sz w:val="22"/>
                <w:szCs w:val="22"/>
              </w:rPr>
              <w:t>A classification of profiles which represents an exclusive category of customers whose Consumption can be reasonably approximated to a common profile for Settlement purposes.</w:t>
            </w:r>
          </w:p>
        </w:tc>
      </w:tr>
      <w:tr w:rsidR="002431A0" w:rsidRPr="00630129" w14:paraId="49DF6332" w14:textId="77777777" w:rsidTr="00A63BA8">
        <w:trPr>
          <w:cantSplit/>
        </w:trPr>
        <w:tc>
          <w:tcPr>
            <w:tcW w:w="1191" w:type="pct"/>
          </w:tcPr>
          <w:p w14:paraId="74930AB8" w14:textId="77777777" w:rsidR="002431A0" w:rsidRPr="00630129" w:rsidRDefault="002431A0" w:rsidP="002431A0">
            <w:pPr>
              <w:pStyle w:val="EndnoteText"/>
              <w:rPr>
                <w:sz w:val="22"/>
                <w:szCs w:val="22"/>
              </w:rPr>
            </w:pPr>
            <w:r w:rsidRPr="00630129">
              <w:rPr>
                <w:sz w:val="22"/>
                <w:szCs w:val="22"/>
              </w:rPr>
              <w:t>Profile Class Estimated Daily Consumption</w:t>
            </w:r>
          </w:p>
        </w:tc>
        <w:tc>
          <w:tcPr>
            <w:tcW w:w="1024" w:type="pct"/>
          </w:tcPr>
          <w:p w14:paraId="480F2E87" w14:textId="77777777" w:rsidR="002431A0" w:rsidRPr="00630129" w:rsidRDefault="002431A0" w:rsidP="002431A0">
            <w:pPr>
              <w:pStyle w:val="EndnoteText"/>
              <w:rPr>
                <w:sz w:val="22"/>
                <w:szCs w:val="22"/>
              </w:rPr>
            </w:pPr>
            <w:r w:rsidRPr="00630129">
              <w:rPr>
                <w:sz w:val="22"/>
                <w:szCs w:val="22"/>
              </w:rPr>
              <w:t>PCEDC</w:t>
            </w:r>
            <w:r w:rsidRPr="00630129">
              <w:rPr>
                <w:sz w:val="22"/>
                <w:szCs w:val="22"/>
                <w:vertAlign w:val="subscript"/>
              </w:rPr>
              <w:t>HPT</w:t>
            </w:r>
          </w:p>
        </w:tc>
        <w:tc>
          <w:tcPr>
            <w:tcW w:w="613" w:type="pct"/>
          </w:tcPr>
          <w:p w14:paraId="0978CA49" w14:textId="77777777" w:rsidR="002431A0" w:rsidRPr="00630129" w:rsidRDefault="002431A0" w:rsidP="002431A0">
            <w:pPr>
              <w:pStyle w:val="EndnoteText"/>
              <w:rPr>
                <w:sz w:val="22"/>
                <w:szCs w:val="22"/>
              </w:rPr>
            </w:pPr>
            <w:r w:rsidRPr="00630129">
              <w:rPr>
                <w:sz w:val="22"/>
                <w:szCs w:val="22"/>
              </w:rPr>
              <w:t>kWh</w:t>
            </w:r>
          </w:p>
        </w:tc>
        <w:tc>
          <w:tcPr>
            <w:tcW w:w="2171" w:type="pct"/>
          </w:tcPr>
          <w:p w14:paraId="79F512CE" w14:textId="77777777" w:rsidR="002431A0" w:rsidRPr="00630129" w:rsidRDefault="002431A0" w:rsidP="002431A0">
            <w:pPr>
              <w:pStyle w:val="Header"/>
              <w:tabs>
                <w:tab w:val="clear" w:pos="4153"/>
                <w:tab w:val="clear" w:pos="8306"/>
              </w:tabs>
              <w:rPr>
                <w:sz w:val="22"/>
                <w:szCs w:val="22"/>
              </w:rPr>
            </w:pPr>
            <w:r w:rsidRPr="00630129">
              <w:rPr>
                <w:sz w:val="22"/>
                <w:szCs w:val="22"/>
              </w:rPr>
              <w:t>The average Estimated Daily Consumption in respect of a GSP Group, Profile Class, Standard Settlement Configuration and Settlement Day determined pursuant to paragraph 5.1 of Annex S-2.</w:t>
            </w:r>
          </w:p>
        </w:tc>
      </w:tr>
      <w:tr w:rsidR="002431A0" w:rsidRPr="00630129" w14:paraId="3897FFEE" w14:textId="77777777" w:rsidTr="00A63BA8">
        <w:trPr>
          <w:cantSplit/>
        </w:trPr>
        <w:tc>
          <w:tcPr>
            <w:tcW w:w="1191" w:type="pct"/>
          </w:tcPr>
          <w:p w14:paraId="19ED4078" w14:textId="77777777" w:rsidR="002431A0" w:rsidRPr="00630129" w:rsidRDefault="002431A0" w:rsidP="002431A0">
            <w:pPr>
              <w:pStyle w:val="EndnoteText"/>
              <w:rPr>
                <w:sz w:val="22"/>
                <w:szCs w:val="22"/>
              </w:rPr>
            </w:pPr>
            <w:r w:rsidRPr="00630129">
              <w:rPr>
                <w:sz w:val="22"/>
                <w:szCs w:val="22"/>
              </w:rPr>
              <w:t>Quarterly Metering Systems by Supplier</w:t>
            </w:r>
          </w:p>
        </w:tc>
        <w:tc>
          <w:tcPr>
            <w:tcW w:w="1024" w:type="pct"/>
          </w:tcPr>
          <w:p w14:paraId="3DCF0420" w14:textId="77777777" w:rsidR="002431A0" w:rsidRPr="00630129" w:rsidRDefault="002431A0" w:rsidP="002431A0">
            <w:pPr>
              <w:pStyle w:val="EndnoteText"/>
              <w:rPr>
                <w:sz w:val="22"/>
                <w:szCs w:val="22"/>
              </w:rPr>
            </w:pPr>
            <w:proofErr w:type="spellStart"/>
            <w:r w:rsidRPr="00630129">
              <w:rPr>
                <w:sz w:val="22"/>
                <w:szCs w:val="22"/>
              </w:rPr>
              <w:t>NM</w:t>
            </w:r>
            <w:r w:rsidRPr="00630129">
              <w:rPr>
                <w:sz w:val="22"/>
                <w:szCs w:val="22"/>
                <w:vertAlign w:val="subscript"/>
              </w:rPr>
              <w:t>ZqG</w:t>
            </w:r>
            <w:proofErr w:type="spellEnd"/>
          </w:p>
        </w:tc>
        <w:tc>
          <w:tcPr>
            <w:tcW w:w="613" w:type="pct"/>
          </w:tcPr>
          <w:p w14:paraId="49DE12DF"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6786C748" w14:textId="77777777" w:rsidR="002431A0" w:rsidRPr="00630129" w:rsidRDefault="002431A0" w:rsidP="002431A0">
            <w:pPr>
              <w:pStyle w:val="Header"/>
              <w:tabs>
                <w:tab w:val="clear" w:pos="4153"/>
                <w:tab w:val="clear" w:pos="8306"/>
              </w:tabs>
              <w:rPr>
                <w:sz w:val="22"/>
                <w:szCs w:val="22"/>
              </w:rPr>
            </w:pPr>
            <w:r w:rsidRPr="00630129">
              <w:rPr>
                <w:sz w:val="22"/>
                <w:szCs w:val="22"/>
              </w:rPr>
              <w:t>The total number of Metering Systems attributed to a Supplier, averaged over a calendar quarter by Supplier Volume Reporting Group, determined pursuant to paragraph 9A.5 of Annex S-2.</w:t>
            </w:r>
          </w:p>
        </w:tc>
      </w:tr>
      <w:tr w:rsidR="002431A0" w:rsidRPr="00630129" w14:paraId="70208C02" w14:textId="77777777" w:rsidTr="00A63BA8">
        <w:trPr>
          <w:cantSplit/>
        </w:trPr>
        <w:tc>
          <w:tcPr>
            <w:tcW w:w="1191" w:type="pct"/>
          </w:tcPr>
          <w:p w14:paraId="3A422115" w14:textId="77777777" w:rsidR="002431A0" w:rsidRPr="00630129" w:rsidRDefault="002431A0" w:rsidP="002431A0">
            <w:pPr>
              <w:pStyle w:val="EndnoteText"/>
              <w:rPr>
                <w:sz w:val="22"/>
                <w:szCs w:val="22"/>
              </w:rPr>
            </w:pPr>
            <w:r w:rsidRPr="00630129">
              <w:rPr>
                <w:sz w:val="22"/>
                <w:szCs w:val="22"/>
              </w:rPr>
              <w:t>Quarterly Supplier Energy Volume</w:t>
            </w:r>
          </w:p>
        </w:tc>
        <w:tc>
          <w:tcPr>
            <w:tcW w:w="1024" w:type="pct"/>
          </w:tcPr>
          <w:p w14:paraId="15FBF162" w14:textId="77777777" w:rsidR="002431A0" w:rsidRPr="00630129" w:rsidRDefault="002431A0" w:rsidP="002431A0">
            <w:pPr>
              <w:pStyle w:val="EndnoteText"/>
              <w:rPr>
                <w:sz w:val="22"/>
                <w:szCs w:val="22"/>
              </w:rPr>
            </w:pPr>
            <w:proofErr w:type="spellStart"/>
            <w:r w:rsidRPr="00630129">
              <w:rPr>
                <w:sz w:val="22"/>
                <w:szCs w:val="22"/>
              </w:rPr>
              <w:t>CORC</w:t>
            </w:r>
            <w:r w:rsidRPr="00630129">
              <w:rPr>
                <w:sz w:val="22"/>
                <w:szCs w:val="22"/>
                <w:vertAlign w:val="subscript"/>
              </w:rPr>
              <w:t>ZqG</w:t>
            </w:r>
            <w:proofErr w:type="spellEnd"/>
          </w:p>
        </w:tc>
        <w:tc>
          <w:tcPr>
            <w:tcW w:w="613" w:type="pct"/>
          </w:tcPr>
          <w:p w14:paraId="7D67EC67" w14:textId="77777777" w:rsidR="002431A0" w:rsidRPr="00630129" w:rsidRDefault="002431A0" w:rsidP="002431A0">
            <w:pPr>
              <w:pStyle w:val="EndnoteText"/>
              <w:rPr>
                <w:sz w:val="22"/>
                <w:szCs w:val="22"/>
              </w:rPr>
            </w:pPr>
            <w:r w:rsidRPr="00630129">
              <w:rPr>
                <w:sz w:val="22"/>
                <w:szCs w:val="22"/>
              </w:rPr>
              <w:t>MWh</w:t>
            </w:r>
          </w:p>
        </w:tc>
        <w:tc>
          <w:tcPr>
            <w:tcW w:w="2171" w:type="pct"/>
          </w:tcPr>
          <w:p w14:paraId="16E52747" w14:textId="77777777" w:rsidR="002431A0" w:rsidRPr="00630129" w:rsidRDefault="002431A0" w:rsidP="002431A0">
            <w:pPr>
              <w:pStyle w:val="Header"/>
              <w:tabs>
                <w:tab w:val="clear" w:pos="4153"/>
                <w:tab w:val="clear" w:pos="8306"/>
              </w:tabs>
              <w:rPr>
                <w:sz w:val="22"/>
                <w:szCs w:val="22"/>
              </w:rPr>
            </w:pPr>
            <w:r w:rsidRPr="00630129">
              <w:rPr>
                <w:sz w:val="22"/>
                <w:szCs w:val="22"/>
              </w:rPr>
              <w:t>The total energy volume attributed to a Supplier, summed over a calendar quarter by Supplier Volume Reporting Group, determined pursuant to paragraph 9A.4 of Annex S-2.</w:t>
            </w:r>
          </w:p>
        </w:tc>
      </w:tr>
      <w:tr w:rsidR="002431A0" w:rsidRPr="00630129" w14:paraId="5EF334B8" w14:textId="77777777" w:rsidTr="00A63BA8">
        <w:trPr>
          <w:cantSplit/>
        </w:trPr>
        <w:tc>
          <w:tcPr>
            <w:tcW w:w="1191" w:type="pct"/>
          </w:tcPr>
          <w:p w14:paraId="2BA811ED" w14:textId="77777777" w:rsidR="002431A0" w:rsidRPr="00630129" w:rsidRDefault="002431A0" w:rsidP="002431A0">
            <w:pPr>
              <w:pStyle w:val="EndnoteText"/>
              <w:rPr>
                <w:sz w:val="22"/>
                <w:szCs w:val="22"/>
              </w:rPr>
            </w:pPr>
            <w:r w:rsidRPr="00630129">
              <w:rPr>
                <w:sz w:val="22"/>
                <w:szCs w:val="22"/>
              </w:rPr>
              <w:t>Regression Coefficients</w:t>
            </w:r>
          </w:p>
        </w:tc>
        <w:tc>
          <w:tcPr>
            <w:tcW w:w="1024" w:type="pct"/>
          </w:tcPr>
          <w:p w14:paraId="69C48BD5" w14:textId="77777777" w:rsidR="002431A0" w:rsidRPr="00630129" w:rsidRDefault="002431A0" w:rsidP="002431A0">
            <w:pPr>
              <w:pStyle w:val="EndnoteText"/>
              <w:rPr>
                <w:sz w:val="22"/>
                <w:szCs w:val="22"/>
              </w:rPr>
            </w:pPr>
            <w:r w:rsidRPr="00630129">
              <w:rPr>
                <w:sz w:val="22"/>
                <w:szCs w:val="22"/>
              </w:rPr>
              <w:t>RC</w:t>
            </w:r>
            <w:r w:rsidRPr="00630129">
              <w:rPr>
                <w:sz w:val="22"/>
                <w:szCs w:val="22"/>
                <w:vertAlign w:val="subscript"/>
              </w:rPr>
              <w:t>HQ(</w:t>
            </w:r>
            <w:proofErr w:type="spellStart"/>
            <w:r w:rsidRPr="00630129">
              <w:rPr>
                <w:sz w:val="22"/>
                <w:szCs w:val="22"/>
                <w:vertAlign w:val="subscript"/>
              </w:rPr>
              <w:t>nn</w:t>
            </w:r>
            <w:proofErr w:type="spellEnd"/>
            <w:r w:rsidRPr="00630129">
              <w:rPr>
                <w:sz w:val="22"/>
                <w:szCs w:val="22"/>
                <w:vertAlign w:val="subscript"/>
              </w:rPr>
              <w:t>)j</w:t>
            </w:r>
          </w:p>
        </w:tc>
        <w:tc>
          <w:tcPr>
            <w:tcW w:w="613" w:type="pct"/>
          </w:tcPr>
          <w:p w14:paraId="3435694F" w14:textId="77777777" w:rsidR="002431A0" w:rsidRPr="00630129" w:rsidRDefault="002431A0" w:rsidP="002431A0">
            <w:pPr>
              <w:pStyle w:val="EndnoteText"/>
              <w:rPr>
                <w:sz w:val="22"/>
                <w:szCs w:val="22"/>
              </w:rPr>
            </w:pPr>
            <w:r w:rsidRPr="00630129">
              <w:rPr>
                <w:sz w:val="22"/>
                <w:szCs w:val="22"/>
              </w:rPr>
              <w:t>Various</w:t>
            </w:r>
          </w:p>
        </w:tc>
        <w:tc>
          <w:tcPr>
            <w:tcW w:w="2171" w:type="pct"/>
          </w:tcPr>
          <w:p w14:paraId="0015CA01" w14:textId="77777777" w:rsidR="002431A0" w:rsidRPr="00630129" w:rsidRDefault="002431A0" w:rsidP="002431A0">
            <w:pPr>
              <w:pStyle w:val="EndnoteText"/>
              <w:rPr>
                <w:sz w:val="22"/>
                <w:szCs w:val="22"/>
              </w:rPr>
            </w:pPr>
            <w:r w:rsidRPr="00630129">
              <w:rPr>
                <w:sz w:val="22"/>
                <w:szCs w:val="22"/>
              </w:rPr>
              <w:t>A set of regression coefficients determined pursuant to paragraph 6.5 of Annex S-2.</w:t>
            </w:r>
          </w:p>
        </w:tc>
      </w:tr>
      <w:tr w:rsidR="002431A0" w:rsidRPr="00630129" w14:paraId="21EC6FD7" w14:textId="77777777" w:rsidTr="00A63BA8">
        <w:trPr>
          <w:cantSplit/>
        </w:trPr>
        <w:tc>
          <w:tcPr>
            <w:tcW w:w="1191" w:type="pct"/>
          </w:tcPr>
          <w:p w14:paraId="333A6511" w14:textId="77777777" w:rsidR="002431A0" w:rsidRPr="00630129" w:rsidRDefault="002431A0" w:rsidP="002431A0">
            <w:pPr>
              <w:rPr>
                <w:sz w:val="22"/>
                <w:szCs w:val="22"/>
              </w:rPr>
            </w:pPr>
            <w:r w:rsidRPr="00630129">
              <w:rPr>
                <w:sz w:val="22"/>
                <w:szCs w:val="22"/>
              </w:rPr>
              <w:t>Replica Settlement Day</w:t>
            </w:r>
          </w:p>
        </w:tc>
        <w:tc>
          <w:tcPr>
            <w:tcW w:w="1024" w:type="pct"/>
          </w:tcPr>
          <w:p w14:paraId="624405B4" w14:textId="77777777" w:rsidR="002431A0" w:rsidRPr="00630129" w:rsidRDefault="002431A0" w:rsidP="002431A0">
            <w:pPr>
              <w:rPr>
                <w:sz w:val="22"/>
                <w:szCs w:val="22"/>
              </w:rPr>
            </w:pPr>
          </w:p>
        </w:tc>
        <w:tc>
          <w:tcPr>
            <w:tcW w:w="613" w:type="pct"/>
          </w:tcPr>
          <w:p w14:paraId="669BC3FF" w14:textId="77777777" w:rsidR="002431A0" w:rsidRPr="00630129" w:rsidRDefault="002431A0" w:rsidP="002431A0">
            <w:pPr>
              <w:rPr>
                <w:sz w:val="22"/>
                <w:szCs w:val="22"/>
              </w:rPr>
            </w:pPr>
          </w:p>
        </w:tc>
        <w:tc>
          <w:tcPr>
            <w:tcW w:w="2171" w:type="pct"/>
          </w:tcPr>
          <w:p w14:paraId="00BB0647" w14:textId="77777777" w:rsidR="002431A0" w:rsidRPr="00630129" w:rsidRDefault="002431A0" w:rsidP="002431A0">
            <w:pPr>
              <w:rPr>
                <w:sz w:val="22"/>
                <w:szCs w:val="22"/>
              </w:rPr>
            </w:pPr>
            <w:r w:rsidRPr="00630129">
              <w:rPr>
                <w:sz w:val="22"/>
                <w:szCs w:val="22"/>
              </w:rPr>
              <w:t>In relation to a Settlement Day, a Settlement Day having the same attributes as that Settlement Day including any Clock Change.</w:t>
            </w:r>
          </w:p>
        </w:tc>
      </w:tr>
      <w:tr w:rsidR="002431A0" w:rsidRPr="00630129" w14:paraId="691B59C4" w14:textId="77777777" w:rsidTr="00A63BA8">
        <w:trPr>
          <w:cantSplit/>
        </w:trPr>
        <w:tc>
          <w:tcPr>
            <w:tcW w:w="1191" w:type="pct"/>
          </w:tcPr>
          <w:p w14:paraId="068B5EBB" w14:textId="77777777" w:rsidR="002431A0" w:rsidRPr="00630129" w:rsidRDefault="002431A0" w:rsidP="002431A0">
            <w:pPr>
              <w:rPr>
                <w:sz w:val="22"/>
                <w:szCs w:val="22"/>
              </w:rPr>
            </w:pPr>
            <w:r w:rsidRPr="00630129">
              <w:rPr>
                <w:sz w:val="22"/>
                <w:szCs w:val="22"/>
              </w:rPr>
              <w:lastRenderedPageBreak/>
              <w:t>Rounded-Down Duration</w:t>
            </w:r>
          </w:p>
        </w:tc>
        <w:tc>
          <w:tcPr>
            <w:tcW w:w="1024" w:type="pct"/>
          </w:tcPr>
          <w:p w14:paraId="2BBDDFD3" w14:textId="77777777" w:rsidR="002431A0" w:rsidRPr="00630129" w:rsidRDefault="002431A0" w:rsidP="002431A0">
            <w:pPr>
              <w:rPr>
                <w:sz w:val="22"/>
                <w:szCs w:val="22"/>
              </w:rPr>
            </w:pPr>
            <w:r w:rsidRPr="00630129">
              <w:rPr>
                <w:sz w:val="22"/>
                <w:szCs w:val="22"/>
              </w:rPr>
              <w:t>RDD</w:t>
            </w:r>
            <w:r w:rsidRPr="00630129">
              <w:rPr>
                <w:sz w:val="22"/>
                <w:szCs w:val="22"/>
                <w:vertAlign w:val="subscript"/>
              </w:rPr>
              <w:t>R(</w:t>
            </w:r>
            <w:proofErr w:type="spellStart"/>
            <w:r w:rsidRPr="00630129">
              <w:rPr>
                <w:sz w:val="22"/>
                <w:szCs w:val="22"/>
                <w:vertAlign w:val="subscript"/>
              </w:rPr>
              <w:t>ai</w:t>
            </w:r>
            <w:proofErr w:type="spellEnd"/>
            <w:r w:rsidRPr="00630129">
              <w:rPr>
                <w:sz w:val="22"/>
                <w:szCs w:val="22"/>
                <w:vertAlign w:val="subscript"/>
              </w:rPr>
              <w:t>)</w:t>
            </w:r>
          </w:p>
        </w:tc>
        <w:tc>
          <w:tcPr>
            <w:tcW w:w="613" w:type="pct"/>
          </w:tcPr>
          <w:p w14:paraId="2E40601B" w14:textId="77777777" w:rsidR="002431A0" w:rsidRPr="00630129" w:rsidRDefault="002431A0" w:rsidP="002431A0">
            <w:pPr>
              <w:rPr>
                <w:sz w:val="22"/>
                <w:szCs w:val="22"/>
              </w:rPr>
            </w:pPr>
            <w:r w:rsidRPr="00630129">
              <w:rPr>
                <w:sz w:val="22"/>
                <w:szCs w:val="22"/>
              </w:rPr>
              <w:t>minutes</w:t>
            </w:r>
          </w:p>
        </w:tc>
        <w:tc>
          <w:tcPr>
            <w:tcW w:w="2171" w:type="pct"/>
          </w:tcPr>
          <w:p w14:paraId="76B3C1B6" w14:textId="77777777" w:rsidR="002431A0" w:rsidRPr="00630129" w:rsidRDefault="002431A0" w:rsidP="002431A0">
            <w:pPr>
              <w:rPr>
                <w:sz w:val="22"/>
                <w:szCs w:val="22"/>
              </w:rPr>
            </w:pPr>
            <w:r w:rsidRPr="00630129">
              <w:rPr>
                <w:sz w:val="22"/>
                <w:szCs w:val="22"/>
              </w:rPr>
              <w:t>The duration of a period employed in the rounding of Time Pattern Regime data and determined pursuant to paragraph 6.4 of Annex S-2.</w:t>
            </w:r>
          </w:p>
        </w:tc>
      </w:tr>
      <w:tr w:rsidR="002431A0" w:rsidRPr="00630129" w14:paraId="10C53909" w14:textId="77777777" w:rsidTr="00A63BA8">
        <w:trPr>
          <w:cantSplit/>
        </w:trPr>
        <w:tc>
          <w:tcPr>
            <w:tcW w:w="1191" w:type="pct"/>
          </w:tcPr>
          <w:p w14:paraId="594F92FC" w14:textId="77777777" w:rsidR="002431A0" w:rsidRPr="00630129" w:rsidRDefault="002431A0" w:rsidP="002431A0">
            <w:pPr>
              <w:rPr>
                <w:sz w:val="22"/>
                <w:szCs w:val="22"/>
              </w:rPr>
            </w:pPr>
            <w:r w:rsidRPr="00630129">
              <w:rPr>
                <w:sz w:val="22"/>
                <w:szCs w:val="22"/>
              </w:rPr>
              <w:t>Rounded-Down Spot Time</w:t>
            </w:r>
          </w:p>
        </w:tc>
        <w:tc>
          <w:tcPr>
            <w:tcW w:w="1024" w:type="pct"/>
          </w:tcPr>
          <w:p w14:paraId="5CC6C522" w14:textId="77777777" w:rsidR="002431A0" w:rsidRPr="00630129" w:rsidRDefault="002431A0" w:rsidP="002431A0">
            <w:pPr>
              <w:rPr>
                <w:sz w:val="22"/>
                <w:szCs w:val="22"/>
              </w:rPr>
            </w:pPr>
          </w:p>
        </w:tc>
        <w:tc>
          <w:tcPr>
            <w:tcW w:w="613" w:type="pct"/>
          </w:tcPr>
          <w:p w14:paraId="50857F4B" w14:textId="77777777" w:rsidR="002431A0" w:rsidRPr="00630129" w:rsidRDefault="002431A0" w:rsidP="002431A0">
            <w:pPr>
              <w:rPr>
                <w:sz w:val="22"/>
                <w:szCs w:val="22"/>
              </w:rPr>
            </w:pPr>
          </w:p>
        </w:tc>
        <w:tc>
          <w:tcPr>
            <w:tcW w:w="2171" w:type="pct"/>
          </w:tcPr>
          <w:p w14:paraId="2C714733" w14:textId="77777777" w:rsidR="002431A0" w:rsidRPr="00630129" w:rsidRDefault="002431A0" w:rsidP="002431A0">
            <w:pPr>
              <w:rPr>
                <w:sz w:val="22"/>
                <w:szCs w:val="22"/>
              </w:rPr>
            </w:pPr>
            <w:r w:rsidRPr="00630129">
              <w:rPr>
                <w:sz w:val="22"/>
                <w:szCs w:val="22"/>
              </w:rPr>
              <w:t>A spot time associated with a combination of Time Pattern Regimes and Standard Settlement Configuration employed in the rounding of Time Pattern Regime data and determined pursuant to paragraph 6.4 of Annex S-2.</w:t>
            </w:r>
          </w:p>
        </w:tc>
      </w:tr>
      <w:tr w:rsidR="002431A0" w:rsidRPr="00630129" w14:paraId="48F75950" w14:textId="77777777" w:rsidTr="00A63BA8">
        <w:trPr>
          <w:cantSplit/>
        </w:trPr>
        <w:tc>
          <w:tcPr>
            <w:tcW w:w="1191" w:type="pct"/>
          </w:tcPr>
          <w:p w14:paraId="7929C903" w14:textId="77777777" w:rsidR="002431A0" w:rsidRPr="00630129" w:rsidRDefault="002431A0" w:rsidP="002431A0">
            <w:pPr>
              <w:rPr>
                <w:sz w:val="22"/>
                <w:szCs w:val="22"/>
              </w:rPr>
            </w:pPr>
            <w:r w:rsidRPr="00630129">
              <w:rPr>
                <w:sz w:val="22"/>
                <w:szCs w:val="22"/>
              </w:rPr>
              <w:t>Rounded-Up Duration</w:t>
            </w:r>
          </w:p>
        </w:tc>
        <w:tc>
          <w:tcPr>
            <w:tcW w:w="1024" w:type="pct"/>
          </w:tcPr>
          <w:p w14:paraId="53116183" w14:textId="77777777" w:rsidR="002431A0" w:rsidRPr="00630129" w:rsidRDefault="002431A0" w:rsidP="002431A0">
            <w:pPr>
              <w:rPr>
                <w:sz w:val="22"/>
                <w:szCs w:val="22"/>
              </w:rPr>
            </w:pPr>
            <w:r w:rsidRPr="00630129">
              <w:rPr>
                <w:sz w:val="22"/>
                <w:szCs w:val="22"/>
              </w:rPr>
              <w:t>RUD</w:t>
            </w:r>
            <w:r w:rsidRPr="00630129">
              <w:rPr>
                <w:sz w:val="22"/>
                <w:szCs w:val="22"/>
                <w:vertAlign w:val="subscript"/>
              </w:rPr>
              <w:t>R(</w:t>
            </w:r>
            <w:proofErr w:type="spellStart"/>
            <w:r w:rsidRPr="00630129">
              <w:rPr>
                <w:sz w:val="22"/>
                <w:szCs w:val="22"/>
                <w:vertAlign w:val="subscript"/>
              </w:rPr>
              <w:t>ai</w:t>
            </w:r>
            <w:proofErr w:type="spellEnd"/>
            <w:r w:rsidRPr="00630129">
              <w:rPr>
                <w:sz w:val="22"/>
                <w:szCs w:val="22"/>
                <w:vertAlign w:val="subscript"/>
              </w:rPr>
              <w:t>)</w:t>
            </w:r>
          </w:p>
        </w:tc>
        <w:tc>
          <w:tcPr>
            <w:tcW w:w="613" w:type="pct"/>
          </w:tcPr>
          <w:p w14:paraId="5CD6CE4E" w14:textId="77777777" w:rsidR="002431A0" w:rsidRPr="00630129" w:rsidRDefault="002431A0" w:rsidP="002431A0">
            <w:pPr>
              <w:rPr>
                <w:sz w:val="22"/>
                <w:szCs w:val="22"/>
              </w:rPr>
            </w:pPr>
            <w:r w:rsidRPr="00630129">
              <w:rPr>
                <w:sz w:val="22"/>
                <w:szCs w:val="22"/>
              </w:rPr>
              <w:t>minutes</w:t>
            </w:r>
          </w:p>
        </w:tc>
        <w:tc>
          <w:tcPr>
            <w:tcW w:w="2171" w:type="pct"/>
          </w:tcPr>
          <w:p w14:paraId="37B57FDF" w14:textId="77777777" w:rsidR="002431A0" w:rsidRPr="00630129" w:rsidRDefault="002431A0" w:rsidP="002431A0">
            <w:pPr>
              <w:rPr>
                <w:sz w:val="22"/>
                <w:szCs w:val="22"/>
              </w:rPr>
            </w:pPr>
            <w:r w:rsidRPr="00630129">
              <w:rPr>
                <w:sz w:val="22"/>
                <w:szCs w:val="22"/>
              </w:rPr>
              <w:t>The duration of a period employed in the rounding of Time Pattern Regime data and determined pursuant to paragraph 6.4 of Annex S-2.</w:t>
            </w:r>
          </w:p>
        </w:tc>
      </w:tr>
      <w:tr w:rsidR="002431A0" w:rsidRPr="00630129" w14:paraId="2D5E3DB8" w14:textId="77777777" w:rsidTr="00A63BA8">
        <w:trPr>
          <w:cantSplit/>
        </w:trPr>
        <w:tc>
          <w:tcPr>
            <w:tcW w:w="1191" w:type="pct"/>
          </w:tcPr>
          <w:p w14:paraId="542A40F5" w14:textId="77777777" w:rsidR="002431A0" w:rsidRPr="00630129" w:rsidRDefault="002431A0" w:rsidP="002431A0">
            <w:pPr>
              <w:rPr>
                <w:sz w:val="22"/>
                <w:szCs w:val="22"/>
              </w:rPr>
            </w:pPr>
            <w:r w:rsidRPr="00630129">
              <w:rPr>
                <w:sz w:val="22"/>
                <w:szCs w:val="22"/>
              </w:rPr>
              <w:t>Rounded-Up Spot Time</w:t>
            </w:r>
          </w:p>
        </w:tc>
        <w:tc>
          <w:tcPr>
            <w:tcW w:w="1024" w:type="pct"/>
          </w:tcPr>
          <w:p w14:paraId="740ACA3F" w14:textId="77777777" w:rsidR="002431A0" w:rsidRPr="00630129" w:rsidRDefault="002431A0" w:rsidP="002431A0">
            <w:pPr>
              <w:rPr>
                <w:sz w:val="22"/>
                <w:szCs w:val="22"/>
              </w:rPr>
            </w:pPr>
          </w:p>
        </w:tc>
        <w:tc>
          <w:tcPr>
            <w:tcW w:w="613" w:type="pct"/>
          </w:tcPr>
          <w:p w14:paraId="5CFDCB85" w14:textId="77777777" w:rsidR="002431A0" w:rsidRPr="00630129" w:rsidRDefault="002431A0" w:rsidP="002431A0">
            <w:pPr>
              <w:rPr>
                <w:sz w:val="22"/>
                <w:szCs w:val="22"/>
              </w:rPr>
            </w:pPr>
          </w:p>
        </w:tc>
        <w:tc>
          <w:tcPr>
            <w:tcW w:w="2171" w:type="pct"/>
          </w:tcPr>
          <w:p w14:paraId="0F75983E" w14:textId="77777777" w:rsidR="002431A0" w:rsidRPr="00630129" w:rsidRDefault="002431A0" w:rsidP="002431A0">
            <w:pPr>
              <w:rPr>
                <w:sz w:val="22"/>
                <w:szCs w:val="22"/>
              </w:rPr>
            </w:pPr>
            <w:r w:rsidRPr="00630129">
              <w:rPr>
                <w:sz w:val="22"/>
                <w:szCs w:val="22"/>
              </w:rPr>
              <w:t>A spot time associated with a combination of Time Pattern Regimes and Standard Settlement Configuration employed in the rounding of Time Pattern Regime data and determined pursuant to paragraph 6.4 of Annex S-2.</w:t>
            </w:r>
          </w:p>
        </w:tc>
      </w:tr>
      <w:tr w:rsidR="002431A0" w:rsidRPr="00630129" w14:paraId="6260DE5E" w14:textId="77777777" w:rsidTr="00A63BA8">
        <w:trPr>
          <w:cantSplit/>
        </w:trPr>
        <w:tc>
          <w:tcPr>
            <w:tcW w:w="1191" w:type="pct"/>
          </w:tcPr>
          <w:p w14:paraId="1372825B" w14:textId="77777777" w:rsidR="002431A0" w:rsidRPr="00630129" w:rsidRDefault="002431A0" w:rsidP="002431A0">
            <w:pPr>
              <w:rPr>
                <w:sz w:val="22"/>
                <w:szCs w:val="22"/>
              </w:rPr>
            </w:pPr>
            <w:r w:rsidRPr="00630129">
              <w:rPr>
                <w:sz w:val="22"/>
                <w:szCs w:val="22"/>
              </w:rPr>
              <w:t>Secondary BM Unit Delivered Volume</w:t>
            </w:r>
          </w:p>
        </w:tc>
        <w:tc>
          <w:tcPr>
            <w:tcW w:w="1024" w:type="pct"/>
          </w:tcPr>
          <w:p w14:paraId="2AFF8D9D" w14:textId="77777777" w:rsidR="002431A0" w:rsidRPr="00630129" w:rsidRDefault="002431A0" w:rsidP="002431A0">
            <w:pPr>
              <w:rPr>
                <w:sz w:val="22"/>
                <w:szCs w:val="22"/>
              </w:rPr>
            </w:pPr>
            <w:r w:rsidRPr="00630129">
              <w:rPr>
                <w:sz w:val="22"/>
                <w:szCs w:val="22"/>
              </w:rPr>
              <w:t>QVBMD</w:t>
            </w:r>
            <w:r w:rsidRPr="00630129">
              <w:rPr>
                <w:sz w:val="22"/>
                <w:szCs w:val="22"/>
                <w:vertAlign w:val="subscript"/>
              </w:rPr>
              <w:t>i2NLKji</w:t>
            </w:r>
          </w:p>
        </w:tc>
        <w:tc>
          <w:tcPr>
            <w:tcW w:w="613" w:type="pct"/>
          </w:tcPr>
          <w:p w14:paraId="28E88E7D" w14:textId="77777777" w:rsidR="002431A0" w:rsidRPr="00630129" w:rsidRDefault="002431A0" w:rsidP="002431A0">
            <w:pPr>
              <w:rPr>
                <w:sz w:val="22"/>
                <w:szCs w:val="22"/>
              </w:rPr>
            </w:pPr>
            <w:r w:rsidRPr="00630129">
              <w:rPr>
                <w:sz w:val="22"/>
                <w:szCs w:val="22"/>
              </w:rPr>
              <w:t>MWh</w:t>
            </w:r>
          </w:p>
        </w:tc>
        <w:tc>
          <w:tcPr>
            <w:tcW w:w="2171" w:type="pct"/>
          </w:tcPr>
          <w:p w14:paraId="7CAF0BB3" w14:textId="77777777" w:rsidR="002431A0" w:rsidRPr="00630129" w:rsidRDefault="002431A0" w:rsidP="002431A0">
            <w:pPr>
              <w:rPr>
                <w:sz w:val="22"/>
                <w:szCs w:val="22"/>
              </w:rPr>
            </w:pPr>
            <w:r w:rsidRPr="00630129">
              <w:rPr>
                <w:sz w:val="22"/>
                <w:szCs w:val="22"/>
              </w:rPr>
              <w:t>The quantity determined in accordance with 7.1.1D Annex S-2.</w:t>
            </w:r>
          </w:p>
        </w:tc>
      </w:tr>
      <w:tr w:rsidR="002431A0" w:rsidRPr="00630129" w14:paraId="5A4C1BAD" w14:textId="77777777" w:rsidTr="00A63BA8">
        <w:trPr>
          <w:cantSplit/>
        </w:trPr>
        <w:tc>
          <w:tcPr>
            <w:tcW w:w="1191" w:type="pct"/>
          </w:tcPr>
          <w:p w14:paraId="393F9E3B" w14:textId="77777777" w:rsidR="002431A0" w:rsidRPr="00630129" w:rsidRDefault="002431A0" w:rsidP="002431A0">
            <w:pPr>
              <w:rPr>
                <w:sz w:val="22"/>
                <w:szCs w:val="22"/>
              </w:rPr>
            </w:pPr>
            <w:r w:rsidRPr="00630129">
              <w:rPr>
                <w:sz w:val="22"/>
                <w:szCs w:val="22"/>
              </w:rPr>
              <w:t>Secondary BM Unit Demand Volume</w:t>
            </w:r>
          </w:p>
        </w:tc>
        <w:tc>
          <w:tcPr>
            <w:tcW w:w="1024" w:type="pct"/>
          </w:tcPr>
          <w:p w14:paraId="58A60E5B" w14:textId="77777777" w:rsidR="002431A0" w:rsidRPr="00630129" w:rsidRDefault="002431A0" w:rsidP="002431A0">
            <w:pPr>
              <w:rPr>
                <w:sz w:val="22"/>
                <w:szCs w:val="22"/>
              </w:rPr>
            </w:pPr>
            <w:r w:rsidRPr="00630129">
              <w:rPr>
                <w:sz w:val="22"/>
                <w:szCs w:val="22"/>
              </w:rPr>
              <w:t>VBMUDV</w:t>
            </w:r>
            <w:r w:rsidRPr="00630129">
              <w:rPr>
                <w:sz w:val="22"/>
                <w:szCs w:val="22"/>
                <w:vertAlign w:val="subscript"/>
              </w:rPr>
              <w:t>i2j</w:t>
            </w:r>
          </w:p>
        </w:tc>
        <w:tc>
          <w:tcPr>
            <w:tcW w:w="613" w:type="pct"/>
          </w:tcPr>
          <w:p w14:paraId="7581997D" w14:textId="77777777" w:rsidR="002431A0" w:rsidRPr="00630129" w:rsidRDefault="002431A0" w:rsidP="002431A0">
            <w:pPr>
              <w:rPr>
                <w:sz w:val="22"/>
                <w:szCs w:val="22"/>
              </w:rPr>
            </w:pPr>
            <w:r w:rsidRPr="00630129">
              <w:rPr>
                <w:sz w:val="22"/>
                <w:szCs w:val="22"/>
              </w:rPr>
              <w:t>MWh</w:t>
            </w:r>
          </w:p>
        </w:tc>
        <w:tc>
          <w:tcPr>
            <w:tcW w:w="2171" w:type="pct"/>
          </w:tcPr>
          <w:p w14:paraId="07EA47DA" w14:textId="77777777" w:rsidR="002431A0" w:rsidRPr="00630129" w:rsidRDefault="002431A0" w:rsidP="002431A0">
            <w:pPr>
              <w:spacing w:after="120"/>
              <w:rPr>
                <w:sz w:val="22"/>
                <w:szCs w:val="22"/>
              </w:rPr>
            </w:pPr>
            <w:r w:rsidRPr="00630129">
              <w:rPr>
                <w:sz w:val="22"/>
                <w:szCs w:val="22"/>
              </w:rPr>
              <w:t>The quantity is determined in accordance with 9.6.1B Annex S-2.</w:t>
            </w:r>
          </w:p>
          <w:p w14:paraId="41D317FD" w14:textId="77777777" w:rsidR="002431A0" w:rsidRPr="00630129" w:rsidRDefault="002431A0" w:rsidP="002431A0">
            <w:pPr>
              <w:rPr>
                <w:sz w:val="22"/>
                <w:szCs w:val="22"/>
              </w:rPr>
            </w:pPr>
            <w:r w:rsidRPr="00630129">
              <w:rPr>
                <w:i/>
                <w:sz w:val="22"/>
                <w:szCs w:val="22"/>
              </w:rPr>
              <w:t>The energy volume per Settlement Period for a Secondary BM Unit.</w:t>
            </w:r>
          </w:p>
        </w:tc>
      </w:tr>
      <w:tr w:rsidR="002431A0" w:rsidRPr="00630129" w14:paraId="6A8B9575" w14:textId="77777777" w:rsidTr="00A63BA8">
        <w:trPr>
          <w:cantSplit/>
        </w:trPr>
        <w:tc>
          <w:tcPr>
            <w:tcW w:w="1191" w:type="pct"/>
          </w:tcPr>
          <w:p w14:paraId="34CEA2BA" w14:textId="77777777" w:rsidR="002431A0" w:rsidRPr="00630129" w:rsidRDefault="002431A0" w:rsidP="002431A0">
            <w:pPr>
              <w:rPr>
                <w:sz w:val="22"/>
                <w:szCs w:val="22"/>
              </w:rPr>
            </w:pPr>
            <w:r w:rsidRPr="00630129">
              <w:rPr>
                <w:sz w:val="22"/>
                <w:szCs w:val="22"/>
              </w:rPr>
              <w:t>Secondary BM Unit Metered Consumption</w:t>
            </w:r>
          </w:p>
        </w:tc>
        <w:tc>
          <w:tcPr>
            <w:tcW w:w="1024" w:type="pct"/>
          </w:tcPr>
          <w:p w14:paraId="76457C1B" w14:textId="77777777" w:rsidR="002431A0" w:rsidRPr="00630129" w:rsidRDefault="002431A0" w:rsidP="002431A0">
            <w:pPr>
              <w:rPr>
                <w:sz w:val="22"/>
                <w:szCs w:val="22"/>
              </w:rPr>
            </w:pPr>
            <w:r w:rsidRPr="00630129">
              <w:rPr>
                <w:sz w:val="22"/>
                <w:szCs w:val="22"/>
              </w:rPr>
              <w:t>VBMMC</w:t>
            </w:r>
            <w:r w:rsidRPr="00630129">
              <w:rPr>
                <w:sz w:val="22"/>
                <w:szCs w:val="22"/>
                <w:vertAlign w:val="subscript"/>
              </w:rPr>
              <w:t>i2aNLKji</w:t>
            </w:r>
          </w:p>
        </w:tc>
        <w:tc>
          <w:tcPr>
            <w:tcW w:w="613" w:type="pct"/>
          </w:tcPr>
          <w:p w14:paraId="62B6FD09" w14:textId="77777777" w:rsidR="002431A0" w:rsidRPr="00630129" w:rsidRDefault="002431A0" w:rsidP="002431A0">
            <w:pPr>
              <w:rPr>
                <w:sz w:val="22"/>
                <w:szCs w:val="22"/>
              </w:rPr>
            </w:pPr>
            <w:r w:rsidRPr="00630129">
              <w:rPr>
                <w:sz w:val="22"/>
                <w:szCs w:val="22"/>
              </w:rPr>
              <w:t>MWh</w:t>
            </w:r>
          </w:p>
        </w:tc>
        <w:tc>
          <w:tcPr>
            <w:tcW w:w="2171" w:type="pct"/>
          </w:tcPr>
          <w:p w14:paraId="21162B65" w14:textId="77777777" w:rsidR="002431A0" w:rsidRPr="00630129" w:rsidRDefault="002431A0" w:rsidP="002431A0">
            <w:pPr>
              <w:rPr>
                <w:sz w:val="22"/>
                <w:szCs w:val="22"/>
              </w:rPr>
            </w:pPr>
            <w:r w:rsidRPr="00630129">
              <w:rPr>
                <w:sz w:val="22"/>
                <w:szCs w:val="22"/>
              </w:rPr>
              <w:t>The Secondary BM Unit half hourly metered Consumption, determined by the SVAA pursuant to paragraph 7.1.1C of Annex S-2.</w:t>
            </w:r>
          </w:p>
        </w:tc>
      </w:tr>
      <w:tr w:rsidR="002431A0" w:rsidRPr="00630129" w14:paraId="5CE7A67D" w14:textId="77777777" w:rsidTr="00A63BA8">
        <w:trPr>
          <w:cantSplit/>
        </w:trPr>
        <w:tc>
          <w:tcPr>
            <w:tcW w:w="1191" w:type="pct"/>
          </w:tcPr>
          <w:p w14:paraId="07F1AC8F" w14:textId="77777777" w:rsidR="002431A0" w:rsidRPr="00630129" w:rsidRDefault="002431A0" w:rsidP="002431A0">
            <w:pPr>
              <w:rPr>
                <w:sz w:val="22"/>
                <w:szCs w:val="22"/>
              </w:rPr>
            </w:pPr>
            <w:r w:rsidRPr="00630129">
              <w:rPr>
                <w:sz w:val="22"/>
                <w:szCs w:val="22"/>
              </w:rPr>
              <w:t>Secondary BM Unit Supplier Delivered Volume</w:t>
            </w:r>
          </w:p>
        </w:tc>
        <w:tc>
          <w:tcPr>
            <w:tcW w:w="1024" w:type="pct"/>
          </w:tcPr>
          <w:p w14:paraId="5D759183" w14:textId="77777777" w:rsidR="002431A0" w:rsidRPr="00630129" w:rsidRDefault="002431A0" w:rsidP="002431A0">
            <w:pPr>
              <w:rPr>
                <w:sz w:val="22"/>
                <w:szCs w:val="22"/>
              </w:rPr>
            </w:pPr>
            <w:r w:rsidRPr="00630129">
              <w:rPr>
                <w:sz w:val="22"/>
                <w:szCs w:val="22"/>
              </w:rPr>
              <w:t>VBMUSDV</w:t>
            </w:r>
            <w:r w:rsidRPr="00630129">
              <w:rPr>
                <w:sz w:val="22"/>
                <w:szCs w:val="22"/>
                <w:vertAlign w:val="subscript"/>
              </w:rPr>
              <w:t>i2ji</w:t>
            </w:r>
          </w:p>
        </w:tc>
        <w:tc>
          <w:tcPr>
            <w:tcW w:w="613" w:type="pct"/>
          </w:tcPr>
          <w:p w14:paraId="025C24D6" w14:textId="77777777" w:rsidR="002431A0" w:rsidRPr="00630129" w:rsidRDefault="002431A0" w:rsidP="002431A0">
            <w:pPr>
              <w:rPr>
                <w:sz w:val="22"/>
                <w:szCs w:val="22"/>
              </w:rPr>
            </w:pPr>
            <w:r w:rsidRPr="00630129">
              <w:rPr>
                <w:sz w:val="22"/>
                <w:szCs w:val="22"/>
              </w:rPr>
              <w:t>MWh</w:t>
            </w:r>
          </w:p>
        </w:tc>
        <w:tc>
          <w:tcPr>
            <w:tcW w:w="2171" w:type="pct"/>
          </w:tcPr>
          <w:p w14:paraId="23FDDBD8" w14:textId="77777777" w:rsidR="002431A0" w:rsidRPr="00630129" w:rsidRDefault="002431A0" w:rsidP="002431A0">
            <w:pPr>
              <w:rPr>
                <w:sz w:val="22"/>
                <w:szCs w:val="22"/>
              </w:rPr>
            </w:pPr>
            <w:r w:rsidRPr="00630129">
              <w:rPr>
                <w:sz w:val="22"/>
                <w:szCs w:val="22"/>
              </w:rPr>
              <w:t>The Secondary BM Unit half hourly Supplier Delivered Volumes determined by the SVAA pursuant to paragraph 9.6.1C of Annex S-2.</w:t>
            </w:r>
          </w:p>
        </w:tc>
      </w:tr>
      <w:tr w:rsidR="002431A0" w:rsidRPr="00630129" w14:paraId="3BD8917A" w14:textId="77777777" w:rsidTr="00A63BA8">
        <w:trPr>
          <w:cantSplit/>
        </w:trPr>
        <w:tc>
          <w:tcPr>
            <w:tcW w:w="1191" w:type="pct"/>
          </w:tcPr>
          <w:p w14:paraId="3DEB0305" w14:textId="77777777" w:rsidR="002431A0" w:rsidRPr="00630129" w:rsidRDefault="002431A0" w:rsidP="002431A0">
            <w:pPr>
              <w:rPr>
                <w:sz w:val="22"/>
                <w:szCs w:val="22"/>
              </w:rPr>
            </w:pPr>
            <w:r w:rsidRPr="00630129">
              <w:rPr>
                <w:sz w:val="22"/>
                <w:szCs w:val="22"/>
              </w:rPr>
              <w:t xml:space="preserve">Secondary Corrected Component </w:t>
            </w:r>
          </w:p>
        </w:tc>
        <w:tc>
          <w:tcPr>
            <w:tcW w:w="1024" w:type="pct"/>
          </w:tcPr>
          <w:p w14:paraId="7BDFA916" w14:textId="77777777" w:rsidR="002431A0" w:rsidRPr="00630129" w:rsidRDefault="002431A0" w:rsidP="002431A0">
            <w:pPr>
              <w:rPr>
                <w:sz w:val="22"/>
                <w:szCs w:val="22"/>
              </w:rPr>
            </w:pPr>
            <w:r w:rsidRPr="00630129">
              <w:rPr>
                <w:sz w:val="22"/>
                <w:szCs w:val="22"/>
              </w:rPr>
              <w:t>VCORC</w:t>
            </w:r>
            <w:r w:rsidRPr="00630129">
              <w:rPr>
                <w:sz w:val="22"/>
                <w:szCs w:val="22"/>
                <w:vertAlign w:val="subscript"/>
              </w:rPr>
              <w:t>i2Nj</w:t>
            </w:r>
          </w:p>
        </w:tc>
        <w:tc>
          <w:tcPr>
            <w:tcW w:w="613" w:type="pct"/>
          </w:tcPr>
          <w:p w14:paraId="4E669BC4" w14:textId="77777777" w:rsidR="002431A0" w:rsidRPr="00630129" w:rsidRDefault="002431A0" w:rsidP="002431A0">
            <w:pPr>
              <w:rPr>
                <w:sz w:val="22"/>
                <w:szCs w:val="22"/>
              </w:rPr>
            </w:pPr>
            <w:r w:rsidRPr="00630129">
              <w:rPr>
                <w:sz w:val="22"/>
                <w:szCs w:val="22"/>
              </w:rPr>
              <w:t>MWh</w:t>
            </w:r>
          </w:p>
        </w:tc>
        <w:tc>
          <w:tcPr>
            <w:tcW w:w="2171" w:type="pct"/>
          </w:tcPr>
          <w:p w14:paraId="517281E6" w14:textId="77777777" w:rsidR="002431A0" w:rsidRPr="00630129" w:rsidRDefault="002431A0" w:rsidP="002431A0">
            <w:pPr>
              <w:spacing w:after="120"/>
              <w:rPr>
                <w:sz w:val="22"/>
                <w:szCs w:val="22"/>
              </w:rPr>
            </w:pPr>
            <w:r w:rsidRPr="00630129">
              <w:rPr>
                <w:sz w:val="22"/>
                <w:szCs w:val="22"/>
              </w:rPr>
              <w:t>The quantity determined in accordance with paragraph 9.3.3 of Annex S-2.</w:t>
            </w:r>
          </w:p>
          <w:p w14:paraId="30EE2A46" w14:textId="77777777" w:rsidR="002431A0" w:rsidRPr="00630129" w:rsidRDefault="002431A0" w:rsidP="002431A0">
            <w:pPr>
              <w:rPr>
                <w:sz w:val="22"/>
                <w:szCs w:val="22"/>
              </w:rPr>
            </w:pPr>
            <w:r w:rsidRPr="00630129">
              <w:rPr>
                <w:i/>
                <w:sz w:val="22"/>
                <w:szCs w:val="22"/>
              </w:rPr>
              <w:t>The Consumption for a SVA Metering System allocated to a Secondary BM Unit after the application of the GSP Group Correction.</w:t>
            </w:r>
          </w:p>
        </w:tc>
      </w:tr>
      <w:tr w:rsidR="002431A0" w:rsidRPr="00630129" w14:paraId="20395020" w14:textId="77777777" w:rsidTr="00A63BA8">
        <w:trPr>
          <w:cantSplit/>
        </w:trPr>
        <w:tc>
          <w:tcPr>
            <w:tcW w:w="1191" w:type="pct"/>
          </w:tcPr>
          <w:p w14:paraId="7E51CB2F" w14:textId="77777777" w:rsidR="002431A0" w:rsidRPr="00630129" w:rsidRDefault="002431A0" w:rsidP="002431A0">
            <w:pPr>
              <w:rPr>
                <w:sz w:val="22"/>
                <w:szCs w:val="22"/>
              </w:rPr>
            </w:pPr>
            <w:r w:rsidRPr="00630129">
              <w:lastRenderedPageBreak/>
              <w:t>Secondary Corrected Delivered Component</w:t>
            </w:r>
          </w:p>
        </w:tc>
        <w:tc>
          <w:tcPr>
            <w:tcW w:w="1024" w:type="pct"/>
          </w:tcPr>
          <w:p w14:paraId="22ECD06C" w14:textId="77777777" w:rsidR="002431A0" w:rsidRPr="00630129" w:rsidRDefault="002431A0" w:rsidP="002431A0">
            <w:pPr>
              <w:rPr>
                <w:sz w:val="22"/>
                <w:szCs w:val="22"/>
              </w:rPr>
            </w:pPr>
            <w:r w:rsidRPr="00630129">
              <w:rPr>
                <w:sz w:val="22"/>
                <w:szCs w:val="22"/>
              </w:rPr>
              <w:t>VCORDC</w:t>
            </w:r>
            <w:r w:rsidRPr="00630129">
              <w:rPr>
                <w:sz w:val="22"/>
                <w:szCs w:val="22"/>
                <w:vertAlign w:val="subscript"/>
              </w:rPr>
              <w:t>i2NKji</w:t>
            </w:r>
          </w:p>
        </w:tc>
        <w:tc>
          <w:tcPr>
            <w:tcW w:w="613" w:type="pct"/>
          </w:tcPr>
          <w:p w14:paraId="72048CEF" w14:textId="77777777" w:rsidR="002431A0" w:rsidRPr="00630129" w:rsidRDefault="002431A0" w:rsidP="002431A0">
            <w:pPr>
              <w:rPr>
                <w:sz w:val="22"/>
                <w:szCs w:val="22"/>
              </w:rPr>
            </w:pPr>
            <w:r w:rsidRPr="00630129">
              <w:rPr>
                <w:sz w:val="22"/>
                <w:szCs w:val="22"/>
              </w:rPr>
              <w:t>MWh</w:t>
            </w:r>
          </w:p>
        </w:tc>
        <w:tc>
          <w:tcPr>
            <w:tcW w:w="2171" w:type="pct"/>
          </w:tcPr>
          <w:p w14:paraId="339F9487" w14:textId="77777777" w:rsidR="002431A0" w:rsidRPr="00630129" w:rsidRDefault="002431A0" w:rsidP="002431A0">
            <w:pPr>
              <w:spacing w:after="120"/>
              <w:rPr>
                <w:sz w:val="22"/>
                <w:szCs w:val="22"/>
              </w:rPr>
            </w:pPr>
            <w:r w:rsidRPr="00630129">
              <w:rPr>
                <w:sz w:val="22"/>
                <w:szCs w:val="22"/>
              </w:rPr>
              <w:t>The quantity determined in accordance with paragraph 9.3.4 of Annex S-2</w:t>
            </w:r>
          </w:p>
          <w:p w14:paraId="0C11C182" w14:textId="77777777" w:rsidR="002431A0" w:rsidRPr="00630129" w:rsidRDefault="002431A0" w:rsidP="002431A0">
            <w:pPr>
              <w:rPr>
                <w:sz w:val="22"/>
                <w:szCs w:val="22"/>
              </w:rPr>
            </w:pPr>
            <w:r w:rsidRPr="00630129">
              <w:rPr>
                <w:i/>
                <w:sz w:val="22"/>
                <w:szCs w:val="22"/>
              </w:rPr>
              <w:t>The Delivered Volumes for a SVA Metering System allocated to a Secondary BM Unit after the application of the GSP Group Correction.</w:t>
            </w:r>
          </w:p>
        </w:tc>
      </w:tr>
      <w:tr w:rsidR="002431A0" w:rsidRPr="00630129" w14:paraId="0139F5F1" w14:textId="77777777" w:rsidTr="00A63BA8">
        <w:trPr>
          <w:cantSplit/>
        </w:trPr>
        <w:tc>
          <w:tcPr>
            <w:tcW w:w="1191" w:type="pct"/>
          </w:tcPr>
          <w:p w14:paraId="51C3A26E" w14:textId="77777777" w:rsidR="002431A0" w:rsidRPr="00630129" w:rsidRDefault="002431A0" w:rsidP="002431A0">
            <w:pPr>
              <w:rPr>
                <w:sz w:val="22"/>
                <w:szCs w:val="22"/>
              </w:rPr>
            </w:pPr>
            <w:r w:rsidRPr="00630129">
              <w:rPr>
                <w:sz w:val="22"/>
                <w:szCs w:val="22"/>
              </w:rPr>
              <w:t>Secondary Half Hourly Consumption (Losses)</w:t>
            </w:r>
          </w:p>
        </w:tc>
        <w:tc>
          <w:tcPr>
            <w:tcW w:w="1024" w:type="pct"/>
          </w:tcPr>
          <w:p w14:paraId="593B48C0" w14:textId="77777777" w:rsidR="002431A0" w:rsidRPr="00630129" w:rsidRDefault="002431A0" w:rsidP="002431A0">
            <w:pPr>
              <w:rPr>
                <w:sz w:val="22"/>
                <w:szCs w:val="22"/>
              </w:rPr>
            </w:pPr>
            <w:r w:rsidRPr="00630129">
              <w:rPr>
                <w:sz w:val="22"/>
                <w:szCs w:val="22"/>
              </w:rPr>
              <w:t>VLOSS</w:t>
            </w:r>
            <w:r w:rsidRPr="00630129">
              <w:rPr>
                <w:sz w:val="22"/>
                <w:szCs w:val="22"/>
                <w:vertAlign w:val="subscript"/>
              </w:rPr>
              <w:t>i2Nj</w:t>
            </w:r>
          </w:p>
        </w:tc>
        <w:tc>
          <w:tcPr>
            <w:tcW w:w="613" w:type="pct"/>
          </w:tcPr>
          <w:p w14:paraId="5262D214" w14:textId="77777777" w:rsidR="002431A0" w:rsidRPr="00630129" w:rsidRDefault="002431A0" w:rsidP="002431A0">
            <w:pPr>
              <w:rPr>
                <w:sz w:val="22"/>
                <w:szCs w:val="22"/>
              </w:rPr>
            </w:pPr>
            <w:r w:rsidRPr="00630129">
              <w:rPr>
                <w:sz w:val="22"/>
                <w:szCs w:val="22"/>
              </w:rPr>
              <w:t>MWh</w:t>
            </w:r>
          </w:p>
        </w:tc>
        <w:tc>
          <w:tcPr>
            <w:tcW w:w="2171" w:type="pct"/>
          </w:tcPr>
          <w:p w14:paraId="34222B6C" w14:textId="77777777" w:rsidR="002431A0" w:rsidRPr="00630129" w:rsidRDefault="002431A0" w:rsidP="002431A0">
            <w:pPr>
              <w:spacing w:after="120"/>
              <w:rPr>
                <w:sz w:val="22"/>
                <w:szCs w:val="22"/>
              </w:rPr>
            </w:pPr>
            <w:r w:rsidRPr="00630129">
              <w:rPr>
                <w:sz w:val="22"/>
                <w:szCs w:val="22"/>
              </w:rPr>
              <w:t>The quantity determined in accordance with paragraph 7.2.4 of Annex S-2.</w:t>
            </w:r>
          </w:p>
          <w:p w14:paraId="1DE8A621" w14:textId="77777777" w:rsidR="002431A0" w:rsidRPr="00630129" w:rsidRDefault="002431A0" w:rsidP="002431A0">
            <w:pPr>
              <w:rPr>
                <w:sz w:val="22"/>
                <w:szCs w:val="22"/>
              </w:rPr>
            </w:pPr>
            <w:r w:rsidRPr="00630129">
              <w:rPr>
                <w:i/>
                <w:sz w:val="22"/>
                <w:szCs w:val="22"/>
              </w:rPr>
              <w:t>The half hourly Consumption for a SVA Metering System allocated to a Secondary BM Unit which is defined as line losses</w:t>
            </w:r>
            <w:r w:rsidRPr="00630129">
              <w:rPr>
                <w:sz w:val="22"/>
                <w:szCs w:val="22"/>
              </w:rPr>
              <w:t>.</w:t>
            </w:r>
          </w:p>
        </w:tc>
      </w:tr>
      <w:tr w:rsidR="002431A0" w:rsidRPr="00630129" w14:paraId="0031900A" w14:textId="77777777" w:rsidTr="00A63BA8">
        <w:trPr>
          <w:cantSplit/>
        </w:trPr>
        <w:tc>
          <w:tcPr>
            <w:tcW w:w="1191" w:type="pct"/>
          </w:tcPr>
          <w:p w14:paraId="279CC9A3" w14:textId="77777777" w:rsidR="002431A0" w:rsidRPr="00630129" w:rsidRDefault="002431A0" w:rsidP="002431A0">
            <w:pPr>
              <w:rPr>
                <w:sz w:val="22"/>
                <w:szCs w:val="22"/>
              </w:rPr>
            </w:pPr>
            <w:r w:rsidRPr="00630129">
              <w:rPr>
                <w:sz w:val="22"/>
                <w:szCs w:val="22"/>
              </w:rPr>
              <w:t>Secondary Half Hourly Consumption (Non Losses)</w:t>
            </w:r>
          </w:p>
        </w:tc>
        <w:tc>
          <w:tcPr>
            <w:tcW w:w="1024" w:type="pct"/>
          </w:tcPr>
          <w:p w14:paraId="44F036B3" w14:textId="77777777" w:rsidR="002431A0" w:rsidRPr="00630129" w:rsidRDefault="002431A0" w:rsidP="002431A0">
            <w:pPr>
              <w:rPr>
                <w:sz w:val="22"/>
                <w:szCs w:val="22"/>
              </w:rPr>
            </w:pPr>
            <w:r w:rsidRPr="00630129">
              <w:rPr>
                <w:sz w:val="22"/>
                <w:szCs w:val="22"/>
              </w:rPr>
              <w:t>V</w:t>
            </w:r>
            <w:r w:rsidRPr="00630129">
              <w:rPr>
                <w:sz w:val="22"/>
                <w:szCs w:val="22"/>
                <w:vertAlign w:val="subscript"/>
              </w:rPr>
              <w:t>i2Nj</w:t>
            </w:r>
          </w:p>
        </w:tc>
        <w:tc>
          <w:tcPr>
            <w:tcW w:w="613" w:type="pct"/>
          </w:tcPr>
          <w:p w14:paraId="4E6F571E" w14:textId="77777777" w:rsidR="002431A0" w:rsidRPr="00630129" w:rsidRDefault="002431A0" w:rsidP="002431A0">
            <w:pPr>
              <w:rPr>
                <w:sz w:val="22"/>
                <w:szCs w:val="22"/>
              </w:rPr>
            </w:pPr>
            <w:r w:rsidRPr="00630129">
              <w:rPr>
                <w:sz w:val="22"/>
                <w:szCs w:val="22"/>
              </w:rPr>
              <w:t>MWh</w:t>
            </w:r>
          </w:p>
        </w:tc>
        <w:tc>
          <w:tcPr>
            <w:tcW w:w="2171" w:type="pct"/>
          </w:tcPr>
          <w:p w14:paraId="206DF337" w14:textId="77777777" w:rsidR="002431A0" w:rsidRPr="00630129" w:rsidRDefault="002431A0" w:rsidP="002431A0">
            <w:pPr>
              <w:spacing w:after="120"/>
              <w:rPr>
                <w:sz w:val="22"/>
                <w:szCs w:val="22"/>
              </w:rPr>
            </w:pPr>
            <w:r w:rsidRPr="00630129">
              <w:rPr>
                <w:sz w:val="22"/>
                <w:szCs w:val="22"/>
              </w:rPr>
              <w:t>The quantity determined in accordance with paragraph 7.1.4 of Annex S-2.</w:t>
            </w:r>
          </w:p>
          <w:p w14:paraId="35184C3D" w14:textId="77777777" w:rsidR="002431A0" w:rsidRPr="00630129" w:rsidRDefault="002431A0" w:rsidP="002431A0">
            <w:pPr>
              <w:rPr>
                <w:sz w:val="22"/>
                <w:szCs w:val="22"/>
              </w:rPr>
            </w:pPr>
            <w:r w:rsidRPr="00630129">
              <w:rPr>
                <w:i/>
                <w:sz w:val="22"/>
                <w:szCs w:val="22"/>
              </w:rPr>
              <w:t>The half hourly Consumption for a SVA Metering System allocated to a Secondary BM Unit which is defined as not being line losses.</w:t>
            </w:r>
          </w:p>
        </w:tc>
      </w:tr>
      <w:tr w:rsidR="002431A0" w:rsidRPr="00630129" w14:paraId="0D7B72E7" w14:textId="77777777" w:rsidTr="00A63BA8">
        <w:trPr>
          <w:cantSplit/>
        </w:trPr>
        <w:tc>
          <w:tcPr>
            <w:tcW w:w="1191" w:type="pct"/>
          </w:tcPr>
          <w:p w14:paraId="086F74E0" w14:textId="77777777" w:rsidR="002431A0" w:rsidRPr="00630129" w:rsidRDefault="002431A0" w:rsidP="002431A0">
            <w:pPr>
              <w:rPr>
                <w:sz w:val="22"/>
                <w:szCs w:val="22"/>
              </w:rPr>
            </w:pPr>
            <w:r w:rsidRPr="00630129">
              <w:rPr>
                <w:sz w:val="22"/>
                <w:szCs w:val="22"/>
              </w:rPr>
              <w:t>Secondary Half Hourly Delivered (Losses)</w:t>
            </w:r>
          </w:p>
        </w:tc>
        <w:tc>
          <w:tcPr>
            <w:tcW w:w="1024" w:type="pct"/>
          </w:tcPr>
          <w:p w14:paraId="36E3736B" w14:textId="77777777" w:rsidR="002431A0" w:rsidRPr="00630129" w:rsidRDefault="002431A0" w:rsidP="002431A0">
            <w:pPr>
              <w:rPr>
                <w:sz w:val="22"/>
                <w:szCs w:val="22"/>
              </w:rPr>
            </w:pPr>
            <w:r w:rsidRPr="00630129">
              <w:rPr>
                <w:sz w:val="22"/>
                <w:szCs w:val="22"/>
              </w:rPr>
              <w:t>VDLOSS</w:t>
            </w:r>
            <w:r w:rsidRPr="00630129">
              <w:rPr>
                <w:sz w:val="22"/>
                <w:szCs w:val="22"/>
                <w:vertAlign w:val="subscript"/>
              </w:rPr>
              <w:t>i2NKji</w:t>
            </w:r>
          </w:p>
        </w:tc>
        <w:tc>
          <w:tcPr>
            <w:tcW w:w="613" w:type="pct"/>
          </w:tcPr>
          <w:p w14:paraId="4ECFA102" w14:textId="77777777" w:rsidR="002431A0" w:rsidRPr="00630129" w:rsidRDefault="002431A0" w:rsidP="002431A0">
            <w:pPr>
              <w:rPr>
                <w:sz w:val="22"/>
                <w:szCs w:val="22"/>
              </w:rPr>
            </w:pPr>
            <w:r w:rsidRPr="00630129">
              <w:rPr>
                <w:sz w:val="22"/>
                <w:szCs w:val="22"/>
              </w:rPr>
              <w:t>MWh</w:t>
            </w:r>
          </w:p>
        </w:tc>
        <w:tc>
          <w:tcPr>
            <w:tcW w:w="2171" w:type="pct"/>
          </w:tcPr>
          <w:p w14:paraId="0E60AFC8" w14:textId="77777777" w:rsidR="002431A0" w:rsidRPr="00630129" w:rsidRDefault="002431A0" w:rsidP="002431A0">
            <w:pPr>
              <w:spacing w:after="120"/>
              <w:rPr>
                <w:sz w:val="22"/>
                <w:szCs w:val="22"/>
              </w:rPr>
            </w:pPr>
            <w:r w:rsidRPr="00630129">
              <w:rPr>
                <w:sz w:val="22"/>
                <w:szCs w:val="22"/>
              </w:rPr>
              <w:t>The quantity determined in accordance with paragraph 7.2.5 of Annex S-2.</w:t>
            </w:r>
          </w:p>
          <w:p w14:paraId="2E444E45" w14:textId="77777777" w:rsidR="002431A0" w:rsidRPr="00630129" w:rsidRDefault="002431A0" w:rsidP="002431A0">
            <w:pPr>
              <w:rPr>
                <w:sz w:val="22"/>
                <w:szCs w:val="22"/>
              </w:rPr>
            </w:pPr>
            <w:r w:rsidRPr="00630129">
              <w:rPr>
                <w:i/>
                <w:sz w:val="22"/>
                <w:szCs w:val="22"/>
              </w:rPr>
              <w:t>The half hourly Delivered Volumes for a SVA Metering System allocated to a Secondary BM Unit which is defined as not being line losses.</w:t>
            </w:r>
          </w:p>
        </w:tc>
      </w:tr>
      <w:tr w:rsidR="002431A0" w:rsidRPr="00630129" w14:paraId="72634BBC" w14:textId="77777777" w:rsidTr="00A63BA8">
        <w:trPr>
          <w:cantSplit/>
        </w:trPr>
        <w:tc>
          <w:tcPr>
            <w:tcW w:w="1191" w:type="pct"/>
          </w:tcPr>
          <w:p w14:paraId="53F3C67B" w14:textId="77777777" w:rsidR="002431A0" w:rsidRPr="00630129" w:rsidRDefault="002431A0" w:rsidP="002431A0">
            <w:pPr>
              <w:rPr>
                <w:sz w:val="22"/>
                <w:szCs w:val="22"/>
              </w:rPr>
            </w:pPr>
            <w:r w:rsidRPr="00630129">
              <w:rPr>
                <w:sz w:val="22"/>
                <w:szCs w:val="22"/>
              </w:rPr>
              <w:t>Secondary Half Hourly Delivered (Non Losses)</w:t>
            </w:r>
          </w:p>
        </w:tc>
        <w:tc>
          <w:tcPr>
            <w:tcW w:w="1024" w:type="pct"/>
          </w:tcPr>
          <w:p w14:paraId="4A125039" w14:textId="77777777" w:rsidR="002431A0" w:rsidRPr="00630129" w:rsidRDefault="002431A0" w:rsidP="002431A0">
            <w:pPr>
              <w:rPr>
                <w:sz w:val="22"/>
                <w:szCs w:val="22"/>
              </w:rPr>
            </w:pPr>
            <w:r w:rsidRPr="00630129">
              <w:rPr>
                <w:sz w:val="22"/>
                <w:szCs w:val="22"/>
              </w:rPr>
              <w:t>VD</w:t>
            </w:r>
            <w:r w:rsidRPr="00630129">
              <w:rPr>
                <w:sz w:val="22"/>
                <w:szCs w:val="22"/>
                <w:vertAlign w:val="subscript"/>
              </w:rPr>
              <w:t>i2NKji</w:t>
            </w:r>
          </w:p>
        </w:tc>
        <w:tc>
          <w:tcPr>
            <w:tcW w:w="613" w:type="pct"/>
          </w:tcPr>
          <w:p w14:paraId="3B9C77FE" w14:textId="77777777" w:rsidR="002431A0" w:rsidRPr="00630129" w:rsidRDefault="002431A0" w:rsidP="002431A0">
            <w:pPr>
              <w:rPr>
                <w:sz w:val="22"/>
                <w:szCs w:val="22"/>
              </w:rPr>
            </w:pPr>
            <w:r w:rsidRPr="00630129">
              <w:rPr>
                <w:sz w:val="22"/>
                <w:szCs w:val="22"/>
              </w:rPr>
              <w:t>MWh</w:t>
            </w:r>
          </w:p>
        </w:tc>
        <w:tc>
          <w:tcPr>
            <w:tcW w:w="2171" w:type="pct"/>
          </w:tcPr>
          <w:p w14:paraId="7CB42A94" w14:textId="77777777" w:rsidR="002431A0" w:rsidRPr="00630129" w:rsidRDefault="002431A0" w:rsidP="002431A0">
            <w:pPr>
              <w:spacing w:after="120"/>
              <w:rPr>
                <w:sz w:val="22"/>
                <w:szCs w:val="22"/>
              </w:rPr>
            </w:pPr>
            <w:r w:rsidRPr="00630129">
              <w:rPr>
                <w:sz w:val="22"/>
                <w:szCs w:val="22"/>
              </w:rPr>
              <w:t>The quantity determined in accordance with paragraph 7.1.5 of Annex S-2.</w:t>
            </w:r>
          </w:p>
          <w:p w14:paraId="26D271C5" w14:textId="77777777" w:rsidR="002431A0" w:rsidRPr="00630129" w:rsidRDefault="002431A0" w:rsidP="002431A0">
            <w:pPr>
              <w:rPr>
                <w:sz w:val="22"/>
                <w:szCs w:val="22"/>
              </w:rPr>
            </w:pPr>
            <w:r w:rsidRPr="00630129">
              <w:rPr>
                <w:i/>
                <w:sz w:val="22"/>
                <w:szCs w:val="22"/>
              </w:rPr>
              <w:t>The half hourly Delivered Volumes for a SVA Metering System allocated to a Secondary BM Unit which is defined as line losses.</w:t>
            </w:r>
          </w:p>
        </w:tc>
      </w:tr>
      <w:tr w:rsidR="002431A0" w:rsidRPr="00630129" w14:paraId="16225E7C" w14:textId="77777777" w:rsidTr="00A63BA8">
        <w:trPr>
          <w:cantSplit/>
        </w:trPr>
        <w:tc>
          <w:tcPr>
            <w:tcW w:w="1191" w:type="pct"/>
          </w:tcPr>
          <w:p w14:paraId="665D5BD6" w14:textId="77777777" w:rsidR="002431A0" w:rsidRPr="00630129" w:rsidRDefault="002431A0" w:rsidP="002431A0">
            <w:pPr>
              <w:rPr>
                <w:sz w:val="22"/>
                <w:szCs w:val="22"/>
              </w:rPr>
            </w:pPr>
            <w:r w:rsidRPr="00630129">
              <w:rPr>
                <w:sz w:val="22"/>
                <w:szCs w:val="22"/>
              </w:rPr>
              <w:t>Secondary Supplier's Metering System Metered Consumption</w:t>
            </w:r>
          </w:p>
        </w:tc>
        <w:tc>
          <w:tcPr>
            <w:tcW w:w="1024" w:type="pct"/>
          </w:tcPr>
          <w:p w14:paraId="26991A5A" w14:textId="77777777" w:rsidR="002431A0" w:rsidRPr="00630129" w:rsidRDefault="002431A0" w:rsidP="002431A0">
            <w:pPr>
              <w:rPr>
                <w:sz w:val="22"/>
                <w:szCs w:val="22"/>
              </w:rPr>
            </w:pPr>
            <w:proofErr w:type="spellStart"/>
            <w:r w:rsidRPr="00630129">
              <w:rPr>
                <w:sz w:val="22"/>
                <w:szCs w:val="22"/>
              </w:rPr>
              <w:t>SSMMC</w:t>
            </w:r>
            <w:r w:rsidRPr="00630129">
              <w:rPr>
                <w:sz w:val="22"/>
                <w:szCs w:val="22"/>
                <w:vertAlign w:val="subscript"/>
              </w:rPr>
              <w:t>ZnanKnj</w:t>
            </w:r>
            <w:proofErr w:type="spellEnd"/>
            <w:r w:rsidRPr="00630129">
              <w:rPr>
                <w:sz w:val="22"/>
                <w:szCs w:val="22"/>
              </w:rPr>
              <w:t xml:space="preserve"> or (where applicable) SSMMC</w:t>
            </w:r>
            <w:r w:rsidRPr="00630129">
              <w:rPr>
                <w:sz w:val="22"/>
                <w:szCs w:val="22"/>
                <w:vertAlign w:val="subscript"/>
              </w:rPr>
              <w:t>Znan.1Kn.1j</w:t>
            </w:r>
          </w:p>
        </w:tc>
        <w:tc>
          <w:tcPr>
            <w:tcW w:w="613" w:type="pct"/>
          </w:tcPr>
          <w:p w14:paraId="5A94C0F7" w14:textId="77777777" w:rsidR="002431A0" w:rsidRPr="00630129" w:rsidRDefault="002431A0" w:rsidP="002431A0">
            <w:pPr>
              <w:rPr>
                <w:sz w:val="22"/>
                <w:szCs w:val="22"/>
              </w:rPr>
            </w:pPr>
            <w:r w:rsidRPr="00630129">
              <w:rPr>
                <w:sz w:val="22"/>
                <w:szCs w:val="22"/>
              </w:rPr>
              <w:t>kWh</w:t>
            </w:r>
          </w:p>
        </w:tc>
        <w:tc>
          <w:tcPr>
            <w:tcW w:w="2171" w:type="pct"/>
          </w:tcPr>
          <w:p w14:paraId="17BBAE82" w14:textId="77777777" w:rsidR="002431A0" w:rsidRPr="00630129" w:rsidRDefault="002431A0" w:rsidP="002431A0">
            <w:pPr>
              <w:rPr>
                <w:sz w:val="22"/>
                <w:szCs w:val="22"/>
              </w:rPr>
            </w:pPr>
            <w:r w:rsidRPr="00630129">
              <w:rPr>
                <w:sz w:val="22"/>
                <w:szCs w:val="22"/>
              </w:rPr>
              <w:t>The half hourly metered Consumption for a Secondary SVA Metering System Number determined pursuant to paragraph 3.5 of Annex S-2.</w:t>
            </w:r>
          </w:p>
        </w:tc>
      </w:tr>
      <w:tr w:rsidR="002431A0" w:rsidRPr="00630129" w14:paraId="4A57B9E9" w14:textId="77777777" w:rsidTr="00A63BA8">
        <w:trPr>
          <w:cantSplit/>
        </w:trPr>
        <w:tc>
          <w:tcPr>
            <w:tcW w:w="1191" w:type="pct"/>
          </w:tcPr>
          <w:p w14:paraId="3F8F89CC" w14:textId="77777777" w:rsidR="002431A0" w:rsidRPr="00630129" w:rsidRDefault="002431A0" w:rsidP="002431A0">
            <w:pPr>
              <w:pStyle w:val="EndnoteText"/>
              <w:rPr>
                <w:sz w:val="22"/>
                <w:szCs w:val="22"/>
              </w:rPr>
            </w:pPr>
            <w:r w:rsidRPr="00630129">
              <w:rPr>
                <w:sz w:val="22"/>
                <w:szCs w:val="22"/>
              </w:rPr>
              <w:t>Settlement Class</w:t>
            </w:r>
          </w:p>
        </w:tc>
        <w:tc>
          <w:tcPr>
            <w:tcW w:w="1024" w:type="pct"/>
          </w:tcPr>
          <w:p w14:paraId="00A62D48" w14:textId="77777777" w:rsidR="002431A0" w:rsidRPr="00630129" w:rsidRDefault="002431A0" w:rsidP="002431A0">
            <w:pPr>
              <w:pStyle w:val="EndnoteText"/>
              <w:rPr>
                <w:sz w:val="22"/>
                <w:szCs w:val="22"/>
              </w:rPr>
            </w:pPr>
          </w:p>
        </w:tc>
        <w:tc>
          <w:tcPr>
            <w:tcW w:w="613" w:type="pct"/>
          </w:tcPr>
          <w:p w14:paraId="0223D24A" w14:textId="77777777" w:rsidR="002431A0" w:rsidRPr="00630129" w:rsidRDefault="002431A0" w:rsidP="002431A0">
            <w:pPr>
              <w:pStyle w:val="EndnoteText"/>
              <w:rPr>
                <w:sz w:val="22"/>
                <w:szCs w:val="22"/>
              </w:rPr>
            </w:pPr>
          </w:p>
        </w:tc>
        <w:tc>
          <w:tcPr>
            <w:tcW w:w="2171" w:type="pct"/>
          </w:tcPr>
          <w:p w14:paraId="33471E07" w14:textId="77777777" w:rsidR="002431A0" w:rsidRPr="00630129" w:rsidRDefault="002431A0" w:rsidP="002431A0">
            <w:pPr>
              <w:pStyle w:val="EndnoteText"/>
              <w:rPr>
                <w:sz w:val="22"/>
                <w:szCs w:val="22"/>
              </w:rPr>
            </w:pPr>
            <w:r w:rsidRPr="00630129">
              <w:rPr>
                <w:sz w:val="22"/>
                <w:szCs w:val="22"/>
              </w:rPr>
              <w:t>For a Supplier a unique combination of Profile Class, Line Loss Factor Class, Time Pattern Regime and Standard Settlement Configuration within a GSP Group provided pursuant to paragraph 5.1.6 of Annex S-2.</w:t>
            </w:r>
          </w:p>
        </w:tc>
      </w:tr>
      <w:tr w:rsidR="002431A0" w:rsidRPr="00630129" w14:paraId="0FA4991E" w14:textId="77777777" w:rsidTr="00A63BA8">
        <w:trPr>
          <w:cantSplit/>
        </w:trPr>
        <w:tc>
          <w:tcPr>
            <w:tcW w:w="1191" w:type="pct"/>
          </w:tcPr>
          <w:p w14:paraId="2283F627" w14:textId="77777777" w:rsidR="002431A0" w:rsidRPr="00630129" w:rsidRDefault="002431A0" w:rsidP="002431A0">
            <w:pPr>
              <w:pStyle w:val="EndnoteText"/>
              <w:rPr>
                <w:sz w:val="22"/>
                <w:szCs w:val="22"/>
              </w:rPr>
            </w:pPr>
            <w:r w:rsidRPr="00630129">
              <w:rPr>
                <w:sz w:val="22"/>
                <w:szCs w:val="22"/>
              </w:rPr>
              <w:t>Settlement Period</w:t>
            </w:r>
          </w:p>
        </w:tc>
        <w:tc>
          <w:tcPr>
            <w:tcW w:w="1024" w:type="pct"/>
          </w:tcPr>
          <w:p w14:paraId="3B86F183" w14:textId="77777777" w:rsidR="002431A0" w:rsidRPr="00630129" w:rsidRDefault="002431A0" w:rsidP="002431A0">
            <w:pPr>
              <w:pStyle w:val="EndnoteText"/>
              <w:rPr>
                <w:sz w:val="22"/>
                <w:szCs w:val="22"/>
              </w:rPr>
            </w:pPr>
            <w:r w:rsidRPr="00630129">
              <w:rPr>
                <w:sz w:val="22"/>
                <w:szCs w:val="22"/>
              </w:rPr>
              <w:t>j</w:t>
            </w:r>
          </w:p>
        </w:tc>
        <w:tc>
          <w:tcPr>
            <w:tcW w:w="613" w:type="pct"/>
          </w:tcPr>
          <w:p w14:paraId="42EC0309" w14:textId="77777777" w:rsidR="002431A0" w:rsidRPr="00630129" w:rsidRDefault="002431A0" w:rsidP="002431A0">
            <w:pPr>
              <w:pStyle w:val="EndnoteText"/>
              <w:rPr>
                <w:sz w:val="22"/>
                <w:szCs w:val="22"/>
              </w:rPr>
            </w:pPr>
          </w:p>
        </w:tc>
        <w:tc>
          <w:tcPr>
            <w:tcW w:w="2171" w:type="pct"/>
          </w:tcPr>
          <w:p w14:paraId="733D3EF1" w14:textId="77777777" w:rsidR="002431A0" w:rsidRPr="00630129" w:rsidRDefault="002431A0" w:rsidP="002431A0">
            <w:pPr>
              <w:pStyle w:val="EndnoteText"/>
              <w:rPr>
                <w:sz w:val="22"/>
                <w:szCs w:val="22"/>
              </w:rPr>
            </w:pPr>
            <w:r w:rsidRPr="00630129">
              <w:rPr>
                <w:sz w:val="22"/>
                <w:szCs w:val="22"/>
              </w:rPr>
              <w:t>A period of 30 minutes beginning on the hour or the half hour and in accordance with paragraph 4.3.</w:t>
            </w:r>
          </w:p>
        </w:tc>
      </w:tr>
      <w:tr w:rsidR="002431A0" w:rsidRPr="00630129" w14:paraId="6D21E534"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3892C73A" w14:textId="77777777" w:rsidR="002431A0" w:rsidRPr="00630129" w:rsidRDefault="002431A0" w:rsidP="002431A0">
            <w:pPr>
              <w:pStyle w:val="EndnoteText"/>
              <w:rPr>
                <w:sz w:val="22"/>
                <w:szCs w:val="22"/>
              </w:rPr>
            </w:pPr>
            <w:r w:rsidRPr="00630129">
              <w:rPr>
                <w:sz w:val="22"/>
                <w:szCs w:val="22"/>
              </w:rPr>
              <w:t>Settlement Period Duration</w:t>
            </w:r>
          </w:p>
        </w:tc>
        <w:tc>
          <w:tcPr>
            <w:tcW w:w="1024" w:type="pct"/>
            <w:tcBorders>
              <w:top w:val="single" w:sz="6" w:space="0" w:color="000000"/>
              <w:left w:val="single" w:sz="6" w:space="0" w:color="000000"/>
              <w:bottom w:val="single" w:sz="6" w:space="0" w:color="000000"/>
              <w:right w:val="single" w:sz="6" w:space="0" w:color="000000"/>
            </w:tcBorders>
          </w:tcPr>
          <w:p w14:paraId="71F1BFCE" w14:textId="77777777" w:rsidR="002431A0" w:rsidRPr="00630129" w:rsidRDefault="002431A0" w:rsidP="002431A0">
            <w:pPr>
              <w:pStyle w:val="EndnoteText"/>
              <w:rPr>
                <w:sz w:val="22"/>
                <w:szCs w:val="22"/>
              </w:rPr>
            </w:pPr>
            <w:r w:rsidRPr="00630129">
              <w:rPr>
                <w:sz w:val="22"/>
                <w:szCs w:val="22"/>
              </w:rPr>
              <w:t>SPD</w:t>
            </w:r>
          </w:p>
        </w:tc>
        <w:tc>
          <w:tcPr>
            <w:tcW w:w="613" w:type="pct"/>
            <w:tcBorders>
              <w:top w:val="single" w:sz="6" w:space="0" w:color="000000"/>
              <w:left w:val="single" w:sz="6" w:space="0" w:color="000000"/>
              <w:bottom w:val="single" w:sz="6" w:space="0" w:color="000000"/>
              <w:right w:val="single" w:sz="6" w:space="0" w:color="000000"/>
            </w:tcBorders>
          </w:tcPr>
          <w:p w14:paraId="62582377" w14:textId="77777777" w:rsidR="002431A0" w:rsidRPr="00630129" w:rsidRDefault="002431A0" w:rsidP="002431A0">
            <w:pPr>
              <w:pStyle w:val="EndnoteText"/>
              <w:rPr>
                <w:sz w:val="22"/>
                <w:szCs w:val="22"/>
              </w:rPr>
            </w:pPr>
            <w:r w:rsidRPr="00630129">
              <w:rPr>
                <w:sz w:val="22"/>
                <w:szCs w:val="22"/>
              </w:rPr>
              <w:t>Hours</w:t>
            </w:r>
          </w:p>
        </w:tc>
        <w:tc>
          <w:tcPr>
            <w:tcW w:w="2171" w:type="pct"/>
            <w:tcBorders>
              <w:top w:val="single" w:sz="6" w:space="0" w:color="000000"/>
              <w:left w:val="single" w:sz="6" w:space="0" w:color="000000"/>
              <w:bottom w:val="single" w:sz="6" w:space="0" w:color="000000"/>
              <w:right w:val="single" w:sz="6" w:space="0" w:color="000000"/>
            </w:tcBorders>
          </w:tcPr>
          <w:p w14:paraId="6A558024" w14:textId="77777777" w:rsidR="002431A0" w:rsidRPr="00630129" w:rsidRDefault="002431A0" w:rsidP="002431A0">
            <w:pPr>
              <w:pStyle w:val="EndnoteText"/>
              <w:rPr>
                <w:sz w:val="22"/>
                <w:szCs w:val="22"/>
              </w:rPr>
            </w:pPr>
            <w:r w:rsidRPr="00630129">
              <w:rPr>
                <w:sz w:val="22"/>
                <w:szCs w:val="22"/>
              </w:rPr>
              <w:t>0.5 hours.</w:t>
            </w:r>
          </w:p>
        </w:tc>
      </w:tr>
      <w:tr w:rsidR="002431A0" w:rsidRPr="00630129" w14:paraId="23F425F6" w14:textId="77777777" w:rsidTr="00A63BA8">
        <w:trPr>
          <w:cantSplit/>
        </w:trPr>
        <w:tc>
          <w:tcPr>
            <w:tcW w:w="1191" w:type="pct"/>
          </w:tcPr>
          <w:p w14:paraId="4862ECF5" w14:textId="77777777" w:rsidR="002431A0" w:rsidRPr="00630129" w:rsidRDefault="002431A0" w:rsidP="002431A0">
            <w:pPr>
              <w:pStyle w:val="EndnoteText"/>
              <w:rPr>
                <w:sz w:val="22"/>
                <w:szCs w:val="22"/>
              </w:rPr>
            </w:pPr>
            <w:r w:rsidRPr="00630129">
              <w:rPr>
                <w:sz w:val="22"/>
                <w:szCs w:val="22"/>
              </w:rPr>
              <w:lastRenderedPageBreak/>
              <w:t>Settlement Register</w:t>
            </w:r>
          </w:p>
        </w:tc>
        <w:tc>
          <w:tcPr>
            <w:tcW w:w="1024" w:type="pct"/>
          </w:tcPr>
          <w:p w14:paraId="16295098" w14:textId="77777777" w:rsidR="002431A0" w:rsidRPr="00630129" w:rsidRDefault="002431A0" w:rsidP="002431A0">
            <w:pPr>
              <w:pStyle w:val="EndnoteText"/>
              <w:rPr>
                <w:sz w:val="22"/>
                <w:szCs w:val="22"/>
              </w:rPr>
            </w:pPr>
          </w:p>
        </w:tc>
        <w:tc>
          <w:tcPr>
            <w:tcW w:w="613" w:type="pct"/>
          </w:tcPr>
          <w:p w14:paraId="4A0585AD" w14:textId="77777777" w:rsidR="002431A0" w:rsidRPr="00630129" w:rsidRDefault="002431A0" w:rsidP="002431A0">
            <w:pPr>
              <w:pStyle w:val="EndnoteText"/>
              <w:rPr>
                <w:sz w:val="22"/>
                <w:szCs w:val="22"/>
              </w:rPr>
            </w:pPr>
          </w:p>
        </w:tc>
        <w:tc>
          <w:tcPr>
            <w:tcW w:w="2171" w:type="pct"/>
          </w:tcPr>
          <w:p w14:paraId="50E60900" w14:textId="77777777" w:rsidR="002431A0" w:rsidRPr="00630129" w:rsidRDefault="002431A0" w:rsidP="002431A0">
            <w:pPr>
              <w:pStyle w:val="EndnoteText"/>
              <w:rPr>
                <w:sz w:val="22"/>
                <w:szCs w:val="22"/>
              </w:rPr>
            </w:pPr>
            <w:r w:rsidRPr="00630129">
              <w:rPr>
                <w:sz w:val="22"/>
                <w:szCs w:val="22"/>
              </w:rPr>
              <w:t>A logical register of a Metering System corresponding to one or more physical active import or active export registers (e.g. totalising meters) and, in the case of SVA Metering Systems not subject to half hourly metering, relating to a single valid combination of Time Pattern Regime and Standard Settlement Configuration.</w:t>
            </w:r>
          </w:p>
        </w:tc>
      </w:tr>
      <w:tr w:rsidR="002431A0" w:rsidRPr="00630129" w14:paraId="581A1A1B" w14:textId="77777777" w:rsidTr="00A63BA8">
        <w:trPr>
          <w:cantSplit/>
        </w:trPr>
        <w:tc>
          <w:tcPr>
            <w:tcW w:w="1191" w:type="pct"/>
          </w:tcPr>
          <w:p w14:paraId="6861037D" w14:textId="77777777" w:rsidR="002431A0" w:rsidRPr="00630129" w:rsidRDefault="002431A0" w:rsidP="002431A0">
            <w:pPr>
              <w:pStyle w:val="EndnoteText"/>
              <w:rPr>
                <w:sz w:val="22"/>
                <w:szCs w:val="22"/>
              </w:rPr>
            </w:pPr>
            <w:r w:rsidRPr="00630129">
              <w:rPr>
                <w:sz w:val="22"/>
                <w:szCs w:val="22"/>
              </w:rPr>
              <w:t>Shared Suppliers' Metering System Metered Consumption</w:t>
            </w:r>
          </w:p>
        </w:tc>
        <w:tc>
          <w:tcPr>
            <w:tcW w:w="1024" w:type="pct"/>
          </w:tcPr>
          <w:p w14:paraId="6CCFCA4B" w14:textId="77777777" w:rsidR="002431A0" w:rsidRPr="00630129" w:rsidRDefault="002431A0" w:rsidP="002431A0">
            <w:pPr>
              <w:pStyle w:val="EndnoteText"/>
              <w:rPr>
                <w:sz w:val="22"/>
                <w:szCs w:val="22"/>
              </w:rPr>
            </w:pPr>
            <w:proofErr w:type="spellStart"/>
            <w:r w:rsidRPr="00630129">
              <w:rPr>
                <w:sz w:val="22"/>
                <w:szCs w:val="22"/>
              </w:rPr>
              <w:t>SHMMC</w:t>
            </w:r>
            <w:r w:rsidRPr="00630129">
              <w:rPr>
                <w:sz w:val="22"/>
                <w:szCs w:val="22"/>
                <w:vertAlign w:val="subscript"/>
              </w:rPr>
              <w:t>ZaKj</w:t>
            </w:r>
            <w:proofErr w:type="spellEnd"/>
          </w:p>
        </w:tc>
        <w:tc>
          <w:tcPr>
            <w:tcW w:w="613" w:type="pct"/>
          </w:tcPr>
          <w:p w14:paraId="7A90910F" w14:textId="77777777" w:rsidR="002431A0" w:rsidRPr="00630129" w:rsidRDefault="002431A0" w:rsidP="002431A0">
            <w:pPr>
              <w:pStyle w:val="EndnoteText"/>
              <w:rPr>
                <w:sz w:val="22"/>
                <w:szCs w:val="22"/>
              </w:rPr>
            </w:pPr>
            <w:r w:rsidRPr="00630129">
              <w:rPr>
                <w:sz w:val="22"/>
                <w:szCs w:val="22"/>
              </w:rPr>
              <w:t>kWh</w:t>
            </w:r>
          </w:p>
        </w:tc>
        <w:tc>
          <w:tcPr>
            <w:tcW w:w="2171" w:type="pct"/>
          </w:tcPr>
          <w:p w14:paraId="1719E95C" w14:textId="77777777" w:rsidR="002431A0" w:rsidRPr="00630129" w:rsidRDefault="002431A0" w:rsidP="002431A0">
            <w:pPr>
              <w:pStyle w:val="EndnoteText"/>
              <w:rPr>
                <w:sz w:val="22"/>
                <w:szCs w:val="22"/>
              </w:rPr>
            </w:pPr>
            <w:r w:rsidRPr="00630129">
              <w:rPr>
                <w:sz w:val="22"/>
                <w:szCs w:val="22"/>
              </w:rPr>
              <w:t>The half hourly metered Consumption for a SVA Metering System which measures Active Energy that is allocated between a Primary Supplier and the associated Secondary Supplier(s) and which half hourly consumption is determined pursuant to paragraph 3.5 of Annex S-2.</w:t>
            </w:r>
          </w:p>
        </w:tc>
      </w:tr>
      <w:tr w:rsidR="002431A0" w:rsidRPr="00630129" w14:paraId="13817A8F" w14:textId="77777777" w:rsidTr="00A63BA8">
        <w:trPr>
          <w:cantSplit/>
        </w:trPr>
        <w:tc>
          <w:tcPr>
            <w:tcW w:w="1191" w:type="pct"/>
          </w:tcPr>
          <w:p w14:paraId="7C6853AC" w14:textId="77777777" w:rsidR="002431A0" w:rsidRPr="00630129" w:rsidRDefault="002431A0" w:rsidP="002431A0">
            <w:pPr>
              <w:pStyle w:val="EndnoteText"/>
              <w:rPr>
                <w:sz w:val="22"/>
                <w:szCs w:val="22"/>
              </w:rPr>
            </w:pPr>
            <w:r w:rsidRPr="00630129">
              <w:rPr>
                <w:sz w:val="22"/>
                <w:szCs w:val="22"/>
              </w:rPr>
              <w:t>Smoothing Parameter</w:t>
            </w:r>
          </w:p>
        </w:tc>
        <w:tc>
          <w:tcPr>
            <w:tcW w:w="1024" w:type="pct"/>
          </w:tcPr>
          <w:p w14:paraId="495EF3D5" w14:textId="77777777" w:rsidR="002431A0" w:rsidRPr="00630129" w:rsidRDefault="002431A0" w:rsidP="002431A0">
            <w:pPr>
              <w:pStyle w:val="EndnoteText"/>
              <w:rPr>
                <w:sz w:val="22"/>
                <w:szCs w:val="22"/>
              </w:rPr>
            </w:pPr>
            <w:r w:rsidRPr="00630129">
              <w:rPr>
                <w:sz w:val="22"/>
                <w:szCs w:val="22"/>
              </w:rPr>
              <w:t>SPAR</w:t>
            </w:r>
          </w:p>
        </w:tc>
        <w:tc>
          <w:tcPr>
            <w:tcW w:w="613" w:type="pct"/>
          </w:tcPr>
          <w:p w14:paraId="5ABD0014"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1FB8E6F8" w14:textId="77777777" w:rsidR="002431A0" w:rsidRPr="00630129" w:rsidRDefault="002431A0" w:rsidP="002431A0">
            <w:pPr>
              <w:pStyle w:val="EndnoteText"/>
              <w:rPr>
                <w:sz w:val="22"/>
                <w:szCs w:val="22"/>
              </w:rPr>
            </w:pPr>
            <w:r w:rsidRPr="00630129">
              <w:rPr>
                <w:sz w:val="22"/>
                <w:szCs w:val="22"/>
              </w:rPr>
              <w:t>A parameter set by the Panel from time to time is used in the determination of the Annualised Advance Adjustment Factor pursuant to paragraph 4.3 of Annex S-2.</w:t>
            </w:r>
          </w:p>
        </w:tc>
      </w:tr>
      <w:tr w:rsidR="002431A0" w:rsidRPr="00630129" w14:paraId="364C0875" w14:textId="77777777" w:rsidTr="00A63BA8">
        <w:trPr>
          <w:cantSplit/>
        </w:trPr>
        <w:tc>
          <w:tcPr>
            <w:tcW w:w="1191" w:type="pct"/>
          </w:tcPr>
          <w:p w14:paraId="694777D8" w14:textId="77777777" w:rsidR="002431A0" w:rsidRPr="00630129" w:rsidRDefault="002431A0" w:rsidP="002431A0">
            <w:pPr>
              <w:pStyle w:val="EndnoteText"/>
              <w:rPr>
                <w:sz w:val="22"/>
                <w:szCs w:val="22"/>
              </w:rPr>
            </w:pPr>
            <w:r w:rsidRPr="00630129">
              <w:rPr>
                <w:sz w:val="22"/>
                <w:szCs w:val="22"/>
              </w:rPr>
              <w:t>Specimen Settlement Day</w:t>
            </w:r>
          </w:p>
        </w:tc>
        <w:tc>
          <w:tcPr>
            <w:tcW w:w="1024" w:type="pct"/>
          </w:tcPr>
          <w:p w14:paraId="75CD86A3" w14:textId="77777777" w:rsidR="002431A0" w:rsidRPr="00630129" w:rsidRDefault="002431A0" w:rsidP="002431A0">
            <w:pPr>
              <w:pStyle w:val="EndnoteText"/>
              <w:rPr>
                <w:sz w:val="22"/>
                <w:szCs w:val="22"/>
              </w:rPr>
            </w:pPr>
          </w:p>
        </w:tc>
        <w:tc>
          <w:tcPr>
            <w:tcW w:w="613" w:type="pct"/>
          </w:tcPr>
          <w:p w14:paraId="68B30E01" w14:textId="77777777" w:rsidR="002431A0" w:rsidRPr="00630129" w:rsidRDefault="002431A0" w:rsidP="002431A0">
            <w:pPr>
              <w:pStyle w:val="EndnoteText"/>
              <w:rPr>
                <w:sz w:val="22"/>
                <w:szCs w:val="22"/>
              </w:rPr>
            </w:pPr>
          </w:p>
        </w:tc>
        <w:tc>
          <w:tcPr>
            <w:tcW w:w="2171" w:type="pct"/>
          </w:tcPr>
          <w:p w14:paraId="382D20B1" w14:textId="77777777" w:rsidR="002431A0" w:rsidRPr="00630129" w:rsidRDefault="002431A0" w:rsidP="002431A0">
            <w:pPr>
              <w:pStyle w:val="EndnoteText"/>
              <w:rPr>
                <w:sz w:val="22"/>
                <w:szCs w:val="22"/>
              </w:rPr>
            </w:pPr>
            <w:r w:rsidRPr="00630129">
              <w:rPr>
                <w:sz w:val="22"/>
                <w:szCs w:val="22"/>
              </w:rPr>
              <w:t>In relation to any Settlement Day, a Settlement Day having the same attributes as that Settlement Day other than a Clock Change.</w:t>
            </w:r>
          </w:p>
        </w:tc>
      </w:tr>
      <w:tr w:rsidR="002431A0" w:rsidRPr="00630129" w14:paraId="12A188F4" w14:textId="77777777" w:rsidTr="00A63BA8">
        <w:trPr>
          <w:cantSplit/>
        </w:trPr>
        <w:tc>
          <w:tcPr>
            <w:tcW w:w="1191" w:type="pct"/>
          </w:tcPr>
          <w:p w14:paraId="1DED4866" w14:textId="77777777" w:rsidR="002431A0" w:rsidRPr="00630129" w:rsidRDefault="002431A0" w:rsidP="002431A0">
            <w:pPr>
              <w:pStyle w:val="EndnoteText"/>
              <w:rPr>
                <w:sz w:val="22"/>
                <w:szCs w:val="22"/>
              </w:rPr>
            </w:pPr>
            <w:r w:rsidRPr="00630129">
              <w:rPr>
                <w:sz w:val="22"/>
                <w:szCs w:val="22"/>
              </w:rPr>
              <w:t>Standard Settlement Configuration</w:t>
            </w:r>
          </w:p>
        </w:tc>
        <w:tc>
          <w:tcPr>
            <w:tcW w:w="1024" w:type="pct"/>
          </w:tcPr>
          <w:p w14:paraId="32FF2701" w14:textId="77777777" w:rsidR="002431A0" w:rsidRPr="00630129" w:rsidRDefault="002431A0" w:rsidP="002431A0">
            <w:pPr>
              <w:pStyle w:val="EndnoteText"/>
              <w:rPr>
                <w:sz w:val="22"/>
                <w:szCs w:val="22"/>
              </w:rPr>
            </w:pPr>
          </w:p>
        </w:tc>
        <w:tc>
          <w:tcPr>
            <w:tcW w:w="613" w:type="pct"/>
          </w:tcPr>
          <w:p w14:paraId="018822D1" w14:textId="77777777" w:rsidR="002431A0" w:rsidRPr="00630129" w:rsidRDefault="002431A0" w:rsidP="002431A0">
            <w:pPr>
              <w:pStyle w:val="EndnoteText"/>
              <w:rPr>
                <w:sz w:val="22"/>
                <w:szCs w:val="22"/>
              </w:rPr>
            </w:pPr>
          </w:p>
        </w:tc>
        <w:tc>
          <w:tcPr>
            <w:tcW w:w="2171" w:type="pct"/>
          </w:tcPr>
          <w:p w14:paraId="5EAC4A0C" w14:textId="77777777" w:rsidR="002431A0" w:rsidRPr="00630129" w:rsidRDefault="002431A0" w:rsidP="002431A0">
            <w:pPr>
              <w:pStyle w:val="EndnoteText"/>
              <w:rPr>
                <w:sz w:val="22"/>
                <w:szCs w:val="22"/>
              </w:rPr>
            </w:pPr>
            <w:r w:rsidRPr="00630129">
              <w:rPr>
                <w:sz w:val="22"/>
                <w:szCs w:val="22"/>
              </w:rPr>
              <w:t>A standard Metering System configuration recognised by the Supplier Volume Allocation Agent System.</w:t>
            </w:r>
          </w:p>
        </w:tc>
      </w:tr>
      <w:tr w:rsidR="002431A0" w:rsidRPr="00630129" w14:paraId="0CB5D4BE" w14:textId="77777777" w:rsidTr="00A63BA8">
        <w:trPr>
          <w:cantSplit/>
        </w:trPr>
        <w:tc>
          <w:tcPr>
            <w:tcW w:w="1191" w:type="pct"/>
          </w:tcPr>
          <w:p w14:paraId="5A0FA85E" w14:textId="77777777" w:rsidR="002431A0" w:rsidRPr="00630129" w:rsidRDefault="002431A0" w:rsidP="002431A0">
            <w:pPr>
              <w:pStyle w:val="EndnoteText"/>
              <w:rPr>
                <w:sz w:val="22"/>
                <w:szCs w:val="22"/>
              </w:rPr>
            </w:pPr>
            <w:r w:rsidRPr="00630129">
              <w:rPr>
                <w:sz w:val="22"/>
                <w:szCs w:val="22"/>
              </w:rPr>
              <w:t>Standard Settlement Configuration Estimated Daily Consumption</w:t>
            </w:r>
          </w:p>
        </w:tc>
        <w:tc>
          <w:tcPr>
            <w:tcW w:w="1024" w:type="pct"/>
          </w:tcPr>
          <w:p w14:paraId="25BB130A" w14:textId="77777777" w:rsidR="002431A0" w:rsidRPr="00630129" w:rsidRDefault="002431A0" w:rsidP="002431A0">
            <w:pPr>
              <w:pStyle w:val="EndnoteText"/>
              <w:rPr>
                <w:sz w:val="22"/>
                <w:szCs w:val="22"/>
              </w:rPr>
            </w:pPr>
            <w:r w:rsidRPr="00630129">
              <w:rPr>
                <w:sz w:val="22"/>
                <w:szCs w:val="22"/>
              </w:rPr>
              <w:t>SSCED</w:t>
            </w:r>
            <w:r w:rsidRPr="00630129">
              <w:rPr>
                <w:sz w:val="22"/>
                <w:szCs w:val="22"/>
                <w:vertAlign w:val="subscript"/>
              </w:rPr>
              <w:t>HPCT`</w:t>
            </w:r>
          </w:p>
        </w:tc>
        <w:tc>
          <w:tcPr>
            <w:tcW w:w="613" w:type="pct"/>
          </w:tcPr>
          <w:p w14:paraId="14D627E6" w14:textId="77777777" w:rsidR="002431A0" w:rsidRPr="00630129" w:rsidRDefault="002431A0" w:rsidP="002431A0">
            <w:pPr>
              <w:pStyle w:val="EndnoteText"/>
              <w:rPr>
                <w:sz w:val="22"/>
                <w:szCs w:val="22"/>
              </w:rPr>
            </w:pPr>
            <w:r w:rsidRPr="00630129">
              <w:rPr>
                <w:sz w:val="22"/>
                <w:szCs w:val="22"/>
              </w:rPr>
              <w:t>kWh</w:t>
            </w:r>
          </w:p>
        </w:tc>
        <w:tc>
          <w:tcPr>
            <w:tcW w:w="2171" w:type="pct"/>
          </w:tcPr>
          <w:p w14:paraId="76C55E0B" w14:textId="77777777" w:rsidR="002431A0" w:rsidRPr="00630129" w:rsidRDefault="002431A0" w:rsidP="002431A0">
            <w:pPr>
              <w:pStyle w:val="Header"/>
              <w:tabs>
                <w:tab w:val="clear" w:pos="4153"/>
                <w:tab w:val="clear" w:pos="8306"/>
              </w:tabs>
              <w:rPr>
                <w:sz w:val="22"/>
                <w:szCs w:val="22"/>
              </w:rPr>
            </w:pPr>
            <w:r w:rsidRPr="00630129">
              <w:rPr>
                <w:sz w:val="22"/>
                <w:szCs w:val="22"/>
              </w:rPr>
              <w:t>The average Estimated Daily Consumption in respect of a GSP Group, Profile Class, Standard Settlement Configuration and Settlement Day determined pursuant to paragraph 5.1 of Annex S-2.</w:t>
            </w:r>
          </w:p>
        </w:tc>
      </w:tr>
      <w:tr w:rsidR="002431A0" w:rsidRPr="00630129" w14:paraId="2576F6CC" w14:textId="77777777" w:rsidTr="00A63BA8">
        <w:trPr>
          <w:cantSplit/>
        </w:trPr>
        <w:tc>
          <w:tcPr>
            <w:tcW w:w="1191" w:type="pct"/>
          </w:tcPr>
          <w:p w14:paraId="36AF4388" w14:textId="77777777" w:rsidR="002431A0" w:rsidRPr="00630129" w:rsidRDefault="002431A0" w:rsidP="002431A0">
            <w:pPr>
              <w:pStyle w:val="EndnoteText"/>
              <w:rPr>
                <w:sz w:val="22"/>
                <w:szCs w:val="22"/>
              </w:rPr>
            </w:pPr>
            <w:r w:rsidRPr="00630129">
              <w:rPr>
                <w:sz w:val="22"/>
                <w:szCs w:val="22"/>
              </w:rPr>
              <w:t>Sunset Time</w:t>
            </w:r>
          </w:p>
        </w:tc>
        <w:tc>
          <w:tcPr>
            <w:tcW w:w="1024" w:type="pct"/>
          </w:tcPr>
          <w:p w14:paraId="7CBE8F52" w14:textId="77777777" w:rsidR="002431A0" w:rsidRPr="00630129" w:rsidRDefault="002431A0" w:rsidP="002431A0">
            <w:pPr>
              <w:pStyle w:val="EndnoteText"/>
              <w:rPr>
                <w:sz w:val="22"/>
                <w:szCs w:val="22"/>
              </w:rPr>
            </w:pPr>
            <w:r w:rsidRPr="00630129">
              <w:rPr>
                <w:sz w:val="22"/>
                <w:szCs w:val="22"/>
              </w:rPr>
              <w:t>SUNT</w:t>
            </w:r>
          </w:p>
        </w:tc>
        <w:tc>
          <w:tcPr>
            <w:tcW w:w="613" w:type="pct"/>
          </w:tcPr>
          <w:p w14:paraId="358D319A" w14:textId="77777777" w:rsidR="002431A0" w:rsidRPr="00630129" w:rsidRDefault="002431A0" w:rsidP="002431A0">
            <w:pPr>
              <w:pStyle w:val="EndnoteText"/>
              <w:rPr>
                <w:sz w:val="22"/>
                <w:szCs w:val="22"/>
              </w:rPr>
            </w:pPr>
            <w:r w:rsidRPr="00630129">
              <w:rPr>
                <w:sz w:val="22"/>
                <w:szCs w:val="22"/>
              </w:rPr>
              <w:t>Minutes</w:t>
            </w:r>
          </w:p>
        </w:tc>
        <w:tc>
          <w:tcPr>
            <w:tcW w:w="2171" w:type="pct"/>
          </w:tcPr>
          <w:p w14:paraId="04B4C1AF" w14:textId="77777777" w:rsidR="002431A0" w:rsidRPr="00630129" w:rsidRDefault="002431A0" w:rsidP="002431A0">
            <w:pPr>
              <w:pStyle w:val="EndnoteText"/>
              <w:rPr>
                <w:sz w:val="22"/>
                <w:szCs w:val="22"/>
              </w:rPr>
            </w:pPr>
            <w:r w:rsidRPr="00630129">
              <w:rPr>
                <w:sz w:val="22"/>
                <w:szCs w:val="22"/>
              </w:rPr>
              <w:t>The time duration from the start of the Settlement Day to the time of sunset determined pursuant to paragraph 6.5 of Annex S-2 with reference to the Time of Sunset Data.</w:t>
            </w:r>
          </w:p>
        </w:tc>
      </w:tr>
      <w:tr w:rsidR="002431A0" w:rsidRPr="00630129" w14:paraId="6B1EA415" w14:textId="77777777" w:rsidTr="00A63BA8">
        <w:trPr>
          <w:cantSplit/>
        </w:trPr>
        <w:tc>
          <w:tcPr>
            <w:tcW w:w="1191" w:type="pct"/>
          </w:tcPr>
          <w:p w14:paraId="5FE6A7A1" w14:textId="77777777" w:rsidR="002431A0" w:rsidRPr="00630129" w:rsidRDefault="002431A0" w:rsidP="002431A0">
            <w:pPr>
              <w:pStyle w:val="EndnoteText"/>
              <w:rPr>
                <w:sz w:val="22"/>
                <w:szCs w:val="22"/>
              </w:rPr>
            </w:pPr>
            <w:r w:rsidRPr="00630129">
              <w:rPr>
                <w:sz w:val="22"/>
                <w:szCs w:val="22"/>
              </w:rPr>
              <w:t>Sunset Variable</w:t>
            </w:r>
          </w:p>
        </w:tc>
        <w:tc>
          <w:tcPr>
            <w:tcW w:w="1024" w:type="pct"/>
          </w:tcPr>
          <w:p w14:paraId="2EB9BC2F" w14:textId="77777777" w:rsidR="002431A0" w:rsidRPr="00630129" w:rsidRDefault="002431A0" w:rsidP="002431A0">
            <w:pPr>
              <w:pStyle w:val="EndnoteText"/>
              <w:rPr>
                <w:sz w:val="22"/>
                <w:szCs w:val="22"/>
              </w:rPr>
            </w:pPr>
            <w:r w:rsidRPr="00630129">
              <w:rPr>
                <w:sz w:val="22"/>
                <w:szCs w:val="22"/>
              </w:rPr>
              <w:t>S</w:t>
            </w:r>
          </w:p>
        </w:tc>
        <w:tc>
          <w:tcPr>
            <w:tcW w:w="613" w:type="pct"/>
          </w:tcPr>
          <w:p w14:paraId="267511BF" w14:textId="77777777" w:rsidR="002431A0" w:rsidRPr="00630129" w:rsidRDefault="002431A0" w:rsidP="002431A0">
            <w:pPr>
              <w:pStyle w:val="EndnoteText"/>
              <w:rPr>
                <w:sz w:val="22"/>
                <w:szCs w:val="22"/>
              </w:rPr>
            </w:pPr>
            <w:r w:rsidRPr="00630129">
              <w:rPr>
                <w:sz w:val="22"/>
                <w:szCs w:val="22"/>
              </w:rPr>
              <w:t>Minutes</w:t>
            </w:r>
          </w:p>
        </w:tc>
        <w:tc>
          <w:tcPr>
            <w:tcW w:w="2171" w:type="pct"/>
          </w:tcPr>
          <w:p w14:paraId="7436887A" w14:textId="77777777" w:rsidR="002431A0" w:rsidRPr="00630129" w:rsidRDefault="002431A0" w:rsidP="002431A0">
            <w:pPr>
              <w:pStyle w:val="EndnoteText"/>
              <w:rPr>
                <w:sz w:val="22"/>
                <w:szCs w:val="22"/>
              </w:rPr>
            </w:pPr>
            <w:r w:rsidRPr="00630129">
              <w:rPr>
                <w:sz w:val="22"/>
                <w:szCs w:val="22"/>
              </w:rPr>
              <w:t>The number of minutes after 1800 hours GMT that the sun is deemed to set, determined pursuant to paragraph 6.5 of Annex S-2.</w:t>
            </w:r>
          </w:p>
        </w:tc>
      </w:tr>
      <w:tr w:rsidR="002431A0" w:rsidRPr="00630129" w14:paraId="2B198E3D" w14:textId="77777777" w:rsidTr="00A63BA8">
        <w:trPr>
          <w:cantSplit/>
        </w:trPr>
        <w:tc>
          <w:tcPr>
            <w:tcW w:w="1191" w:type="pct"/>
          </w:tcPr>
          <w:p w14:paraId="1189ABE6" w14:textId="77777777" w:rsidR="002431A0" w:rsidRPr="00FA6F10" w:rsidRDefault="002431A0" w:rsidP="002431A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FC0D03">
              <w:rPr>
                <w:rFonts w:ascii="Times New Roman" w:hAnsi="Times New Roman"/>
                <w:sz w:val="22"/>
              </w:rPr>
              <w:t xml:space="preserve">Supplier BM Unit Non BM ABSVD </w:t>
            </w:r>
          </w:p>
        </w:tc>
        <w:tc>
          <w:tcPr>
            <w:tcW w:w="1024" w:type="pct"/>
          </w:tcPr>
          <w:p w14:paraId="69944A2E" w14:textId="77777777" w:rsidR="002431A0" w:rsidRPr="00FA6F10" w:rsidRDefault="002431A0" w:rsidP="002431A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proofErr w:type="spellStart"/>
            <w:r w:rsidRPr="00FC0D03">
              <w:rPr>
                <w:rFonts w:ascii="Times New Roman" w:hAnsi="Times New Roman"/>
                <w:sz w:val="22"/>
              </w:rPr>
              <w:t>SNBABSVD</w:t>
            </w:r>
            <w:r w:rsidRPr="00FC0D03">
              <w:rPr>
                <w:rFonts w:ascii="Times New Roman" w:hAnsi="Times New Roman"/>
                <w:sz w:val="22"/>
                <w:vertAlign w:val="subscript"/>
              </w:rPr>
              <w:t>ij</w:t>
            </w:r>
            <w:proofErr w:type="spellEnd"/>
          </w:p>
        </w:tc>
        <w:tc>
          <w:tcPr>
            <w:tcW w:w="613" w:type="pct"/>
          </w:tcPr>
          <w:p w14:paraId="78EEA651" w14:textId="77777777" w:rsidR="002431A0" w:rsidRPr="00FA6F10" w:rsidRDefault="002431A0" w:rsidP="002431A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FC0D03">
              <w:rPr>
                <w:rFonts w:ascii="Times New Roman" w:hAnsi="Times New Roman"/>
                <w:sz w:val="22"/>
              </w:rPr>
              <w:t>MWh</w:t>
            </w:r>
          </w:p>
        </w:tc>
        <w:tc>
          <w:tcPr>
            <w:tcW w:w="2171" w:type="pct"/>
          </w:tcPr>
          <w:p w14:paraId="766F68EF" w14:textId="77777777" w:rsidR="002431A0" w:rsidRPr="00FA6F10" w:rsidRDefault="002431A0" w:rsidP="002431A0">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sz w:val="22"/>
                <w:szCs w:val="22"/>
              </w:rPr>
            </w:pPr>
            <w:r w:rsidRPr="00FC0D03">
              <w:rPr>
                <w:rFonts w:ascii="Times New Roman" w:hAnsi="Times New Roman"/>
                <w:sz w:val="22"/>
              </w:rPr>
              <w:t xml:space="preserve">The amount determined in accordance with Annex S-2 paragraph </w:t>
            </w:r>
            <w:r>
              <w:rPr>
                <w:rFonts w:ascii="Times New Roman" w:hAnsi="Times New Roman"/>
                <w:sz w:val="22"/>
              </w:rPr>
              <w:t>9.6.1D</w:t>
            </w:r>
            <w:r w:rsidRPr="00FC0D03">
              <w:rPr>
                <w:rFonts w:ascii="Times New Roman" w:hAnsi="Times New Roman"/>
                <w:sz w:val="22"/>
              </w:rPr>
              <w:t>.</w:t>
            </w:r>
          </w:p>
        </w:tc>
      </w:tr>
      <w:tr w:rsidR="002431A0" w:rsidRPr="00630129" w14:paraId="274CF954" w14:textId="77777777" w:rsidTr="00A63BA8">
        <w:trPr>
          <w:cantSplit/>
        </w:trPr>
        <w:tc>
          <w:tcPr>
            <w:tcW w:w="1191" w:type="pct"/>
          </w:tcPr>
          <w:p w14:paraId="0E7285EA" w14:textId="77777777" w:rsidR="002431A0" w:rsidRPr="00630129" w:rsidRDefault="002431A0" w:rsidP="002431A0">
            <w:pPr>
              <w:pStyle w:val="EndnoteText"/>
              <w:rPr>
                <w:sz w:val="22"/>
                <w:szCs w:val="22"/>
              </w:rPr>
            </w:pPr>
            <w:r w:rsidRPr="00630129">
              <w:rPr>
                <w:sz w:val="22"/>
                <w:szCs w:val="22"/>
              </w:rPr>
              <w:lastRenderedPageBreak/>
              <w:t>Supplier Cap Take</w:t>
            </w:r>
          </w:p>
        </w:tc>
        <w:tc>
          <w:tcPr>
            <w:tcW w:w="1024" w:type="pct"/>
          </w:tcPr>
          <w:p w14:paraId="5A882DFC" w14:textId="77777777" w:rsidR="002431A0" w:rsidRPr="00630129" w:rsidRDefault="002431A0" w:rsidP="002431A0">
            <w:pPr>
              <w:pStyle w:val="EndnoteText"/>
              <w:rPr>
                <w:sz w:val="22"/>
                <w:szCs w:val="22"/>
              </w:rPr>
            </w:pPr>
            <w:proofErr w:type="spellStart"/>
            <w:r w:rsidRPr="00630129">
              <w:rPr>
                <w:sz w:val="22"/>
                <w:szCs w:val="22"/>
              </w:rPr>
              <w:t>SCT</w:t>
            </w:r>
            <w:r w:rsidRPr="00630129">
              <w:rPr>
                <w:sz w:val="22"/>
                <w:szCs w:val="22"/>
                <w:vertAlign w:val="subscript"/>
              </w:rPr>
              <w:t>HZj</w:t>
            </w:r>
            <w:proofErr w:type="spellEnd"/>
          </w:p>
        </w:tc>
        <w:tc>
          <w:tcPr>
            <w:tcW w:w="613" w:type="pct"/>
          </w:tcPr>
          <w:p w14:paraId="3558FD6E" w14:textId="77777777" w:rsidR="002431A0" w:rsidRPr="00630129" w:rsidRDefault="002431A0" w:rsidP="002431A0">
            <w:pPr>
              <w:pStyle w:val="EndnoteText"/>
              <w:rPr>
                <w:sz w:val="22"/>
                <w:szCs w:val="22"/>
              </w:rPr>
            </w:pPr>
            <w:r w:rsidRPr="00630129">
              <w:rPr>
                <w:sz w:val="22"/>
                <w:szCs w:val="22"/>
              </w:rPr>
              <w:t>MWh</w:t>
            </w:r>
          </w:p>
        </w:tc>
        <w:tc>
          <w:tcPr>
            <w:tcW w:w="2171" w:type="pct"/>
          </w:tcPr>
          <w:p w14:paraId="31FF397B" w14:textId="77777777" w:rsidR="002431A0" w:rsidRPr="00630129" w:rsidRDefault="002431A0" w:rsidP="002431A0">
            <w:pPr>
              <w:pStyle w:val="EndnoteText"/>
              <w:rPr>
                <w:sz w:val="22"/>
                <w:szCs w:val="22"/>
              </w:rPr>
            </w:pPr>
            <w:r w:rsidRPr="00630129">
              <w:rPr>
                <w:sz w:val="22"/>
                <w:szCs w:val="22"/>
              </w:rPr>
              <w:t>The deemed take (active import) at GSP Group level for a SVA Supplier during a Settlement Period pursuant to paragraph 9.7 of Annex S-2.</w:t>
            </w:r>
          </w:p>
        </w:tc>
      </w:tr>
      <w:tr w:rsidR="002431A0" w:rsidRPr="00630129" w14:paraId="4A866F4C" w14:textId="77777777" w:rsidTr="00A63BA8">
        <w:trPr>
          <w:cantSplit/>
        </w:trPr>
        <w:tc>
          <w:tcPr>
            <w:tcW w:w="1191" w:type="pct"/>
          </w:tcPr>
          <w:p w14:paraId="4F05D698" w14:textId="77777777" w:rsidR="002431A0" w:rsidRPr="00630129" w:rsidRDefault="002431A0" w:rsidP="002431A0">
            <w:pPr>
              <w:pStyle w:val="EndnoteText"/>
              <w:rPr>
                <w:sz w:val="22"/>
                <w:szCs w:val="22"/>
              </w:rPr>
            </w:pPr>
            <w:r w:rsidRPr="00630129">
              <w:rPr>
                <w:sz w:val="22"/>
                <w:szCs w:val="22"/>
              </w:rPr>
              <w:t>Supplier Deemed Take</w:t>
            </w:r>
          </w:p>
        </w:tc>
        <w:tc>
          <w:tcPr>
            <w:tcW w:w="1024" w:type="pct"/>
          </w:tcPr>
          <w:p w14:paraId="2E065F36" w14:textId="77777777" w:rsidR="002431A0" w:rsidRPr="00630129" w:rsidRDefault="002431A0" w:rsidP="002431A0">
            <w:pPr>
              <w:pStyle w:val="EndnoteText"/>
              <w:rPr>
                <w:sz w:val="22"/>
                <w:szCs w:val="22"/>
              </w:rPr>
            </w:pPr>
            <w:proofErr w:type="spellStart"/>
            <w:r w:rsidRPr="00630129">
              <w:rPr>
                <w:sz w:val="22"/>
                <w:szCs w:val="22"/>
              </w:rPr>
              <w:t>SDT</w:t>
            </w:r>
            <w:r w:rsidRPr="00630129">
              <w:rPr>
                <w:sz w:val="22"/>
                <w:szCs w:val="22"/>
                <w:vertAlign w:val="subscript"/>
              </w:rPr>
              <w:t>HZj</w:t>
            </w:r>
            <w:proofErr w:type="spellEnd"/>
          </w:p>
        </w:tc>
        <w:tc>
          <w:tcPr>
            <w:tcW w:w="613" w:type="pct"/>
          </w:tcPr>
          <w:p w14:paraId="457F53DD" w14:textId="77777777" w:rsidR="002431A0" w:rsidRPr="00630129" w:rsidRDefault="002431A0" w:rsidP="002431A0">
            <w:pPr>
              <w:pStyle w:val="EndnoteText"/>
              <w:rPr>
                <w:sz w:val="22"/>
                <w:szCs w:val="22"/>
              </w:rPr>
            </w:pPr>
            <w:r w:rsidRPr="00630129">
              <w:rPr>
                <w:sz w:val="22"/>
                <w:szCs w:val="22"/>
              </w:rPr>
              <w:t>MWh</w:t>
            </w:r>
          </w:p>
        </w:tc>
        <w:tc>
          <w:tcPr>
            <w:tcW w:w="2171" w:type="pct"/>
          </w:tcPr>
          <w:p w14:paraId="40C1166F" w14:textId="77777777" w:rsidR="002431A0" w:rsidRPr="00630129" w:rsidRDefault="002431A0" w:rsidP="002431A0">
            <w:pPr>
              <w:pStyle w:val="EndnoteText"/>
              <w:rPr>
                <w:i/>
                <w:sz w:val="22"/>
                <w:szCs w:val="22"/>
              </w:rPr>
            </w:pPr>
            <w:r w:rsidRPr="00630129">
              <w:rPr>
                <w:sz w:val="22"/>
                <w:szCs w:val="22"/>
              </w:rPr>
              <w:t>The deemed take at GSP Group level for a SVA Supplier during a Settlement Period determine pursuant to paragraph 9.4 of Annex S-2.</w:t>
            </w:r>
          </w:p>
        </w:tc>
      </w:tr>
      <w:tr w:rsidR="002431A0" w:rsidRPr="00630129" w14:paraId="4E320074"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2268A1AF" w14:textId="77777777" w:rsidR="002431A0" w:rsidRPr="00630129" w:rsidRDefault="002431A0" w:rsidP="002431A0">
            <w:pPr>
              <w:pStyle w:val="EndnoteText"/>
              <w:rPr>
                <w:sz w:val="22"/>
                <w:szCs w:val="22"/>
              </w:rPr>
            </w:pPr>
            <w:r w:rsidRPr="00630129">
              <w:rPr>
                <w:sz w:val="22"/>
                <w:szCs w:val="22"/>
              </w:rPr>
              <w:t>Supplier Disconnection Matrix</w:t>
            </w:r>
          </w:p>
        </w:tc>
        <w:tc>
          <w:tcPr>
            <w:tcW w:w="1024" w:type="pct"/>
            <w:tcBorders>
              <w:top w:val="single" w:sz="6" w:space="0" w:color="000000"/>
              <w:left w:val="single" w:sz="6" w:space="0" w:color="000000"/>
              <w:bottom w:val="single" w:sz="6" w:space="0" w:color="000000"/>
              <w:right w:val="single" w:sz="6" w:space="0" w:color="000000"/>
            </w:tcBorders>
          </w:tcPr>
          <w:p w14:paraId="230F7FB5" w14:textId="77777777" w:rsidR="002431A0" w:rsidRPr="00630129" w:rsidRDefault="002431A0" w:rsidP="002431A0">
            <w:pPr>
              <w:pStyle w:val="EndnoteText"/>
              <w:rPr>
                <w:sz w:val="22"/>
                <w:szCs w:val="22"/>
              </w:rPr>
            </w:pPr>
            <w:proofErr w:type="spellStart"/>
            <w:r w:rsidRPr="00630129">
              <w:rPr>
                <w:sz w:val="22"/>
                <w:szCs w:val="22"/>
              </w:rPr>
              <w:t>SDM</w:t>
            </w:r>
            <w:r w:rsidRPr="00630129">
              <w:rPr>
                <w:sz w:val="22"/>
                <w:szCs w:val="22"/>
                <w:vertAlign w:val="subscript"/>
              </w:rPr>
              <w:t>HZaLPR</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24A30105" w14:textId="77777777" w:rsidR="002431A0" w:rsidRPr="00630129" w:rsidRDefault="002431A0" w:rsidP="002431A0">
            <w:pPr>
              <w:pStyle w:val="EndnoteText"/>
              <w:rPr>
                <w:sz w:val="22"/>
                <w:szCs w:val="22"/>
              </w:rPr>
            </w:pPr>
          </w:p>
        </w:tc>
        <w:tc>
          <w:tcPr>
            <w:tcW w:w="2171" w:type="pct"/>
            <w:tcBorders>
              <w:top w:val="single" w:sz="6" w:space="0" w:color="000000"/>
              <w:left w:val="single" w:sz="6" w:space="0" w:color="000000"/>
              <w:bottom w:val="single" w:sz="6" w:space="0" w:color="000000"/>
              <w:right w:val="single" w:sz="6" w:space="0" w:color="000000"/>
            </w:tcBorders>
          </w:tcPr>
          <w:p w14:paraId="1C6AF47C" w14:textId="77777777" w:rsidR="002431A0" w:rsidRPr="00630129" w:rsidRDefault="002431A0" w:rsidP="002431A0">
            <w:pPr>
              <w:pStyle w:val="EndnoteText"/>
              <w:rPr>
                <w:sz w:val="22"/>
                <w:szCs w:val="22"/>
              </w:rPr>
            </w:pPr>
            <w:r w:rsidRPr="00630129">
              <w:rPr>
                <w:sz w:val="22"/>
                <w:szCs w:val="22"/>
              </w:rPr>
              <w:t>A matrix of data as determined pursuant to paragraph 4.5 of Annex S-2.</w:t>
            </w:r>
          </w:p>
        </w:tc>
      </w:tr>
      <w:tr w:rsidR="002431A0" w:rsidRPr="00630129" w14:paraId="5CE24410" w14:textId="77777777" w:rsidTr="00A63BA8">
        <w:trPr>
          <w:cantSplit/>
        </w:trPr>
        <w:tc>
          <w:tcPr>
            <w:tcW w:w="1191" w:type="pct"/>
          </w:tcPr>
          <w:p w14:paraId="6F483FF3" w14:textId="77777777" w:rsidR="002431A0" w:rsidRPr="00630129" w:rsidRDefault="002431A0" w:rsidP="002431A0">
            <w:pPr>
              <w:pStyle w:val="EndnoteText"/>
              <w:rPr>
                <w:sz w:val="22"/>
                <w:szCs w:val="22"/>
              </w:rPr>
            </w:pPr>
            <w:r w:rsidRPr="00630129">
              <w:rPr>
                <w:sz w:val="22"/>
                <w:szCs w:val="22"/>
              </w:rPr>
              <w:t>Supplier Purchase Matrix</w:t>
            </w:r>
          </w:p>
        </w:tc>
        <w:tc>
          <w:tcPr>
            <w:tcW w:w="1024" w:type="pct"/>
          </w:tcPr>
          <w:p w14:paraId="41CA3700" w14:textId="77777777" w:rsidR="002431A0" w:rsidRPr="00630129" w:rsidRDefault="002431A0" w:rsidP="002431A0">
            <w:pPr>
              <w:pStyle w:val="EndnoteText"/>
              <w:rPr>
                <w:sz w:val="22"/>
                <w:szCs w:val="22"/>
              </w:rPr>
            </w:pPr>
            <w:proofErr w:type="spellStart"/>
            <w:r w:rsidRPr="00630129">
              <w:rPr>
                <w:sz w:val="22"/>
                <w:szCs w:val="22"/>
              </w:rPr>
              <w:t>SPM</w:t>
            </w:r>
            <w:r w:rsidRPr="00630129">
              <w:rPr>
                <w:sz w:val="22"/>
                <w:szCs w:val="22"/>
                <w:vertAlign w:val="subscript"/>
              </w:rPr>
              <w:t>HZaLPR</w:t>
            </w:r>
            <w:proofErr w:type="spellEnd"/>
          </w:p>
        </w:tc>
        <w:tc>
          <w:tcPr>
            <w:tcW w:w="613" w:type="pct"/>
          </w:tcPr>
          <w:p w14:paraId="05ACE03B" w14:textId="77777777" w:rsidR="002431A0" w:rsidRPr="00630129" w:rsidRDefault="002431A0" w:rsidP="002431A0">
            <w:pPr>
              <w:pStyle w:val="EndnoteText"/>
              <w:rPr>
                <w:sz w:val="22"/>
                <w:szCs w:val="22"/>
              </w:rPr>
            </w:pPr>
          </w:p>
        </w:tc>
        <w:tc>
          <w:tcPr>
            <w:tcW w:w="2171" w:type="pct"/>
          </w:tcPr>
          <w:p w14:paraId="5422FA1E" w14:textId="77777777" w:rsidR="002431A0" w:rsidRPr="00630129" w:rsidRDefault="002431A0" w:rsidP="002431A0">
            <w:pPr>
              <w:pStyle w:val="EndnoteText"/>
              <w:rPr>
                <w:sz w:val="22"/>
                <w:szCs w:val="22"/>
              </w:rPr>
            </w:pPr>
            <w:r w:rsidRPr="00630129">
              <w:rPr>
                <w:sz w:val="22"/>
                <w:szCs w:val="22"/>
              </w:rPr>
              <w:t>A matrix of data as determined pursuant to paragraph 4.4 of Annex S-2.</w:t>
            </w:r>
          </w:p>
        </w:tc>
      </w:tr>
      <w:tr w:rsidR="002431A0" w:rsidRPr="00630129" w14:paraId="00E11240"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6F59FA9E" w14:textId="77777777" w:rsidR="002431A0" w:rsidRPr="00630129" w:rsidRDefault="002431A0" w:rsidP="002431A0">
            <w:pPr>
              <w:pStyle w:val="EndnoteText"/>
              <w:rPr>
                <w:sz w:val="22"/>
                <w:szCs w:val="22"/>
              </w:rPr>
            </w:pPr>
            <w:r w:rsidRPr="00630129">
              <w:rPr>
                <w:sz w:val="22"/>
                <w:szCs w:val="22"/>
              </w:rPr>
              <w:t>Supplier’s Demand Disconnection Volume</w:t>
            </w:r>
          </w:p>
        </w:tc>
        <w:tc>
          <w:tcPr>
            <w:tcW w:w="1024" w:type="pct"/>
            <w:tcBorders>
              <w:top w:val="single" w:sz="6" w:space="0" w:color="000000"/>
              <w:left w:val="single" w:sz="6" w:space="0" w:color="000000"/>
              <w:bottom w:val="single" w:sz="6" w:space="0" w:color="000000"/>
              <w:right w:val="single" w:sz="6" w:space="0" w:color="000000"/>
            </w:tcBorders>
          </w:tcPr>
          <w:p w14:paraId="69F0734F" w14:textId="77777777" w:rsidR="002431A0" w:rsidRPr="00630129" w:rsidRDefault="002431A0" w:rsidP="002431A0">
            <w:pPr>
              <w:pStyle w:val="EndnoteText"/>
              <w:rPr>
                <w:sz w:val="22"/>
                <w:szCs w:val="22"/>
              </w:rPr>
            </w:pPr>
            <w:proofErr w:type="spellStart"/>
            <w:r w:rsidRPr="00630129">
              <w:rPr>
                <w:sz w:val="22"/>
                <w:szCs w:val="22"/>
              </w:rPr>
              <w:t>SDD</w:t>
            </w:r>
            <w:r w:rsidRPr="00630129">
              <w:rPr>
                <w:sz w:val="22"/>
                <w:szCs w:val="22"/>
                <w:vertAlign w:val="subscript"/>
              </w:rPr>
              <w:t>HZaNj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48849DE7" w14:textId="77777777" w:rsidR="002431A0" w:rsidRPr="00630129" w:rsidRDefault="002431A0" w:rsidP="002431A0">
            <w:pPr>
              <w:pStyle w:val="EndnoteText"/>
              <w:rPr>
                <w:sz w:val="22"/>
                <w:szCs w:val="22"/>
              </w:rPr>
            </w:pPr>
            <w:r w:rsidRPr="00630129">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22AA7898" w14:textId="77777777" w:rsidR="002431A0" w:rsidRPr="00630129" w:rsidRDefault="002431A0" w:rsidP="002431A0">
            <w:pPr>
              <w:pStyle w:val="EndnoteText"/>
              <w:rPr>
                <w:sz w:val="22"/>
                <w:szCs w:val="22"/>
              </w:rPr>
            </w:pPr>
            <w:r w:rsidRPr="00630129">
              <w:rPr>
                <w:sz w:val="22"/>
                <w:szCs w:val="22"/>
              </w:rPr>
              <w:t>The half hourly Demand Disconnection volume, determined by a Half Hourly Data Aggregator pursuant to paragraph 3.7 of Annex S-2.</w:t>
            </w:r>
          </w:p>
        </w:tc>
      </w:tr>
      <w:tr w:rsidR="002431A0" w:rsidRPr="00630129" w14:paraId="1420B3A1"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5585C91C" w14:textId="77777777" w:rsidR="002431A0" w:rsidRPr="00630129" w:rsidRDefault="002431A0" w:rsidP="002431A0">
            <w:pPr>
              <w:pStyle w:val="EndnoteText"/>
              <w:rPr>
                <w:sz w:val="22"/>
                <w:szCs w:val="22"/>
              </w:rPr>
            </w:pPr>
            <w:r w:rsidRPr="00630129">
              <w:rPr>
                <w:sz w:val="22"/>
                <w:szCs w:val="22"/>
              </w:rPr>
              <w:t>Supplier’s Demand Disconnection Volume (Losses)</w:t>
            </w:r>
          </w:p>
        </w:tc>
        <w:tc>
          <w:tcPr>
            <w:tcW w:w="1024" w:type="pct"/>
            <w:tcBorders>
              <w:top w:val="single" w:sz="6" w:space="0" w:color="000000"/>
              <w:left w:val="single" w:sz="6" w:space="0" w:color="000000"/>
              <w:bottom w:val="single" w:sz="6" w:space="0" w:color="000000"/>
              <w:right w:val="single" w:sz="6" w:space="0" w:color="000000"/>
            </w:tcBorders>
          </w:tcPr>
          <w:p w14:paraId="0881294B" w14:textId="77777777" w:rsidR="002431A0" w:rsidRPr="00630129" w:rsidRDefault="002431A0" w:rsidP="002431A0">
            <w:pPr>
              <w:pStyle w:val="EndnoteText"/>
              <w:rPr>
                <w:sz w:val="22"/>
                <w:szCs w:val="22"/>
              </w:rPr>
            </w:pPr>
            <w:proofErr w:type="spellStart"/>
            <w:r w:rsidRPr="00630129">
              <w:rPr>
                <w:sz w:val="22"/>
                <w:szCs w:val="22"/>
              </w:rPr>
              <w:t>SDDL</w:t>
            </w:r>
            <w:r w:rsidRPr="00630129">
              <w:rPr>
                <w:sz w:val="22"/>
                <w:szCs w:val="22"/>
                <w:vertAlign w:val="subscript"/>
              </w:rPr>
              <w:t>HZaNj</w:t>
            </w:r>
            <w:proofErr w:type="spellEnd"/>
          </w:p>
        </w:tc>
        <w:tc>
          <w:tcPr>
            <w:tcW w:w="613" w:type="pct"/>
            <w:tcBorders>
              <w:top w:val="single" w:sz="6" w:space="0" w:color="000000"/>
              <w:left w:val="single" w:sz="6" w:space="0" w:color="000000"/>
              <w:bottom w:val="single" w:sz="6" w:space="0" w:color="000000"/>
              <w:right w:val="single" w:sz="6" w:space="0" w:color="000000"/>
            </w:tcBorders>
          </w:tcPr>
          <w:p w14:paraId="5E19D353" w14:textId="77777777" w:rsidR="002431A0" w:rsidRPr="00630129" w:rsidRDefault="002431A0" w:rsidP="002431A0">
            <w:pPr>
              <w:pStyle w:val="EndnoteText"/>
              <w:rPr>
                <w:sz w:val="22"/>
                <w:szCs w:val="22"/>
              </w:rPr>
            </w:pPr>
            <w:r w:rsidRPr="00630129">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1FCCF005" w14:textId="77777777" w:rsidR="002431A0" w:rsidRPr="00630129" w:rsidRDefault="002431A0" w:rsidP="002431A0">
            <w:pPr>
              <w:pStyle w:val="EndnoteText"/>
              <w:rPr>
                <w:sz w:val="22"/>
                <w:szCs w:val="22"/>
              </w:rPr>
            </w:pPr>
            <w:r w:rsidRPr="00630129">
              <w:rPr>
                <w:sz w:val="22"/>
                <w:szCs w:val="22"/>
              </w:rPr>
              <w:t>The line losses determined by a Half Hourly Data Aggregator as resulting from the Supplier’s Demand Disconnection Volume pursuant to paragraph 3.7 of Annex S-2.</w:t>
            </w:r>
          </w:p>
        </w:tc>
      </w:tr>
      <w:tr w:rsidR="002431A0" w:rsidRPr="00630129" w14:paraId="2692EEC9" w14:textId="77777777" w:rsidTr="00A63BA8">
        <w:trPr>
          <w:cantSplit/>
        </w:trPr>
        <w:tc>
          <w:tcPr>
            <w:tcW w:w="1191" w:type="pct"/>
          </w:tcPr>
          <w:p w14:paraId="4597E9BA" w14:textId="749F5F56" w:rsidR="002431A0" w:rsidRPr="00630129" w:rsidRDefault="002431A0" w:rsidP="002431A0">
            <w:pPr>
              <w:pStyle w:val="EndnoteText"/>
              <w:rPr>
                <w:sz w:val="22"/>
                <w:szCs w:val="22"/>
              </w:rPr>
            </w:pPr>
            <w:r w:rsidRPr="00630129">
              <w:rPr>
                <w:sz w:val="22"/>
                <w:szCs w:val="22"/>
              </w:rPr>
              <w:t>Supplier’s Meter Register Consumption</w:t>
            </w:r>
          </w:p>
        </w:tc>
        <w:tc>
          <w:tcPr>
            <w:tcW w:w="1024" w:type="pct"/>
          </w:tcPr>
          <w:p w14:paraId="6FEE4DEC" w14:textId="77777777" w:rsidR="002431A0" w:rsidRPr="00630129" w:rsidRDefault="002431A0" w:rsidP="002431A0">
            <w:pPr>
              <w:pStyle w:val="EndnoteText"/>
              <w:rPr>
                <w:sz w:val="22"/>
                <w:szCs w:val="22"/>
              </w:rPr>
            </w:pPr>
            <w:r w:rsidRPr="00630129">
              <w:rPr>
                <w:sz w:val="22"/>
                <w:szCs w:val="22"/>
              </w:rPr>
              <w:t>SMRC</w:t>
            </w:r>
            <w:r w:rsidRPr="00630129">
              <w:rPr>
                <w:sz w:val="22"/>
                <w:szCs w:val="22"/>
                <w:vertAlign w:val="subscript"/>
              </w:rPr>
              <w:sym w:font="Symbol" w:char="F05A"/>
            </w:r>
            <w:proofErr w:type="spellStart"/>
            <w:r w:rsidRPr="00630129">
              <w:rPr>
                <w:sz w:val="22"/>
                <w:szCs w:val="22"/>
                <w:vertAlign w:val="subscript"/>
              </w:rPr>
              <w:t>aKJj</w:t>
            </w:r>
            <w:proofErr w:type="spellEnd"/>
          </w:p>
        </w:tc>
        <w:tc>
          <w:tcPr>
            <w:tcW w:w="613" w:type="pct"/>
          </w:tcPr>
          <w:p w14:paraId="24305045" w14:textId="77777777" w:rsidR="002431A0" w:rsidRPr="00630129" w:rsidRDefault="002431A0" w:rsidP="002431A0">
            <w:pPr>
              <w:pStyle w:val="EndnoteText"/>
              <w:rPr>
                <w:sz w:val="22"/>
                <w:szCs w:val="22"/>
              </w:rPr>
            </w:pPr>
            <w:r w:rsidRPr="00630129">
              <w:rPr>
                <w:sz w:val="22"/>
                <w:szCs w:val="22"/>
              </w:rPr>
              <w:t>kWh</w:t>
            </w:r>
          </w:p>
        </w:tc>
        <w:tc>
          <w:tcPr>
            <w:tcW w:w="2171" w:type="pct"/>
          </w:tcPr>
          <w:p w14:paraId="6C843284" w14:textId="77777777" w:rsidR="002431A0" w:rsidRPr="00630129" w:rsidRDefault="002431A0" w:rsidP="002431A0">
            <w:pPr>
              <w:pStyle w:val="EndnoteText"/>
              <w:rPr>
                <w:sz w:val="22"/>
                <w:szCs w:val="22"/>
              </w:rPr>
            </w:pPr>
            <w:r w:rsidRPr="00630129">
              <w:rPr>
                <w:sz w:val="22"/>
                <w:szCs w:val="22"/>
              </w:rPr>
              <w:t xml:space="preserve">The half hourly metered Consumption for a Settlement Register within a </w:t>
            </w:r>
            <w:r>
              <w:rPr>
                <w:sz w:val="22"/>
                <w:szCs w:val="22"/>
              </w:rPr>
              <w:t xml:space="preserve">SVA </w:t>
            </w:r>
            <w:r w:rsidRPr="00630129">
              <w:rPr>
                <w:sz w:val="22"/>
                <w:szCs w:val="22"/>
              </w:rPr>
              <w:t>Metering System.</w:t>
            </w:r>
          </w:p>
        </w:tc>
      </w:tr>
      <w:tr w:rsidR="002431A0" w:rsidRPr="00630129" w14:paraId="6C4043C3" w14:textId="77777777" w:rsidTr="00A63BA8">
        <w:trPr>
          <w:cantSplit/>
        </w:trPr>
        <w:tc>
          <w:tcPr>
            <w:tcW w:w="1191" w:type="pct"/>
          </w:tcPr>
          <w:p w14:paraId="6DDF602C" w14:textId="77777777" w:rsidR="002431A0" w:rsidRPr="00630129" w:rsidRDefault="002431A0" w:rsidP="002431A0">
            <w:pPr>
              <w:pStyle w:val="EndnoteText"/>
              <w:rPr>
                <w:sz w:val="22"/>
                <w:szCs w:val="22"/>
              </w:rPr>
            </w:pPr>
            <w:r w:rsidRPr="00630129">
              <w:rPr>
                <w:sz w:val="22"/>
                <w:szCs w:val="22"/>
              </w:rPr>
              <w:t>Supplier’s Metered Consumption</w:t>
            </w:r>
          </w:p>
        </w:tc>
        <w:tc>
          <w:tcPr>
            <w:tcW w:w="1024" w:type="pct"/>
          </w:tcPr>
          <w:p w14:paraId="2D7958F1" w14:textId="77777777" w:rsidR="002431A0" w:rsidRPr="00630129" w:rsidRDefault="002431A0" w:rsidP="002431A0">
            <w:pPr>
              <w:pStyle w:val="EndnoteText"/>
              <w:rPr>
                <w:sz w:val="22"/>
                <w:szCs w:val="22"/>
              </w:rPr>
            </w:pPr>
            <w:proofErr w:type="spellStart"/>
            <w:r w:rsidRPr="00630129">
              <w:rPr>
                <w:sz w:val="22"/>
                <w:szCs w:val="22"/>
              </w:rPr>
              <w:t>SMC</w:t>
            </w:r>
            <w:r w:rsidRPr="00630129">
              <w:rPr>
                <w:sz w:val="22"/>
                <w:szCs w:val="22"/>
                <w:vertAlign w:val="subscript"/>
              </w:rPr>
              <w:t>HZaNLj</w:t>
            </w:r>
            <w:proofErr w:type="spellEnd"/>
          </w:p>
        </w:tc>
        <w:tc>
          <w:tcPr>
            <w:tcW w:w="613" w:type="pct"/>
          </w:tcPr>
          <w:p w14:paraId="2355F131" w14:textId="77777777" w:rsidR="002431A0" w:rsidRPr="00630129" w:rsidRDefault="002431A0" w:rsidP="002431A0">
            <w:pPr>
              <w:pStyle w:val="EndnoteText"/>
              <w:rPr>
                <w:sz w:val="22"/>
                <w:szCs w:val="22"/>
              </w:rPr>
            </w:pPr>
            <w:r w:rsidRPr="00630129">
              <w:rPr>
                <w:sz w:val="22"/>
                <w:szCs w:val="22"/>
              </w:rPr>
              <w:t>MWh</w:t>
            </w:r>
          </w:p>
        </w:tc>
        <w:tc>
          <w:tcPr>
            <w:tcW w:w="2171" w:type="pct"/>
          </w:tcPr>
          <w:p w14:paraId="33129DE6" w14:textId="77777777" w:rsidR="002431A0" w:rsidRPr="00630129" w:rsidRDefault="002431A0" w:rsidP="002431A0">
            <w:pPr>
              <w:pStyle w:val="EndnoteText"/>
              <w:rPr>
                <w:sz w:val="22"/>
                <w:szCs w:val="22"/>
              </w:rPr>
            </w:pPr>
            <w:r w:rsidRPr="00630129">
              <w:rPr>
                <w:sz w:val="22"/>
                <w:szCs w:val="22"/>
              </w:rPr>
              <w:t>The half hourly metered Consumption, determined by a Half Hourly Data Aggregator pursuant to paragraph 3.5 of Annex S-2.</w:t>
            </w:r>
          </w:p>
        </w:tc>
      </w:tr>
      <w:tr w:rsidR="002431A0" w:rsidRPr="00630129" w14:paraId="729B4CA7" w14:textId="77777777" w:rsidTr="00A63BA8">
        <w:trPr>
          <w:cantSplit/>
        </w:trPr>
        <w:tc>
          <w:tcPr>
            <w:tcW w:w="1191" w:type="pct"/>
          </w:tcPr>
          <w:p w14:paraId="78748D6B" w14:textId="77777777" w:rsidR="002431A0" w:rsidRPr="00630129" w:rsidRDefault="002431A0" w:rsidP="002431A0">
            <w:pPr>
              <w:pStyle w:val="EndnoteText"/>
              <w:rPr>
                <w:sz w:val="22"/>
                <w:szCs w:val="22"/>
              </w:rPr>
            </w:pPr>
            <w:r w:rsidRPr="00630129">
              <w:rPr>
                <w:sz w:val="22"/>
                <w:szCs w:val="22"/>
              </w:rPr>
              <w:t>Supplier’s Metered Consumption (Losses)</w:t>
            </w:r>
          </w:p>
        </w:tc>
        <w:tc>
          <w:tcPr>
            <w:tcW w:w="1024" w:type="pct"/>
          </w:tcPr>
          <w:p w14:paraId="2A622C32" w14:textId="77777777" w:rsidR="002431A0" w:rsidRPr="00630129" w:rsidRDefault="002431A0" w:rsidP="002431A0">
            <w:pPr>
              <w:pStyle w:val="EndnoteText"/>
              <w:rPr>
                <w:sz w:val="22"/>
                <w:szCs w:val="22"/>
              </w:rPr>
            </w:pPr>
            <w:proofErr w:type="spellStart"/>
            <w:r w:rsidRPr="00630129">
              <w:rPr>
                <w:sz w:val="22"/>
                <w:szCs w:val="22"/>
              </w:rPr>
              <w:t>SMCL</w:t>
            </w:r>
            <w:r w:rsidRPr="00630129">
              <w:rPr>
                <w:sz w:val="22"/>
                <w:szCs w:val="22"/>
                <w:vertAlign w:val="subscript"/>
              </w:rPr>
              <w:t>HZaNLj</w:t>
            </w:r>
            <w:proofErr w:type="spellEnd"/>
            <w:r w:rsidRPr="00630129">
              <w:rPr>
                <w:sz w:val="22"/>
                <w:szCs w:val="22"/>
                <w:vertAlign w:val="subscript"/>
              </w:rPr>
              <w:t xml:space="preserve"> </w:t>
            </w:r>
          </w:p>
        </w:tc>
        <w:tc>
          <w:tcPr>
            <w:tcW w:w="613" w:type="pct"/>
          </w:tcPr>
          <w:p w14:paraId="13464A6A" w14:textId="77777777" w:rsidR="002431A0" w:rsidRPr="00630129" w:rsidRDefault="002431A0" w:rsidP="002431A0">
            <w:pPr>
              <w:pStyle w:val="EndnoteText"/>
              <w:rPr>
                <w:sz w:val="22"/>
                <w:szCs w:val="22"/>
              </w:rPr>
            </w:pPr>
            <w:r w:rsidRPr="00630129">
              <w:rPr>
                <w:sz w:val="22"/>
                <w:szCs w:val="22"/>
              </w:rPr>
              <w:t>MWh</w:t>
            </w:r>
          </w:p>
        </w:tc>
        <w:tc>
          <w:tcPr>
            <w:tcW w:w="2171" w:type="pct"/>
          </w:tcPr>
          <w:p w14:paraId="0AA18C98" w14:textId="77777777" w:rsidR="002431A0" w:rsidRPr="00630129" w:rsidRDefault="002431A0" w:rsidP="002431A0">
            <w:pPr>
              <w:pStyle w:val="EndnoteText"/>
              <w:rPr>
                <w:sz w:val="22"/>
                <w:szCs w:val="22"/>
              </w:rPr>
            </w:pPr>
            <w:r w:rsidRPr="00630129">
              <w:rPr>
                <w:sz w:val="22"/>
                <w:szCs w:val="22"/>
              </w:rPr>
              <w:t>The line losses determined by a Half Hourly Data Aggregator as resulting from the Supplier’s Metered Consumption pursuant to paragraph 3.5 of Annex S-2.</w:t>
            </w:r>
          </w:p>
        </w:tc>
      </w:tr>
      <w:tr w:rsidR="002431A0" w:rsidRPr="00630129" w14:paraId="4450AA13" w14:textId="77777777" w:rsidTr="00A63BA8">
        <w:trPr>
          <w:cantSplit/>
        </w:trPr>
        <w:tc>
          <w:tcPr>
            <w:tcW w:w="1191" w:type="pct"/>
          </w:tcPr>
          <w:p w14:paraId="4AD88DAA" w14:textId="77777777" w:rsidR="002431A0" w:rsidRPr="00630129" w:rsidRDefault="002431A0" w:rsidP="002431A0">
            <w:pPr>
              <w:pStyle w:val="EndnoteText"/>
              <w:rPr>
                <w:sz w:val="22"/>
                <w:szCs w:val="22"/>
              </w:rPr>
            </w:pPr>
            <w:r w:rsidRPr="00630129">
              <w:rPr>
                <w:sz w:val="22"/>
                <w:szCs w:val="22"/>
              </w:rPr>
              <w:t>Supplier’s Metering System Metered Consumption</w:t>
            </w:r>
          </w:p>
        </w:tc>
        <w:tc>
          <w:tcPr>
            <w:tcW w:w="1024" w:type="pct"/>
          </w:tcPr>
          <w:p w14:paraId="70BF9B48" w14:textId="77777777" w:rsidR="002431A0" w:rsidRPr="00630129" w:rsidRDefault="002431A0" w:rsidP="002431A0">
            <w:pPr>
              <w:pStyle w:val="EndnoteText"/>
              <w:rPr>
                <w:sz w:val="22"/>
                <w:szCs w:val="22"/>
              </w:rPr>
            </w:pPr>
            <w:r w:rsidRPr="00630129">
              <w:rPr>
                <w:sz w:val="22"/>
                <w:szCs w:val="22"/>
              </w:rPr>
              <w:t>SMMC</w:t>
            </w:r>
            <w:r w:rsidRPr="00630129">
              <w:rPr>
                <w:sz w:val="22"/>
                <w:szCs w:val="22"/>
                <w:vertAlign w:val="subscript"/>
              </w:rPr>
              <w:t xml:space="preserve"> </w:t>
            </w:r>
            <w:proofErr w:type="spellStart"/>
            <w:r w:rsidRPr="00630129">
              <w:rPr>
                <w:sz w:val="22"/>
                <w:szCs w:val="22"/>
                <w:vertAlign w:val="subscript"/>
              </w:rPr>
              <w:t>ZaKj</w:t>
            </w:r>
            <w:proofErr w:type="spellEnd"/>
          </w:p>
        </w:tc>
        <w:tc>
          <w:tcPr>
            <w:tcW w:w="613" w:type="pct"/>
          </w:tcPr>
          <w:p w14:paraId="01B501E9" w14:textId="77777777" w:rsidR="002431A0" w:rsidRPr="00630129" w:rsidRDefault="002431A0" w:rsidP="002431A0">
            <w:pPr>
              <w:pStyle w:val="EndnoteText"/>
              <w:rPr>
                <w:sz w:val="22"/>
                <w:szCs w:val="22"/>
              </w:rPr>
            </w:pPr>
            <w:r w:rsidRPr="00630129">
              <w:rPr>
                <w:sz w:val="22"/>
                <w:szCs w:val="22"/>
              </w:rPr>
              <w:t>kWh</w:t>
            </w:r>
          </w:p>
        </w:tc>
        <w:tc>
          <w:tcPr>
            <w:tcW w:w="2171" w:type="pct"/>
          </w:tcPr>
          <w:p w14:paraId="1816F8BA" w14:textId="77777777" w:rsidR="002431A0" w:rsidRPr="00630129" w:rsidRDefault="002431A0" w:rsidP="002431A0">
            <w:pPr>
              <w:pStyle w:val="EndnoteText"/>
              <w:rPr>
                <w:sz w:val="22"/>
                <w:szCs w:val="22"/>
              </w:rPr>
            </w:pPr>
            <w:r w:rsidRPr="00630129">
              <w:rPr>
                <w:sz w:val="22"/>
                <w:szCs w:val="22"/>
              </w:rPr>
              <w:t>The half hourly metered Consumption for a SVA Metering System, determined pursuant to paragraph 3.5 of Annex S-2.</w:t>
            </w:r>
          </w:p>
        </w:tc>
      </w:tr>
      <w:tr w:rsidR="002431A0" w:rsidRPr="00630129" w14:paraId="6D7FFF9C" w14:textId="77777777" w:rsidTr="00A63BA8">
        <w:trPr>
          <w:cantSplit/>
        </w:trPr>
        <w:tc>
          <w:tcPr>
            <w:tcW w:w="1191" w:type="pct"/>
          </w:tcPr>
          <w:p w14:paraId="659975B7" w14:textId="77777777" w:rsidR="002431A0" w:rsidRPr="00630129" w:rsidRDefault="002431A0" w:rsidP="002431A0">
            <w:pPr>
              <w:pStyle w:val="EndnoteText"/>
              <w:rPr>
                <w:sz w:val="22"/>
                <w:szCs w:val="22"/>
              </w:rPr>
            </w:pPr>
            <w:r w:rsidRPr="00630129">
              <w:rPr>
                <w:sz w:val="22"/>
                <w:szCs w:val="22"/>
              </w:rPr>
              <w:t>Switched Fraction</w:t>
            </w:r>
          </w:p>
        </w:tc>
        <w:tc>
          <w:tcPr>
            <w:tcW w:w="1024" w:type="pct"/>
          </w:tcPr>
          <w:p w14:paraId="4B45CD04" w14:textId="77777777" w:rsidR="002431A0" w:rsidRPr="00630129" w:rsidRDefault="002431A0" w:rsidP="002431A0">
            <w:pPr>
              <w:pStyle w:val="EndnoteText"/>
              <w:rPr>
                <w:sz w:val="22"/>
                <w:szCs w:val="22"/>
              </w:rPr>
            </w:pPr>
            <w:r w:rsidRPr="00630129">
              <w:rPr>
                <w:sz w:val="22"/>
                <w:szCs w:val="22"/>
              </w:rPr>
              <w:t>SWF</w:t>
            </w:r>
            <w:r w:rsidRPr="00630129">
              <w:rPr>
                <w:sz w:val="22"/>
                <w:szCs w:val="22"/>
                <w:vertAlign w:val="subscript"/>
              </w:rPr>
              <w:t>HPC</w:t>
            </w:r>
          </w:p>
        </w:tc>
        <w:tc>
          <w:tcPr>
            <w:tcW w:w="613" w:type="pct"/>
          </w:tcPr>
          <w:p w14:paraId="4FD6DCA2"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00DB05F4" w14:textId="77777777" w:rsidR="002431A0" w:rsidRPr="00630129" w:rsidRDefault="002431A0" w:rsidP="002431A0">
            <w:pPr>
              <w:pStyle w:val="EndnoteText"/>
              <w:rPr>
                <w:sz w:val="22"/>
                <w:szCs w:val="22"/>
              </w:rPr>
            </w:pPr>
            <w:r w:rsidRPr="00630129">
              <w:rPr>
                <w:sz w:val="22"/>
                <w:szCs w:val="22"/>
              </w:rPr>
              <w:t>The deemed proportion of Consumption for a Switched Load Metering System which is switched load determined pursuant to paragraph 6.6 of Annex S-2.</w:t>
            </w:r>
          </w:p>
        </w:tc>
      </w:tr>
      <w:tr w:rsidR="002431A0" w:rsidRPr="00630129" w14:paraId="19651710" w14:textId="77777777" w:rsidTr="00A63BA8">
        <w:trPr>
          <w:cantSplit/>
        </w:trPr>
        <w:tc>
          <w:tcPr>
            <w:tcW w:w="1191" w:type="pct"/>
          </w:tcPr>
          <w:p w14:paraId="627DF6B0" w14:textId="77777777" w:rsidR="002431A0" w:rsidRPr="00630129" w:rsidRDefault="002431A0" w:rsidP="002431A0">
            <w:pPr>
              <w:pStyle w:val="EndnoteText"/>
              <w:rPr>
                <w:sz w:val="22"/>
                <w:szCs w:val="22"/>
              </w:rPr>
            </w:pPr>
            <w:r w:rsidRPr="00630129">
              <w:rPr>
                <w:sz w:val="22"/>
                <w:szCs w:val="22"/>
              </w:rPr>
              <w:t>Switched Load Metering System</w:t>
            </w:r>
          </w:p>
        </w:tc>
        <w:tc>
          <w:tcPr>
            <w:tcW w:w="1024" w:type="pct"/>
          </w:tcPr>
          <w:p w14:paraId="156D9C6D" w14:textId="77777777" w:rsidR="002431A0" w:rsidRPr="00630129" w:rsidRDefault="002431A0" w:rsidP="002431A0">
            <w:pPr>
              <w:pStyle w:val="EndnoteText"/>
              <w:rPr>
                <w:sz w:val="22"/>
                <w:szCs w:val="22"/>
              </w:rPr>
            </w:pPr>
          </w:p>
        </w:tc>
        <w:tc>
          <w:tcPr>
            <w:tcW w:w="613" w:type="pct"/>
          </w:tcPr>
          <w:p w14:paraId="2916B6F3" w14:textId="77777777" w:rsidR="002431A0" w:rsidRPr="00630129" w:rsidRDefault="002431A0" w:rsidP="002431A0">
            <w:pPr>
              <w:pStyle w:val="EndnoteText"/>
              <w:rPr>
                <w:sz w:val="22"/>
                <w:szCs w:val="22"/>
              </w:rPr>
            </w:pPr>
          </w:p>
        </w:tc>
        <w:tc>
          <w:tcPr>
            <w:tcW w:w="2171" w:type="pct"/>
          </w:tcPr>
          <w:p w14:paraId="67754857" w14:textId="77777777" w:rsidR="002431A0" w:rsidRPr="00630129" w:rsidRDefault="002431A0" w:rsidP="002431A0">
            <w:pPr>
              <w:pStyle w:val="EndnoteText"/>
              <w:rPr>
                <w:sz w:val="22"/>
                <w:szCs w:val="22"/>
              </w:rPr>
            </w:pPr>
            <w:r w:rsidRPr="00630129">
              <w:rPr>
                <w:sz w:val="22"/>
                <w:szCs w:val="22"/>
              </w:rPr>
              <w:t>A Metering System which has a Profile Class classified as Economy 7 and/or such other classification as may be agreed from time to time by the Panel.</w:t>
            </w:r>
          </w:p>
        </w:tc>
      </w:tr>
      <w:tr w:rsidR="002431A0" w:rsidRPr="00630129" w14:paraId="23B5C80B" w14:textId="77777777" w:rsidTr="00A63BA8">
        <w:trPr>
          <w:cantSplit/>
        </w:trPr>
        <w:tc>
          <w:tcPr>
            <w:tcW w:w="1191" w:type="pct"/>
          </w:tcPr>
          <w:p w14:paraId="5632720A" w14:textId="77777777" w:rsidR="002431A0" w:rsidRPr="00630129" w:rsidRDefault="002431A0" w:rsidP="002431A0">
            <w:pPr>
              <w:pStyle w:val="EndnoteText"/>
              <w:rPr>
                <w:sz w:val="22"/>
                <w:szCs w:val="22"/>
              </w:rPr>
            </w:pPr>
            <w:r w:rsidRPr="00630129">
              <w:rPr>
                <w:sz w:val="22"/>
                <w:szCs w:val="22"/>
              </w:rPr>
              <w:lastRenderedPageBreak/>
              <w:t>Switched Load Profile Coefficient</w:t>
            </w:r>
          </w:p>
        </w:tc>
        <w:tc>
          <w:tcPr>
            <w:tcW w:w="1024" w:type="pct"/>
          </w:tcPr>
          <w:p w14:paraId="684DD06F" w14:textId="77777777" w:rsidR="002431A0" w:rsidRPr="00630129" w:rsidRDefault="002431A0" w:rsidP="002431A0">
            <w:pPr>
              <w:pStyle w:val="EndnoteText"/>
              <w:rPr>
                <w:sz w:val="22"/>
                <w:szCs w:val="22"/>
              </w:rPr>
            </w:pPr>
            <w:proofErr w:type="spellStart"/>
            <w:r w:rsidRPr="00630129">
              <w:rPr>
                <w:sz w:val="22"/>
                <w:szCs w:val="22"/>
              </w:rPr>
              <w:t>SLP</w:t>
            </w:r>
            <w:r w:rsidRPr="00630129">
              <w:rPr>
                <w:sz w:val="22"/>
                <w:szCs w:val="22"/>
                <w:vertAlign w:val="subscript"/>
              </w:rPr>
              <w:t>HPCj</w:t>
            </w:r>
            <w:proofErr w:type="spellEnd"/>
          </w:p>
        </w:tc>
        <w:tc>
          <w:tcPr>
            <w:tcW w:w="613" w:type="pct"/>
          </w:tcPr>
          <w:p w14:paraId="0C421442"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5E0FEAF6" w14:textId="77777777" w:rsidR="002431A0" w:rsidRPr="00630129" w:rsidRDefault="002431A0" w:rsidP="002431A0">
            <w:pPr>
              <w:pStyle w:val="EndnoteText"/>
              <w:rPr>
                <w:sz w:val="22"/>
                <w:szCs w:val="22"/>
              </w:rPr>
            </w:pPr>
            <w:r w:rsidRPr="00630129">
              <w:rPr>
                <w:sz w:val="22"/>
                <w:szCs w:val="22"/>
              </w:rPr>
              <w:t>A number determined pursuant to paragraph 6.6 of Annex S-2 and representing the fraction of annual Consumption in a given Settlement Period for a particular switched load profile.</w:t>
            </w:r>
          </w:p>
        </w:tc>
      </w:tr>
      <w:tr w:rsidR="002431A0" w:rsidRPr="00630129" w14:paraId="36B9168C" w14:textId="77777777" w:rsidTr="00A63BA8">
        <w:trPr>
          <w:cantSplit/>
        </w:trPr>
        <w:tc>
          <w:tcPr>
            <w:tcW w:w="1191" w:type="pct"/>
          </w:tcPr>
          <w:p w14:paraId="0FC81E53" w14:textId="77777777" w:rsidR="002431A0" w:rsidRPr="00630129" w:rsidRDefault="002431A0" w:rsidP="002431A0">
            <w:pPr>
              <w:pStyle w:val="EndnoteText"/>
              <w:rPr>
                <w:sz w:val="22"/>
                <w:szCs w:val="22"/>
              </w:rPr>
            </w:pPr>
            <w:r w:rsidRPr="00630129">
              <w:rPr>
                <w:sz w:val="22"/>
                <w:szCs w:val="22"/>
              </w:rPr>
              <w:t>Switched Load State Indicator</w:t>
            </w:r>
          </w:p>
        </w:tc>
        <w:tc>
          <w:tcPr>
            <w:tcW w:w="1024" w:type="pct"/>
          </w:tcPr>
          <w:p w14:paraId="0B3FFED8" w14:textId="77777777" w:rsidR="002431A0" w:rsidRPr="00630129" w:rsidRDefault="002431A0" w:rsidP="002431A0">
            <w:pPr>
              <w:pStyle w:val="EndnoteText"/>
              <w:rPr>
                <w:sz w:val="22"/>
                <w:szCs w:val="22"/>
              </w:rPr>
            </w:pPr>
            <w:proofErr w:type="spellStart"/>
            <w:r w:rsidRPr="00630129">
              <w:rPr>
                <w:sz w:val="22"/>
                <w:szCs w:val="22"/>
              </w:rPr>
              <w:t>SQ</w:t>
            </w:r>
            <w:r w:rsidRPr="00630129">
              <w:rPr>
                <w:sz w:val="22"/>
                <w:szCs w:val="22"/>
                <w:vertAlign w:val="subscript"/>
              </w:rPr>
              <w:t>Cj</w:t>
            </w:r>
            <w:proofErr w:type="spellEnd"/>
          </w:p>
        </w:tc>
        <w:tc>
          <w:tcPr>
            <w:tcW w:w="613" w:type="pct"/>
          </w:tcPr>
          <w:p w14:paraId="312049C9" w14:textId="77777777" w:rsidR="002431A0" w:rsidRPr="00630129" w:rsidRDefault="002431A0" w:rsidP="002431A0">
            <w:pPr>
              <w:pStyle w:val="EndnoteText"/>
              <w:rPr>
                <w:sz w:val="22"/>
                <w:szCs w:val="22"/>
              </w:rPr>
            </w:pPr>
            <w:r w:rsidRPr="00630129">
              <w:rPr>
                <w:sz w:val="22"/>
                <w:szCs w:val="22"/>
              </w:rPr>
              <w:t>Indicator (1 or 0)</w:t>
            </w:r>
          </w:p>
        </w:tc>
        <w:tc>
          <w:tcPr>
            <w:tcW w:w="2171" w:type="pct"/>
          </w:tcPr>
          <w:p w14:paraId="3EBB6907" w14:textId="77777777" w:rsidR="002431A0" w:rsidRPr="00630129" w:rsidRDefault="002431A0" w:rsidP="002431A0">
            <w:pPr>
              <w:pStyle w:val="EndnoteText"/>
              <w:rPr>
                <w:sz w:val="22"/>
                <w:szCs w:val="22"/>
              </w:rPr>
            </w:pPr>
            <w:r w:rsidRPr="00630129">
              <w:rPr>
                <w:sz w:val="22"/>
                <w:szCs w:val="22"/>
              </w:rPr>
              <w:t>An indicator showing if any Time Pattern Regime associated with a switched load within a Standard Settlement Configuration is recording Metered Data in a given Settlement Period, determined pursuant to paragraph 6.6 of Annex S-2.</w:t>
            </w:r>
          </w:p>
        </w:tc>
      </w:tr>
      <w:tr w:rsidR="002431A0" w:rsidRPr="00630129" w14:paraId="09B5470A" w14:textId="77777777" w:rsidTr="00A63BA8">
        <w:trPr>
          <w:cantSplit/>
        </w:trPr>
        <w:tc>
          <w:tcPr>
            <w:tcW w:w="1191" w:type="pct"/>
          </w:tcPr>
          <w:p w14:paraId="75A2CD00" w14:textId="77777777" w:rsidR="002431A0" w:rsidRPr="00630129" w:rsidRDefault="002431A0" w:rsidP="002431A0">
            <w:pPr>
              <w:pStyle w:val="EndnoteText"/>
              <w:rPr>
                <w:sz w:val="22"/>
                <w:szCs w:val="22"/>
              </w:rPr>
            </w:pPr>
            <w:proofErr w:type="spellStart"/>
            <w:r w:rsidRPr="00630129">
              <w:rPr>
                <w:sz w:val="22"/>
                <w:szCs w:val="22"/>
              </w:rPr>
              <w:t>Teleswitch</w:t>
            </w:r>
            <w:proofErr w:type="spellEnd"/>
            <w:r w:rsidRPr="00630129">
              <w:rPr>
                <w:sz w:val="22"/>
                <w:szCs w:val="22"/>
              </w:rPr>
              <w:t xml:space="preserve"> Contact</w:t>
            </w:r>
          </w:p>
        </w:tc>
        <w:tc>
          <w:tcPr>
            <w:tcW w:w="1024" w:type="pct"/>
          </w:tcPr>
          <w:p w14:paraId="019F7888" w14:textId="77777777" w:rsidR="002431A0" w:rsidRPr="00630129" w:rsidRDefault="002431A0" w:rsidP="002431A0">
            <w:pPr>
              <w:pStyle w:val="EndnoteText"/>
              <w:rPr>
                <w:sz w:val="22"/>
                <w:szCs w:val="22"/>
              </w:rPr>
            </w:pPr>
          </w:p>
        </w:tc>
        <w:tc>
          <w:tcPr>
            <w:tcW w:w="613" w:type="pct"/>
          </w:tcPr>
          <w:p w14:paraId="5DDFB2E0" w14:textId="77777777" w:rsidR="002431A0" w:rsidRPr="00630129" w:rsidRDefault="002431A0" w:rsidP="002431A0">
            <w:pPr>
              <w:pStyle w:val="EndnoteText"/>
              <w:rPr>
                <w:sz w:val="22"/>
                <w:szCs w:val="22"/>
              </w:rPr>
            </w:pPr>
          </w:p>
        </w:tc>
        <w:tc>
          <w:tcPr>
            <w:tcW w:w="2171" w:type="pct"/>
          </w:tcPr>
          <w:p w14:paraId="69DE216D" w14:textId="77777777" w:rsidR="002431A0" w:rsidRPr="00630129" w:rsidRDefault="002431A0" w:rsidP="002431A0">
            <w:pPr>
              <w:pStyle w:val="EndnoteText"/>
              <w:rPr>
                <w:sz w:val="22"/>
                <w:szCs w:val="22"/>
              </w:rPr>
            </w:pPr>
            <w:r w:rsidRPr="00630129">
              <w:rPr>
                <w:sz w:val="22"/>
                <w:szCs w:val="22"/>
              </w:rPr>
              <w:t xml:space="preserve">One of the logical contacts within each </w:t>
            </w:r>
            <w:proofErr w:type="spellStart"/>
            <w:r w:rsidRPr="00630129">
              <w:rPr>
                <w:sz w:val="22"/>
                <w:szCs w:val="22"/>
              </w:rPr>
              <w:t>teleswitched</w:t>
            </w:r>
            <w:proofErr w:type="spellEnd"/>
            <w:r w:rsidRPr="00630129">
              <w:rPr>
                <w:sz w:val="22"/>
                <w:szCs w:val="22"/>
              </w:rPr>
              <w:t xml:space="preserve"> meter.</w:t>
            </w:r>
          </w:p>
        </w:tc>
      </w:tr>
      <w:tr w:rsidR="002431A0" w:rsidRPr="00630129" w14:paraId="70AA0059" w14:textId="77777777" w:rsidTr="00A63BA8">
        <w:trPr>
          <w:cantSplit/>
        </w:trPr>
        <w:tc>
          <w:tcPr>
            <w:tcW w:w="1191" w:type="pct"/>
          </w:tcPr>
          <w:p w14:paraId="0A730874" w14:textId="77777777" w:rsidR="002431A0" w:rsidRPr="00630129" w:rsidRDefault="002431A0" w:rsidP="002431A0">
            <w:pPr>
              <w:pStyle w:val="EndnoteText"/>
              <w:rPr>
                <w:sz w:val="22"/>
                <w:szCs w:val="22"/>
              </w:rPr>
            </w:pPr>
            <w:proofErr w:type="spellStart"/>
            <w:r w:rsidRPr="00630129">
              <w:rPr>
                <w:sz w:val="22"/>
                <w:szCs w:val="22"/>
              </w:rPr>
              <w:t>Teleswitch</w:t>
            </w:r>
            <w:proofErr w:type="spellEnd"/>
            <w:r w:rsidRPr="00630129">
              <w:rPr>
                <w:sz w:val="22"/>
                <w:szCs w:val="22"/>
              </w:rPr>
              <w:t xml:space="preserve"> Contact Interval Data</w:t>
            </w:r>
          </w:p>
        </w:tc>
        <w:tc>
          <w:tcPr>
            <w:tcW w:w="1024" w:type="pct"/>
          </w:tcPr>
          <w:p w14:paraId="7A17F7FE" w14:textId="77777777" w:rsidR="002431A0" w:rsidRPr="00630129" w:rsidRDefault="002431A0" w:rsidP="002431A0">
            <w:pPr>
              <w:pStyle w:val="EndnoteText"/>
              <w:rPr>
                <w:sz w:val="22"/>
                <w:szCs w:val="22"/>
              </w:rPr>
            </w:pPr>
          </w:p>
        </w:tc>
        <w:tc>
          <w:tcPr>
            <w:tcW w:w="613" w:type="pct"/>
          </w:tcPr>
          <w:p w14:paraId="0491D1C6" w14:textId="77777777" w:rsidR="002431A0" w:rsidRPr="00630129" w:rsidRDefault="002431A0" w:rsidP="002431A0">
            <w:pPr>
              <w:pStyle w:val="EndnoteText"/>
              <w:rPr>
                <w:sz w:val="22"/>
                <w:szCs w:val="22"/>
              </w:rPr>
            </w:pPr>
          </w:p>
        </w:tc>
        <w:tc>
          <w:tcPr>
            <w:tcW w:w="2171" w:type="pct"/>
          </w:tcPr>
          <w:p w14:paraId="69294E34" w14:textId="77777777" w:rsidR="002431A0" w:rsidRPr="00630129" w:rsidRDefault="002431A0" w:rsidP="002431A0">
            <w:pPr>
              <w:pStyle w:val="EndnoteText"/>
              <w:rPr>
                <w:sz w:val="22"/>
                <w:szCs w:val="22"/>
              </w:rPr>
            </w:pPr>
            <w:r w:rsidRPr="00630129">
              <w:rPr>
                <w:sz w:val="22"/>
                <w:szCs w:val="22"/>
              </w:rPr>
              <w:t xml:space="preserve">In respect of a </w:t>
            </w:r>
            <w:proofErr w:type="spellStart"/>
            <w:r w:rsidRPr="00630129">
              <w:rPr>
                <w:sz w:val="22"/>
                <w:szCs w:val="22"/>
              </w:rPr>
              <w:t>Teleswitch</w:t>
            </w:r>
            <w:proofErr w:type="spellEnd"/>
            <w:r w:rsidRPr="00630129">
              <w:rPr>
                <w:sz w:val="22"/>
                <w:szCs w:val="22"/>
              </w:rPr>
              <w:t xml:space="preserve"> Group, the state of a particular </w:t>
            </w:r>
            <w:proofErr w:type="spellStart"/>
            <w:r w:rsidRPr="00630129">
              <w:rPr>
                <w:sz w:val="22"/>
                <w:szCs w:val="22"/>
              </w:rPr>
              <w:t>Teleswitch</w:t>
            </w:r>
            <w:proofErr w:type="spellEnd"/>
            <w:r w:rsidRPr="00630129">
              <w:rPr>
                <w:sz w:val="22"/>
                <w:szCs w:val="22"/>
              </w:rPr>
              <w:t xml:space="preserve"> Contact within all Metering Systems within such </w:t>
            </w:r>
            <w:proofErr w:type="spellStart"/>
            <w:r w:rsidRPr="00630129">
              <w:rPr>
                <w:sz w:val="22"/>
                <w:szCs w:val="22"/>
              </w:rPr>
              <w:t>Teleswitch</w:t>
            </w:r>
            <w:proofErr w:type="spellEnd"/>
            <w:r w:rsidRPr="00630129">
              <w:rPr>
                <w:sz w:val="22"/>
                <w:szCs w:val="22"/>
              </w:rPr>
              <w:t xml:space="preserve"> Group at the start of a UTC Day and, for each following change of state of such contact, the new state of such contact and the time in Co-ordinated Universal Time of such change of state.</w:t>
            </w:r>
          </w:p>
        </w:tc>
      </w:tr>
      <w:tr w:rsidR="002431A0" w:rsidRPr="00630129" w14:paraId="1E365250" w14:textId="77777777" w:rsidTr="00A63BA8">
        <w:trPr>
          <w:cantSplit/>
        </w:trPr>
        <w:tc>
          <w:tcPr>
            <w:tcW w:w="1191" w:type="pct"/>
          </w:tcPr>
          <w:p w14:paraId="44DC3FE8" w14:textId="77777777" w:rsidR="002431A0" w:rsidRPr="00630129" w:rsidRDefault="002431A0" w:rsidP="002431A0">
            <w:pPr>
              <w:pStyle w:val="EndnoteText"/>
              <w:rPr>
                <w:sz w:val="22"/>
                <w:szCs w:val="22"/>
              </w:rPr>
            </w:pPr>
            <w:proofErr w:type="spellStart"/>
            <w:r w:rsidRPr="00630129">
              <w:rPr>
                <w:sz w:val="22"/>
                <w:szCs w:val="22"/>
              </w:rPr>
              <w:t>Teleswitch</w:t>
            </w:r>
            <w:proofErr w:type="spellEnd"/>
            <w:r w:rsidRPr="00630129">
              <w:rPr>
                <w:sz w:val="22"/>
                <w:szCs w:val="22"/>
              </w:rPr>
              <w:t xml:space="preserve"> Contact Rule</w:t>
            </w:r>
          </w:p>
        </w:tc>
        <w:tc>
          <w:tcPr>
            <w:tcW w:w="1024" w:type="pct"/>
          </w:tcPr>
          <w:p w14:paraId="508C7E92" w14:textId="77777777" w:rsidR="002431A0" w:rsidRPr="00630129" w:rsidRDefault="002431A0" w:rsidP="002431A0">
            <w:pPr>
              <w:pStyle w:val="EndnoteText"/>
              <w:rPr>
                <w:sz w:val="22"/>
                <w:szCs w:val="22"/>
              </w:rPr>
            </w:pPr>
          </w:p>
        </w:tc>
        <w:tc>
          <w:tcPr>
            <w:tcW w:w="613" w:type="pct"/>
          </w:tcPr>
          <w:p w14:paraId="38E09855" w14:textId="77777777" w:rsidR="002431A0" w:rsidRPr="00630129" w:rsidRDefault="002431A0" w:rsidP="002431A0">
            <w:pPr>
              <w:pStyle w:val="EndnoteText"/>
              <w:rPr>
                <w:sz w:val="22"/>
                <w:szCs w:val="22"/>
              </w:rPr>
            </w:pPr>
          </w:p>
        </w:tc>
        <w:tc>
          <w:tcPr>
            <w:tcW w:w="2171" w:type="pct"/>
          </w:tcPr>
          <w:p w14:paraId="1B40C0EF" w14:textId="77777777" w:rsidR="002431A0" w:rsidRPr="00630129" w:rsidRDefault="002431A0" w:rsidP="002431A0">
            <w:pPr>
              <w:pStyle w:val="EndnoteText"/>
              <w:rPr>
                <w:sz w:val="22"/>
                <w:szCs w:val="22"/>
              </w:rPr>
            </w:pPr>
            <w:r w:rsidRPr="00630129">
              <w:rPr>
                <w:sz w:val="22"/>
                <w:szCs w:val="22"/>
              </w:rPr>
              <w:t xml:space="preserve">The relationship between a </w:t>
            </w:r>
            <w:proofErr w:type="spellStart"/>
            <w:r w:rsidRPr="00630129">
              <w:rPr>
                <w:sz w:val="22"/>
                <w:szCs w:val="22"/>
              </w:rPr>
              <w:t>Teleswitch</w:t>
            </w:r>
            <w:proofErr w:type="spellEnd"/>
            <w:r w:rsidRPr="00630129">
              <w:rPr>
                <w:sz w:val="22"/>
                <w:szCs w:val="22"/>
              </w:rPr>
              <w:t xml:space="preserve"> Contact and a </w:t>
            </w:r>
            <w:proofErr w:type="spellStart"/>
            <w:r w:rsidRPr="00630129">
              <w:rPr>
                <w:sz w:val="22"/>
                <w:szCs w:val="22"/>
              </w:rPr>
              <w:t>Teleswitch</w:t>
            </w:r>
            <w:proofErr w:type="spellEnd"/>
            <w:r w:rsidRPr="00630129">
              <w:rPr>
                <w:sz w:val="22"/>
                <w:szCs w:val="22"/>
              </w:rPr>
              <w:t xml:space="preserve"> Register Rule which is notified by a Supplier pursuant to paragraph 5.1.1 of Annex S-2.</w:t>
            </w:r>
          </w:p>
        </w:tc>
      </w:tr>
      <w:tr w:rsidR="002431A0" w:rsidRPr="00630129" w14:paraId="0BCA9BCC" w14:textId="77777777" w:rsidTr="00A63BA8">
        <w:trPr>
          <w:cantSplit/>
        </w:trPr>
        <w:tc>
          <w:tcPr>
            <w:tcW w:w="1191" w:type="pct"/>
          </w:tcPr>
          <w:p w14:paraId="25009776" w14:textId="77777777" w:rsidR="002431A0" w:rsidRPr="00630129" w:rsidRDefault="002431A0" w:rsidP="002431A0">
            <w:pPr>
              <w:pStyle w:val="EndnoteText"/>
              <w:rPr>
                <w:sz w:val="22"/>
                <w:szCs w:val="22"/>
              </w:rPr>
            </w:pPr>
            <w:proofErr w:type="spellStart"/>
            <w:r w:rsidRPr="00630129">
              <w:rPr>
                <w:sz w:val="22"/>
                <w:szCs w:val="22"/>
              </w:rPr>
              <w:t>Teleswitch</w:t>
            </w:r>
            <w:proofErr w:type="spellEnd"/>
            <w:r w:rsidRPr="00630129">
              <w:rPr>
                <w:sz w:val="22"/>
                <w:szCs w:val="22"/>
              </w:rPr>
              <w:t xml:space="preserve"> Group</w:t>
            </w:r>
          </w:p>
        </w:tc>
        <w:tc>
          <w:tcPr>
            <w:tcW w:w="1024" w:type="pct"/>
          </w:tcPr>
          <w:p w14:paraId="22BF5FE3" w14:textId="77777777" w:rsidR="002431A0" w:rsidRPr="00630129" w:rsidRDefault="002431A0" w:rsidP="002431A0">
            <w:pPr>
              <w:pStyle w:val="EndnoteText"/>
              <w:rPr>
                <w:sz w:val="22"/>
                <w:szCs w:val="22"/>
              </w:rPr>
            </w:pPr>
          </w:p>
        </w:tc>
        <w:tc>
          <w:tcPr>
            <w:tcW w:w="613" w:type="pct"/>
          </w:tcPr>
          <w:p w14:paraId="22CE4F06" w14:textId="77777777" w:rsidR="002431A0" w:rsidRPr="00630129" w:rsidRDefault="002431A0" w:rsidP="002431A0">
            <w:pPr>
              <w:pStyle w:val="EndnoteText"/>
              <w:rPr>
                <w:sz w:val="22"/>
                <w:szCs w:val="22"/>
              </w:rPr>
            </w:pPr>
          </w:p>
        </w:tc>
        <w:tc>
          <w:tcPr>
            <w:tcW w:w="2171" w:type="pct"/>
          </w:tcPr>
          <w:p w14:paraId="5FBA5E90" w14:textId="77777777" w:rsidR="002431A0" w:rsidRPr="00630129" w:rsidRDefault="002431A0" w:rsidP="002431A0">
            <w:pPr>
              <w:pStyle w:val="EndnoteText"/>
              <w:rPr>
                <w:sz w:val="22"/>
                <w:szCs w:val="22"/>
              </w:rPr>
            </w:pPr>
            <w:r w:rsidRPr="00630129">
              <w:rPr>
                <w:sz w:val="22"/>
                <w:szCs w:val="22"/>
              </w:rPr>
              <w:t xml:space="preserve">A group of Metering Systems which are controlled by the same </w:t>
            </w:r>
            <w:proofErr w:type="spellStart"/>
            <w:r w:rsidRPr="00630129">
              <w:rPr>
                <w:sz w:val="22"/>
                <w:szCs w:val="22"/>
              </w:rPr>
              <w:t>teleswitch</w:t>
            </w:r>
            <w:proofErr w:type="spellEnd"/>
            <w:r w:rsidRPr="00630129">
              <w:rPr>
                <w:sz w:val="22"/>
                <w:szCs w:val="22"/>
              </w:rPr>
              <w:t xml:space="preserve"> messages which messages are under the control of a particular person.</w:t>
            </w:r>
          </w:p>
        </w:tc>
      </w:tr>
      <w:tr w:rsidR="002431A0" w:rsidRPr="00630129" w14:paraId="6D3AD375" w14:textId="77777777" w:rsidTr="00A63BA8">
        <w:trPr>
          <w:cantSplit/>
        </w:trPr>
        <w:tc>
          <w:tcPr>
            <w:tcW w:w="1191" w:type="pct"/>
          </w:tcPr>
          <w:p w14:paraId="76C7A0A5" w14:textId="77777777" w:rsidR="002431A0" w:rsidRPr="00630129" w:rsidRDefault="002431A0" w:rsidP="002431A0">
            <w:pPr>
              <w:pStyle w:val="EndnoteText"/>
              <w:rPr>
                <w:sz w:val="22"/>
                <w:szCs w:val="22"/>
              </w:rPr>
            </w:pPr>
            <w:proofErr w:type="spellStart"/>
            <w:r w:rsidRPr="00630129">
              <w:rPr>
                <w:sz w:val="22"/>
                <w:szCs w:val="22"/>
              </w:rPr>
              <w:t>Teleswitch</w:t>
            </w:r>
            <w:proofErr w:type="spellEnd"/>
            <w:r w:rsidRPr="00630129">
              <w:rPr>
                <w:sz w:val="22"/>
                <w:szCs w:val="22"/>
              </w:rPr>
              <w:t xml:space="preserve"> Interval</w:t>
            </w:r>
          </w:p>
        </w:tc>
        <w:tc>
          <w:tcPr>
            <w:tcW w:w="1024" w:type="pct"/>
          </w:tcPr>
          <w:p w14:paraId="636ADB57" w14:textId="77777777" w:rsidR="002431A0" w:rsidRPr="00630129" w:rsidRDefault="002431A0" w:rsidP="002431A0">
            <w:pPr>
              <w:pStyle w:val="EndnoteText"/>
              <w:rPr>
                <w:sz w:val="22"/>
                <w:szCs w:val="22"/>
              </w:rPr>
            </w:pPr>
          </w:p>
        </w:tc>
        <w:tc>
          <w:tcPr>
            <w:tcW w:w="613" w:type="pct"/>
          </w:tcPr>
          <w:p w14:paraId="156D8D1F" w14:textId="77777777" w:rsidR="002431A0" w:rsidRPr="00630129" w:rsidRDefault="002431A0" w:rsidP="002431A0">
            <w:pPr>
              <w:pStyle w:val="EndnoteText"/>
              <w:rPr>
                <w:sz w:val="22"/>
                <w:szCs w:val="22"/>
              </w:rPr>
            </w:pPr>
          </w:p>
        </w:tc>
        <w:tc>
          <w:tcPr>
            <w:tcW w:w="2171" w:type="pct"/>
          </w:tcPr>
          <w:p w14:paraId="26CBA30C" w14:textId="77777777" w:rsidR="002431A0" w:rsidRPr="00630129" w:rsidRDefault="002431A0" w:rsidP="002431A0">
            <w:pPr>
              <w:pStyle w:val="EndnoteText"/>
              <w:rPr>
                <w:sz w:val="22"/>
                <w:szCs w:val="22"/>
              </w:rPr>
            </w:pPr>
            <w:r w:rsidRPr="00630129">
              <w:rPr>
                <w:sz w:val="22"/>
                <w:szCs w:val="22"/>
              </w:rPr>
              <w:t xml:space="preserve">A period during which the Settlement Registers associated with a </w:t>
            </w:r>
            <w:proofErr w:type="spellStart"/>
            <w:r w:rsidRPr="00630129">
              <w:rPr>
                <w:sz w:val="22"/>
                <w:szCs w:val="22"/>
              </w:rPr>
              <w:t>Teleswitch</w:t>
            </w:r>
            <w:proofErr w:type="spellEnd"/>
            <w:r w:rsidRPr="00630129">
              <w:rPr>
                <w:sz w:val="22"/>
                <w:szCs w:val="22"/>
              </w:rPr>
              <w:t xml:space="preserve"> Time Pattern Regime are recording metered consumption and which is determined pursuant to paragraph 6.2 of Annex S-2.</w:t>
            </w:r>
          </w:p>
        </w:tc>
      </w:tr>
      <w:tr w:rsidR="002431A0" w:rsidRPr="00630129" w14:paraId="3F083775" w14:textId="77777777" w:rsidTr="00A63BA8">
        <w:trPr>
          <w:cantSplit/>
        </w:trPr>
        <w:tc>
          <w:tcPr>
            <w:tcW w:w="1191" w:type="pct"/>
          </w:tcPr>
          <w:p w14:paraId="04CF1004" w14:textId="77777777" w:rsidR="002431A0" w:rsidRPr="00630129" w:rsidRDefault="002431A0" w:rsidP="002431A0">
            <w:pPr>
              <w:pStyle w:val="EndnoteText"/>
              <w:rPr>
                <w:sz w:val="22"/>
                <w:szCs w:val="22"/>
              </w:rPr>
            </w:pPr>
            <w:proofErr w:type="spellStart"/>
            <w:r w:rsidRPr="00630129">
              <w:rPr>
                <w:sz w:val="22"/>
                <w:szCs w:val="22"/>
              </w:rPr>
              <w:t>Teleswitch</w:t>
            </w:r>
            <w:proofErr w:type="spellEnd"/>
            <w:r w:rsidRPr="00630129">
              <w:rPr>
                <w:sz w:val="22"/>
                <w:szCs w:val="22"/>
              </w:rPr>
              <w:t xml:space="preserve"> Regime Indicator</w:t>
            </w:r>
          </w:p>
        </w:tc>
        <w:tc>
          <w:tcPr>
            <w:tcW w:w="1024" w:type="pct"/>
          </w:tcPr>
          <w:p w14:paraId="16A61B22" w14:textId="77777777" w:rsidR="002431A0" w:rsidRPr="00630129" w:rsidRDefault="002431A0" w:rsidP="002431A0">
            <w:pPr>
              <w:pStyle w:val="EndnoteText"/>
              <w:rPr>
                <w:sz w:val="22"/>
                <w:szCs w:val="22"/>
              </w:rPr>
            </w:pPr>
          </w:p>
        </w:tc>
        <w:tc>
          <w:tcPr>
            <w:tcW w:w="613" w:type="pct"/>
          </w:tcPr>
          <w:p w14:paraId="7D6BAB3C" w14:textId="77777777" w:rsidR="002431A0" w:rsidRPr="00630129" w:rsidRDefault="002431A0" w:rsidP="002431A0">
            <w:pPr>
              <w:pStyle w:val="EndnoteText"/>
              <w:rPr>
                <w:sz w:val="22"/>
                <w:szCs w:val="22"/>
              </w:rPr>
            </w:pPr>
            <w:r w:rsidRPr="00630129">
              <w:rPr>
                <w:sz w:val="22"/>
                <w:szCs w:val="22"/>
              </w:rPr>
              <w:t>Indicator</w:t>
            </w:r>
          </w:p>
        </w:tc>
        <w:tc>
          <w:tcPr>
            <w:tcW w:w="2171" w:type="pct"/>
          </w:tcPr>
          <w:p w14:paraId="26950C5E" w14:textId="77777777" w:rsidR="002431A0" w:rsidRPr="00630129" w:rsidRDefault="002431A0" w:rsidP="002431A0">
            <w:pPr>
              <w:pStyle w:val="EndnoteText"/>
              <w:rPr>
                <w:sz w:val="22"/>
                <w:szCs w:val="22"/>
              </w:rPr>
            </w:pPr>
            <w:r w:rsidRPr="00630129">
              <w:rPr>
                <w:sz w:val="22"/>
                <w:szCs w:val="22"/>
              </w:rPr>
              <w:t>An indicator indicating whether a Settlement Register is associated with a Time Pattern Regime provided pursuant to paragraph 5.1.5 of Annex S-2.</w:t>
            </w:r>
          </w:p>
        </w:tc>
      </w:tr>
      <w:tr w:rsidR="002431A0" w:rsidRPr="00630129" w14:paraId="355A7DDE" w14:textId="77777777" w:rsidTr="00A63BA8">
        <w:trPr>
          <w:cantSplit/>
        </w:trPr>
        <w:tc>
          <w:tcPr>
            <w:tcW w:w="1191" w:type="pct"/>
          </w:tcPr>
          <w:p w14:paraId="39445E05" w14:textId="77777777" w:rsidR="002431A0" w:rsidRPr="00630129" w:rsidRDefault="002431A0" w:rsidP="002431A0">
            <w:pPr>
              <w:rPr>
                <w:sz w:val="22"/>
                <w:szCs w:val="22"/>
              </w:rPr>
            </w:pPr>
            <w:proofErr w:type="spellStart"/>
            <w:r w:rsidRPr="00630129">
              <w:rPr>
                <w:sz w:val="22"/>
                <w:szCs w:val="22"/>
              </w:rPr>
              <w:t>Teleswitch</w:t>
            </w:r>
            <w:proofErr w:type="spellEnd"/>
            <w:r w:rsidRPr="00630129">
              <w:rPr>
                <w:sz w:val="22"/>
                <w:szCs w:val="22"/>
              </w:rPr>
              <w:t xml:space="preserve"> Register Rule</w:t>
            </w:r>
          </w:p>
        </w:tc>
        <w:tc>
          <w:tcPr>
            <w:tcW w:w="1024" w:type="pct"/>
          </w:tcPr>
          <w:p w14:paraId="0ED7A97B" w14:textId="77777777" w:rsidR="002431A0" w:rsidRPr="00630129" w:rsidRDefault="002431A0" w:rsidP="002431A0">
            <w:pPr>
              <w:rPr>
                <w:sz w:val="22"/>
                <w:szCs w:val="22"/>
              </w:rPr>
            </w:pPr>
          </w:p>
        </w:tc>
        <w:tc>
          <w:tcPr>
            <w:tcW w:w="613" w:type="pct"/>
          </w:tcPr>
          <w:p w14:paraId="028D87FD" w14:textId="77777777" w:rsidR="002431A0" w:rsidRPr="00630129" w:rsidRDefault="002431A0" w:rsidP="002431A0">
            <w:pPr>
              <w:rPr>
                <w:sz w:val="22"/>
                <w:szCs w:val="22"/>
              </w:rPr>
            </w:pPr>
          </w:p>
        </w:tc>
        <w:tc>
          <w:tcPr>
            <w:tcW w:w="2171" w:type="pct"/>
          </w:tcPr>
          <w:p w14:paraId="0AA6A026" w14:textId="77777777" w:rsidR="002431A0" w:rsidRPr="00630129" w:rsidRDefault="002431A0" w:rsidP="002431A0">
            <w:pPr>
              <w:rPr>
                <w:sz w:val="22"/>
                <w:szCs w:val="22"/>
              </w:rPr>
            </w:pPr>
            <w:r w:rsidRPr="00630129">
              <w:rPr>
                <w:sz w:val="22"/>
                <w:szCs w:val="22"/>
              </w:rPr>
              <w:t xml:space="preserve">A rule defining when the Settlement Registers associated with a </w:t>
            </w:r>
            <w:proofErr w:type="spellStart"/>
            <w:r w:rsidRPr="00630129">
              <w:rPr>
                <w:sz w:val="22"/>
                <w:szCs w:val="22"/>
              </w:rPr>
              <w:t>Teleswitch</w:t>
            </w:r>
            <w:proofErr w:type="spellEnd"/>
            <w:r w:rsidRPr="00630129">
              <w:rPr>
                <w:sz w:val="22"/>
                <w:szCs w:val="22"/>
              </w:rPr>
              <w:t xml:space="preserve"> Time Pattern Regime are recording metered consumption which is notified by a Supplier pursuant to paragraph 5.1.1 of Annex S-2.</w:t>
            </w:r>
          </w:p>
        </w:tc>
      </w:tr>
      <w:tr w:rsidR="002431A0" w:rsidRPr="00630129" w14:paraId="35094341" w14:textId="77777777" w:rsidTr="00A63BA8">
        <w:trPr>
          <w:cantSplit/>
        </w:trPr>
        <w:tc>
          <w:tcPr>
            <w:tcW w:w="1191" w:type="pct"/>
          </w:tcPr>
          <w:p w14:paraId="6B9B709F" w14:textId="77777777" w:rsidR="002431A0" w:rsidRPr="00630129" w:rsidRDefault="002431A0" w:rsidP="002431A0">
            <w:pPr>
              <w:rPr>
                <w:sz w:val="22"/>
                <w:szCs w:val="22"/>
              </w:rPr>
            </w:pPr>
            <w:proofErr w:type="spellStart"/>
            <w:r w:rsidRPr="00630129">
              <w:rPr>
                <w:sz w:val="22"/>
                <w:szCs w:val="22"/>
              </w:rPr>
              <w:lastRenderedPageBreak/>
              <w:t>Teleswitch</w:t>
            </w:r>
            <w:proofErr w:type="spellEnd"/>
            <w:r w:rsidRPr="00630129">
              <w:rPr>
                <w:sz w:val="22"/>
                <w:szCs w:val="22"/>
              </w:rPr>
              <w:t xml:space="preserve"> Time Pattern Regime</w:t>
            </w:r>
          </w:p>
        </w:tc>
        <w:tc>
          <w:tcPr>
            <w:tcW w:w="1024" w:type="pct"/>
          </w:tcPr>
          <w:p w14:paraId="453C838D" w14:textId="77777777" w:rsidR="002431A0" w:rsidRPr="00630129" w:rsidRDefault="002431A0" w:rsidP="002431A0">
            <w:pPr>
              <w:rPr>
                <w:sz w:val="22"/>
                <w:szCs w:val="22"/>
              </w:rPr>
            </w:pPr>
          </w:p>
        </w:tc>
        <w:tc>
          <w:tcPr>
            <w:tcW w:w="613" w:type="pct"/>
          </w:tcPr>
          <w:p w14:paraId="3D8F9D27" w14:textId="77777777" w:rsidR="002431A0" w:rsidRPr="00630129" w:rsidRDefault="002431A0" w:rsidP="002431A0">
            <w:pPr>
              <w:rPr>
                <w:sz w:val="22"/>
                <w:szCs w:val="22"/>
              </w:rPr>
            </w:pPr>
          </w:p>
        </w:tc>
        <w:tc>
          <w:tcPr>
            <w:tcW w:w="2171" w:type="pct"/>
          </w:tcPr>
          <w:p w14:paraId="498CAE58" w14:textId="77777777" w:rsidR="002431A0" w:rsidRPr="00630129" w:rsidRDefault="002431A0" w:rsidP="002431A0">
            <w:pPr>
              <w:rPr>
                <w:sz w:val="22"/>
                <w:szCs w:val="22"/>
              </w:rPr>
            </w:pPr>
            <w:r w:rsidRPr="00630129">
              <w:rPr>
                <w:sz w:val="22"/>
                <w:szCs w:val="22"/>
              </w:rPr>
              <w:t xml:space="preserve">A Time Pattern Regime associated with a </w:t>
            </w:r>
            <w:proofErr w:type="spellStart"/>
            <w:r w:rsidRPr="00630129">
              <w:rPr>
                <w:sz w:val="22"/>
                <w:szCs w:val="22"/>
              </w:rPr>
              <w:t>teleswitched</w:t>
            </w:r>
            <w:proofErr w:type="spellEnd"/>
            <w:r w:rsidRPr="00630129">
              <w:rPr>
                <w:sz w:val="22"/>
                <w:szCs w:val="22"/>
              </w:rPr>
              <w:t xml:space="preserve"> Standard Settlement Configuration in a particular </w:t>
            </w:r>
            <w:proofErr w:type="spellStart"/>
            <w:r w:rsidRPr="00630129">
              <w:rPr>
                <w:sz w:val="22"/>
                <w:szCs w:val="22"/>
              </w:rPr>
              <w:t>Teleswitch</w:t>
            </w:r>
            <w:proofErr w:type="spellEnd"/>
            <w:r w:rsidRPr="00630129">
              <w:rPr>
                <w:sz w:val="22"/>
                <w:szCs w:val="22"/>
              </w:rPr>
              <w:t xml:space="preserve"> Group.</w:t>
            </w:r>
          </w:p>
        </w:tc>
      </w:tr>
      <w:tr w:rsidR="002431A0" w:rsidRPr="00630129" w14:paraId="31DA116A" w14:textId="77777777" w:rsidTr="00A63BA8">
        <w:trPr>
          <w:cantSplit/>
        </w:trPr>
        <w:tc>
          <w:tcPr>
            <w:tcW w:w="1191" w:type="pct"/>
          </w:tcPr>
          <w:p w14:paraId="3F65F3EC" w14:textId="77777777" w:rsidR="002431A0" w:rsidRPr="00630129" w:rsidRDefault="002431A0" w:rsidP="002431A0">
            <w:pPr>
              <w:pStyle w:val="EndnoteText"/>
              <w:rPr>
                <w:sz w:val="22"/>
                <w:szCs w:val="22"/>
              </w:rPr>
            </w:pPr>
            <w:r w:rsidRPr="00630129">
              <w:rPr>
                <w:sz w:val="22"/>
                <w:szCs w:val="22"/>
              </w:rPr>
              <w:t>Threshold Parameter</w:t>
            </w:r>
          </w:p>
        </w:tc>
        <w:tc>
          <w:tcPr>
            <w:tcW w:w="1024" w:type="pct"/>
          </w:tcPr>
          <w:p w14:paraId="454B805F" w14:textId="77777777" w:rsidR="002431A0" w:rsidRPr="00630129" w:rsidRDefault="002431A0" w:rsidP="002431A0">
            <w:pPr>
              <w:pStyle w:val="EndnoteText"/>
              <w:rPr>
                <w:sz w:val="22"/>
                <w:szCs w:val="22"/>
              </w:rPr>
            </w:pPr>
            <w:r w:rsidRPr="00630129">
              <w:rPr>
                <w:sz w:val="22"/>
                <w:szCs w:val="22"/>
              </w:rPr>
              <w:t>TP</w:t>
            </w:r>
          </w:p>
        </w:tc>
        <w:tc>
          <w:tcPr>
            <w:tcW w:w="613" w:type="pct"/>
          </w:tcPr>
          <w:p w14:paraId="7C889BF8"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1FD462AC" w14:textId="77777777" w:rsidR="002431A0" w:rsidRPr="00630129" w:rsidRDefault="002431A0" w:rsidP="002431A0">
            <w:pPr>
              <w:pStyle w:val="EndnoteText"/>
              <w:rPr>
                <w:sz w:val="22"/>
                <w:szCs w:val="22"/>
              </w:rPr>
            </w:pPr>
            <w:r w:rsidRPr="00630129">
              <w:rPr>
                <w:sz w:val="22"/>
                <w:szCs w:val="22"/>
              </w:rPr>
              <w:t>A parameter set by the Panel from time to time and used in the determination of the Default Estimated Annual Consumption pursuant to paragraph 4.4 of Annex S-2.</w:t>
            </w:r>
          </w:p>
        </w:tc>
      </w:tr>
      <w:tr w:rsidR="002431A0" w:rsidRPr="00630129" w14:paraId="148834EE" w14:textId="77777777" w:rsidTr="00A63BA8">
        <w:trPr>
          <w:cantSplit/>
        </w:trPr>
        <w:tc>
          <w:tcPr>
            <w:tcW w:w="1191" w:type="pct"/>
          </w:tcPr>
          <w:p w14:paraId="15DADA70" w14:textId="77777777" w:rsidR="002431A0" w:rsidRPr="00630129" w:rsidRDefault="002431A0" w:rsidP="002431A0">
            <w:pPr>
              <w:pStyle w:val="EndnoteText"/>
              <w:rPr>
                <w:sz w:val="22"/>
                <w:szCs w:val="22"/>
              </w:rPr>
            </w:pPr>
            <w:r w:rsidRPr="00630129">
              <w:rPr>
                <w:sz w:val="22"/>
                <w:szCs w:val="22"/>
              </w:rPr>
              <w:t>Time of Sunset</w:t>
            </w:r>
          </w:p>
        </w:tc>
        <w:tc>
          <w:tcPr>
            <w:tcW w:w="1024" w:type="pct"/>
          </w:tcPr>
          <w:p w14:paraId="07FAC6BE" w14:textId="77777777" w:rsidR="002431A0" w:rsidRPr="00630129" w:rsidRDefault="002431A0" w:rsidP="002431A0">
            <w:pPr>
              <w:pStyle w:val="EndnoteText"/>
              <w:rPr>
                <w:sz w:val="22"/>
                <w:szCs w:val="22"/>
              </w:rPr>
            </w:pPr>
          </w:p>
        </w:tc>
        <w:tc>
          <w:tcPr>
            <w:tcW w:w="613" w:type="pct"/>
          </w:tcPr>
          <w:p w14:paraId="3AA72883" w14:textId="77777777" w:rsidR="002431A0" w:rsidRPr="00630129" w:rsidRDefault="002431A0" w:rsidP="002431A0">
            <w:pPr>
              <w:pStyle w:val="EndnoteText"/>
              <w:rPr>
                <w:sz w:val="22"/>
                <w:szCs w:val="22"/>
              </w:rPr>
            </w:pPr>
            <w:r w:rsidRPr="00630129">
              <w:rPr>
                <w:sz w:val="22"/>
                <w:szCs w:val="22"/>
              </w:rPr>
              <w:t>Time</w:t>
            </w:r>
          </w:p>
        </w:tc>
        <w:tc>
          <w:tcPr>
            <w:tcW w:w="2171" w:type="pct"/>
          </w:tcPr>
          <w:p w14:paraId="39C9F9FD" w14:textId="77777777" w:rsidR="002431A0" w:rsidRPr="00630129" w:rsidRDefault="002431A0" w:rsidP="002431A0">
            <w:pPr>
              <w:pStyle w:val="EndnoteText"/>
              <w:rPr>
                <w:sz w:val="22"/>
                <w:szCs w:val="22"/>
              </w:rPr>
            </w:pPr>
            <w:r w:rsidRPr="00630129">
              <w:rPr>
                <w:sz w:val="22"/>
                <w:szCs w:val="22"/>
              </w:rPr>
              <w:t>A set of data supplied to the Supplier Volume Allocation Agent pursuant to paragraph 5.1.6 of Annex S-2.</w:t>
            </w:r>
          </w:p>
        </w:tc>
      </w:tr>
      <w:tr w:rsidR="002431A0" w:rsidRPr="00630129" w14:paraId="4F462A87" w14:textId="77777777" w:rsidTr="00A63BA8">
        <w:trPr>
          <w:cantSplit/>
        </w:trPr>
        <w:tc>
          <w:tcPr>
            <w:tcW w:w="1191" w:type="pct"/>
          </w:tcPr>
          <w:p w14:paraId="48635604" w14:textId="77777777" w:rsidR="002431A0" w:rsidRPr="00630129" w:rsidRDefault="002431A0" w:rsidP="002431A0">
            <w:pPr>
              <w:pStyle w:val="EndnoteText"/>
              <w:rPr>
                <w:sz w:val="22"/>
                <w:szCs w:val="22"/>
              </w:rPr>
            </w:pPr>
            <w:r w:rsidRPr="00630129">
              <w:rPr>
                <w:sz w:val="22"/>
                <w:szCs w:val="22"/>
              </w:rPr>
              <w:t>Time Pattern Regime</w:t>
            </w:r>
          </w:p>
        </w:tc>
        <w:tc>
          <w:tcPr>
            <w:tcW w:w="1024" w:type="pct"/>
          </w:tcPr>
          <w:p w14:paraId="25E7C334" w14:textId="77777777" w:rsidR="002431A0" w:rsidRPr="00630129" w:rsidRDefault="002431A0" w:rsidP="002431A0">
            <w:pPr>
              <w:pStyle w:val="EndnoteText"/>
              <w:rPr>
                <w:sz w:val="22"/>
                <w:szCs w:val="22"/>
              </w:rPr>
            </w:pPr>
          </w:p>
        </w:tc>
        <w:tc>
          <w:tcPr>
            <w:tcW w:w="613" w:type="pct"/>
          </w:tcPr>
          <w:p w14:paraId="47385D02" w14:textId="77777777" w:rsidR="002431A0" w:rsidRPr="00630129" w:rsidRDefault="002431A0" w:rsidP="002431A0">
            <w:pPr>
              <w:pStyle w:val="EndnoteText"/>
              <w:rPr>
                <w:sz w:val="22"/>
                <w:szCs w:val="22"/>
              </w:rPr>
            </w:pPr>
          </w:p>
        </w:tc>
        <w:tc>
          <w:tcPr>
            <w:tcW w:w="2171" w:type="pct"/>
          </w:tcPr>
          <w:p w14:paraId="5854FBA1" w14:textId="77777777" w:rsidR="002431A0" w:rsidRPr="00630129" w:rsidRDefault="002431A0" w:rsidP="002431A0">
            <w:pPr>
              <w:pStyle w:val="EndnoteText"/>
              <w:rPr>
                <w:sz w:val="22"/>
                <w:szCs w:val="22"/>
              </w:rPr>
            </w:pPr>
            <w:r w:rsidRPr="00630129">
              <w:rPr>
                <w:sz w:val="22"/>
                <w:szCs w:val="22"/>
              </w:rPr>
              <w:t>A pattern of switching behaviour through time that determines when a Settlement Register is or is not recording Metered Data provided pursuant to paragraph 5.1.5 of Annex S-2.</w:t>
            </w:r>
          </w:p>
        </w:tc>
      </w:tr>
      <w:tr w:rsidR="002431A0" w:rsidRPr="00630129" w14:paraId="39261646" w14:textId="77777777" w:rsidTr="00A63BA8">
        <w:trPr>
          <w:cantSplit/>
        </w:trPr>
        <w:tc>
          <w:tcPr>
            <w:tcW w:w="1191" w:type="pct"/>
          </w:tcPr>
          <w:p w14:paraId="51DA4B1E" w14:textId="77777777" w:rsidR="002431A0" w:rsidRPr="00630129" w:rsidRDefault="002431A0" w:rsidP="002431A0">
            <w:pPr>
              <w:pStyle w:val="EndnoteText"/>
              <w:rPr>
                <w:sz w:val="22"/>
                <w:szCs w:val="22"/>
              </w:rPr>
            </w:pPr>
            <w:r w:rsidRPr="00630129">
              <w:rPr>
                <w:sz w:val="22"/>
                <w:szCs w:val="22"/>
              </w:rPr>
              <w:t>Time Pattern Regime Estimated Annual Consumption</w:t>
            </w:r>
          </w:p>
        </w:tc>
        <w:tc>
          <w:tcPr>
            <w:tcW w:w="1024" w:type="pct"/>
          </w:tcPr>
          <w:p w14:paraId="3E80A214" w14:textId="77777777" w:rsidR="002431A0" w:rsidRPr="00630129" w:rsidRDefault="002431A0" w:rsidP="002431A0">
            <w:pPr>
              <w:pStyle w:val="EndnoteText"/>
              <w:rPr>
                <w:sz w:val="22"/>
                <w:szCs w:val="22"/>
              </w:rPr>
            </w:pPr>
            <w:r w:rsidRPr="00630129">
              <w:rPr>
                <w:sz w:val="22"/>
                <w:szCs w:val="22"/>
              </w:rPr>
              <w:t>TPREAC</w:t>
            </w:r>
            <w:r w:rsidRPr="00630129">
              <w:rPr>
                <w:sz w:val="22"/>
                <w:szCs w:val="22"/>
                <w:vertAlign w:val="subscript"/>
              </w:rPr>
              <w:t>HPR</w:t>
            </w:r>
          </w:p>
        </w:tc>
        <w:tc>
          <w:tcPr>
            <w:tcW w:w="613" w:type="pct"/>
          </w:tcPr>
          <w:p w14:paraId="67D6AD7C" w14:textId="77777777" w:rsidR="002431A0" w:rsidRPr="00630129" w:rsidRDefault="002431A0" w:rsidP="002431A0">
            <w:pPr>
              <w:pStyle w:val="EndnoteText"/>
              <w:rPr>
                <w:sz w:val="22"/>
                <w:szCs w:val="22"/>
              </w:rPr>
            </w:pPr>
            <w:r w:rsidRPr="00630129">
              <w:rPr>
                <w:sz w:val="22"/>
                <w:szCs w:val="22"/>
              </w:rPr>
              <w:t>kWh</w:t>
            </w:r>
          </w:p>
        </w:tc>
        <w:tc>
          <w:tcPr>
            <w:tcW w:w="2171" w:type="pct"/>
          </w:tcPr>
          <w:p w14:paraId="31CA4E2E" w14:textId="77777777" w:rsidR="002431A0" w:rsidRPr="00630129" w:rsidRDefault="002431A0" w:rsidP="002431A0">
            <w:pPr>
              <w:pStyle w:val="Header"/>
              <w:tabs>
                <w:tab w:val="clear" w:pos="4153"/>
                <w:tab w:val="clear" w:pos="8306"/>
              </w:tabs>
              <w:jc w:val="both"/>
              <w:rPr>
                <w:sz w:val="22"/>
                <w:szCs w:val="22"/>
              </w:rPr>
            </w:pPr>
            <w:r w:rsidRPr="00630129">
              <w:rPr>
                <w:sz w:val="22"/>
                <w:szCs w:val="22"/>
              </w:rPr>
              <w:t>The average Estimated Annual Consumption in respect of a GSP Group, Profile Class, Standard Settlement Configuration and Time Pattern Regime determined pursuant to paragraph 5.1 of Annex S-2.</w:t>
            </w:r>
          </w:p>
        </w:tc>
      </w:tr>
      <w:tr w:rsidR="002431A0" w:rsidRPr="00630129" w14:paraId="02BA8A64" w14:textId="77777777" w:rsidTr="00A63BA8">
        <w:trPr>
          <w:cantSplit/>
        </w:trPr>
        <w:tc>
          <w:tcPr>
            <w:tcW w:w="1191" w:type="pct"/>
          </w:tcPr>
          <w:p w14:paraId="053153ED" w14:textId="77777777" w:rsidR="002431A0" w:rsidRPr="00630129" w:rsidRDefault="002431A0" w:rsidP="002431A0">
            <w:pPr>
              <w:pStyle w:val="EndnoteText"/>
              <w:rPr>
                <w:sz w:val="22"/>
                <w:szCs w:val="22"/>
              </w:rPr>
            </w:pPr>
            <w:r w:rsidRPr="00630129">
              <w:rPr>
                <w:sz w:val="22"/>
                <w:szCs w:val="22"/>
              </w:rPr>
              <w:t>Time Pattern Regime Estimated Daily Consumption</w:t>
            </w:r>
          </w:p>
        </w:tc>
        <w:tc>
          <w:tcPr>
            <w:tcW w:w="1024" w:type="pct"/>
          </w:tcPr>
          <w:p w14:paraId="506D4C11" w14:textId="77777777" w:rsidR="002431A0" w:rsidRPr="00630129" w:rsidRDefault="002431A0" w:rsidP="002431A0">
            <w:pPr>
              <w:pStyle w:val="EndnoteText"/>
              <w:rPr>
                <w:sz w:val="22"/>
                <w:szCs w:val="22"/>
              </w:rPr>
            </w:pPr>
            <w:r w:rsidRPr="00630129">
              <w:rPr>
                <w:sz w:val="22"/>
                <w:szCs w:val="22"/>
              </w:rPr>
              <w:t>TPREDC</w:t>
            </w:r>
            <w:r w:rsidRPr="00630129">
              <w:rPr>
                <w:sz w:val="22"/>
                <w:szCs w:val="22"/>
                <w:vertAlign w:val="subscript"/>
              </w:rPr>
              <w:t>HPRT</w:t>
            </w:r>
          </w:p>
        </w:tc>
        <w:tc>
          <w:tcPr>
            <w:tcW w:w="613" w:type="pct"/>
          </w:tcPr>
          <w:p w14:paraId="0C0BFF05" w14:textId="77777777" w:rsidR="002431A0" w:rsidRPr="00630129" w:rsidRDefault="002431A0" w:rsidP="002431A0">
            <w:pPr>
              <w:pStyle w:val="EndnoteText"/>
              <w:rPr>
                <w:sz w:val="22"/>
                <w:szCs w:val="22"/>
              </w:rPr>
            </w:pPr>
            <w:r w:rsidRPr="00630129">
              <w:rPr>
                <w:sz w:val="22"/>
                <w:szCs w:val="22"/>
              </w:rPr>
              <w:t>kWh</w:t>
            </w:r>
          </w:p>
        </w:tc>
        <w:tc>
          <w:tcPr>
            <w:tcW w:w="2171" w:type="pct"/>
          </w:tcPr>
          <w:p w14:paraId="43432A4C" w14:textId="77777777" w:rsidR="002431A0" w:rsidRPr="00630129" w:rsidRDefault="002431A0" w:rsidP="002431A0">
            <w:pPr>
              <w:pStyle w:val="Header"/>
              <w:tabs>
                <w:tab w:val="clear" w:pos="4153"/>
                <w:tab w:val="clear" w:pos="8306"/>
              </w:tabs>
              <w:rPr>
                <w:sz w:val="22"/>
                <w:szCs w:val="22"/>
              </w:rPr>
            </w:pPr>
            <w:r w:rsidRPr="00630129">
              <w:rPr>
                <w:sz w:val="22"/>
                <w:szCs w:val="22"/>
              </w:rPr>
              <w:t>The average Estimated Daily Consumption in respect of a GSP Group, Profile Class, Standard Settlement Configuration, Time Pattern Regime and Settlement Day determined pursuant to paragraph 5.1 of Annex S-2.</w:t>
            </w:r>
          </w:p>
        </w:tc>
      </w:tr>
      <w:tr w:rsidR="002431A0" w:rsidRPr="00630129" w14:paraId="35898B3F" w14:textId="77777777" w:rsidTr="00A63BA8">
        <w:trPr>
          <w:cantSplit/>
        </w:trPr>
        <w:tc>
          <w:tcPr>
            <w:tcW w:w="1191" w:type="pct"/>
          </w:tcPr>
          <w:p w14:paraId="495BDD91" w14:textId="77777777" w:rsidR="002431A0" w:rsidRPr="00630129" w:rsidRDefault="002431A0" w:rsidP="002431A0">
            <w:pPr>
              <w:pStyle w:val="EndnoteText"/>
              <w:rPr>
                <w:sz w:val="22"/>
                <w:szCs w:val="22"/>
              </w:rPr>
            </w:pPr>
            <w:proofErr w:type="spellStart"/>
            <w:r w:rsidRPr="00630129">
              <w:rPr>
                <w:sz w:val="22"/>
                <w:szCs w:val="22"/>
              </w:rPr>
              <w:t>Timeswitch</w:t>
            </w:r>
            <w:proofErr w:type="spellEnd"/>
            <w:r w:rsidRPr="00630129">
              <w:rPr>
                <w:sz w:val="22"/>
                <w:szCs w:val="22"/>
              </w:rPr>
              <w:t xml:space="preserve"> Regime Indicator</w:t>
            </w:r>
          </w:p>
        </w:tc>
        <w:tc>
          <w:tcPr>
            <w:tcW w:w="1024" w:type="pct"/>
          </w:tcPr>
          <w:p w14:paraId="644FE934" w14:textId="77777777" w:rsidR="002431A0" w:rsidRPr="00630129" w:rsidRDefault="002431A0" w:rsidP="002431A0">
            <w:pPr>
              <w:pStyle w:val="EndnoteText"/>
              <w:rPr>
                <w:sz w:val="22"/>
                <w:szCs w:val="22"/>
              </w:rPr>
            </w:pPr>
          </w:p>
        </w:tc>
        <w:tc>
          <w:tcPr>
            <w:tcW w:w="613" w:type="pct"/>
          </w:tcPr>
          <w:p w14:paraId="68B26573" w14:textId="77777777" w:rsidR="002431A0" w:rsidRPr="00630129" w:rsidRDefault="002431A0" w:rsidP="002431A0">
            <w:pPr>
              <w:pStyle w:val="EndnoteText"/>
              <w:rPr>
                <w:sz w:val="22"/>
                <w:szCs w:val="22"/>
              </w:rPr>
            </w:pPr>
            <w:r w:rsidRPr="00630129">
              <w:rPr>
                <w:sz w:val="22"/>
                <w:szCs w:val="22"/>
              </w:rPr>
              <w:t>Indicator</w:t>
            </w:r>
          </w:p>
        </w:tc>
        <w:tc>
          <w:tcPr>
            <w:tcW w:w="2171" w:type="pct"/>
          </w:tcPr>
          <w:p w14:paraId="1EEAECC2" w14:textId="77777777" w:rsidR="002431A0" w:rsidRPr="00630129" w:rsidRDefault="002431A0" w:rsidP="002431A0">
            <w:pPr>
              <w:pStyle w:val="EndnoteText"/>
              <w:rPr>
                <w:sz w:val="22"/>
                <w:szCs w:val="22"/>
              </w:rPr>
            </w:pPr>
            <w:r w:rsidRPr="00630129">
              <w:rPr>
                <w:sz w:val="22"/>
                <w:szCs w:val="22"/>
              </w:rPr>
              <w:t>An indicator indicating whether a Settlement Register is associated with a Time Pattern Regime provided pursuant to paragraph 5.1.5 of Annex S-2.</w:t>
            </w:r>
          </w:p>
        </w:tc>
      </w:tr>
      <w:tr w:rsidR="002431A0" w:rsidRPr="00630129" w14:paraId="30BF4630" w14:textId="77777777" w:rsidTr="00A63BA8">
        <w:trPr>
          <w:cantSplit/>
        </w:trPr>
        <w:tc>
          <w:tcPr>
            <w:tcW w:w="1191" w:type="pct"/>
          </w:tcPr>
          <w:p w14:paraId="78AFAF46" w14:textId="77777777" w:rsidR="002431A0" w:rsidRPr="00630129" w:rsidRDefault="002431A0" w:rsidP="002431A0">
            <w:pPr>
              <w:pStyle w:val="EndnoteText"/>
              <w:rPr>
                <w:sz w:val="22"/>
                <w:szCs w:val="22"/>
              </w:rPr>
            </w:pPr>
            <w:r w:rsidRPr="00630129">
              <w:rPr>
                <w:sz w:val="22"/>
                <w:szCs w:val="22"/>
              </w:rPr>
              <w:t>Total Annualised Advance</w:t>
            </w:r>
          </w:p>
        </w:tc>
        <w:tc>
          <w:tcPr>
            <w:tcW w:w="1024" w:type="pct"/>
          </w:tcPr>
          <w:p w14:paraId="06E403E6" w14:textId="77777777" w:rsidR="002431A0" w:rsidRPr="00630129" w:rsidRDefault="002431A0" w:rsidP="002431A0">
            <w:pPr>
              <w:pStyle w:val="EndnoteText"/>
              <w:rPr>
                <w:sz w:val="22"/>
                <w:szCs w:val="22"/>
              </w:rPr>
            </w:pPr>
            <w:r w:rsidRPr="00630129">
              <w:rPr>
                <w:sz w:val="22"/>
                <w:szCs w:val="22"/>
              </w:rPr>
              <w:t>TAA</w:t>
            </w:r>
            <w:r w:rsidRPr="00630129">
              <w:rPr>
                <w:sz w:val="22"/>
                <w:szCs w:val="22"/>
                <w:vertAlign w:val="subscript"/>
              </w:rPr>
              <w:t>HZLPR</w:t>
            </w:r>
          </w:p>
        </w:tc>
        <w:tc>
          <w:tcPr>
            <w:tcW w:w="613" w:type="pct"/>
          </w:tcPr>
          <w:p w14:paraId="74763E95" w14:textId="77777777" w:rsidR="002431A0" w:rsidRPr="00630129" w:rsidRDefault="002431A0" w:rsidP="002431A0">
            <w:pPr>
              <w:pStyle w:val="EndnoteText"/>
              <w:rPr>
                <w:sz w:val="22"/>
                <w:szCs w:val="22"/>
              </w:rPr>
            </w:pPr>
            <w:r w:rsidRPr="00630129">
              <w:rPr>
                <w:sz w:val="22"/>
                <w:szCs w:val="22"/>
              </w:rPr>
              <w:t>MWh</w:t>
            </w:r>
          </w:p>
        </w:tc>
        <w:tc>
          <w:tcPr>
            <w:tcW w:w="2171" w:type="pct"/>
          </w:tcPr>
          <w:p w14:paraId="774BC486" w14:textId="77777777" w:rsidR="002431A0" w:rsidRPr="00630129" w:rsidRDefault="002431A0" w:rsidP="002431A0">
            <w:pPr>
              <w:pStyle w:val="EndnoteText"/>
              <w:rPr>
                <w:sz w:val="22"/>
                <w:szCs w:val="22"/>
              </w:rPr>
            </w:pPr>
            <w:r w:rsidRPr="00630129">
              <w:rPr>
                <w:sz w:val="22"/>
                <w:szCs w:val="22"/>
              </w:rPr>
              <w:t>The total of all the Annualised Advances for a Supplier in MWh and in respect of a Profile Class, Line Loss Factor Class, Time Pattern Regime and GSP Group determined pursuant to paragraph 4.4 of Annex S-2.</w:t>
            </w:r>
          </w:p>
        </w:tc>
      </w:tr>
      <w:tr w:rsidR="002431A0" w:rsidRPr="00630129" w14:paraId="3BD3D4F8"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34F45C81" w14:textId="77777777" w:rsidR="002431A0" w:rsidRPr="00630129" w:rsidRDefault="002431A0" w:rsidP="002431A0">
            <w:pPr>
              <w:pStyle w:val="EndnoteText"/>
              <w:rPr>
                <w:sz w:val="22"/>
                <w:szCs w:val="22"/>
              </w:rPr>
            </w:pPr>
            <w:r w:rsidRPr="00630129">
              <w:rPr>
                <w:sz w:val="22"/>
                <w:szCs w:val="22"/>
              </w:rPr>
              <w:t>Total Annualised Advance (Disconnected)</w:t>
            </w:r>
          </w:p>
        </w:tc>
        <w:tc>
          <w:tcPr>
            <w:tcW w:w="1024" w:type="pct"/>
            <w:tcBorders>
              <w:top w:val="single" w:sz="6" w:space="0" w:color="000000"/>
              <w:left w:val="single" w:sz="6" w:space="0" w:color="000000"/>
              <w:bottom w:val="single" w:sz="6" w:space="0" w:color="000000"/>
              <w:right w:val="single" w:sz="6" w:space="0" w:color="000000"/>
            </w:tcBorders>
          </w:tcPr>
          <w:p w14:paraId="1D8D9C21" w14:textId="77777777" w:rsidR="002431A0" w:rsidRPr="00630129" w:rsidRDefault="002431A0" w:rsidP="002431A0">
            <w:pPr>
              <w:pStyle w:val="EndnoteText"/>
              <w:rPr>
                <w:sz w:val="22"/>
                <w:szCs w:val="22"/>
              </w:rPr>
            </w:pPr>
            <w:r w:rsidRPr="00630129">
              <w:rPr>
                <w:sz w:val="22"/>
                <w:szCs w:val="22"/>
              </w:rPr>
              <w:t>TAAD</w:t>
            </w:r>
            <w:r w:rsidRPr="00630129">
              <w:rPr>
                <w:sz w:val="22"/>
                <w:szCs w:val="22"/>
                <w:vertAlign w:val="subscript"/>
              </w:rPr>
              <w:t>HZLPR</w:t>
            </w:r>
          </w:p>
        </w:tc>
        <w:tc>
          <w:tcPr>
            <w:tcW w:w="613" w:type="pct"/>
            <w:tcBorders>
              <w:top w:val="single" w:sz="6" w:space="0" w:color="000000"/>
              <w:left w:val="single" w:sz="6" w:space="0" w:color="000000"/>
              <w:bottom w:val="single" w:sz="6" w:space="0" w:color="000000"/>
              <w:right w:val="single" w:sz="6" w:space="0" w:color="000000"/>
            </w:tcBorders>
          </w:tcPr>
          <w:p w14:paraId="5CAB5A9B" w14:textId="77777777" w:rsidR="002431A0" w:rsidRPr="00630129" w:rsidRDefault="002431A0" w:rsidP="002431A0">
            <w:pPr>
              <w:pStyle w:val="EndnoteText"/>
              <w:rPr>
                <w:sz w:val="22"/>
                <w:szCs w:val="22"/>
              </w:rPr>
            </w:pPr>
            <w:r w:rsidRPr="00630129">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34BFC420" w14:textId="77777777" w:rsidR="002431A0" w:rsidRPr="00630129" w:rsidRDefault="002431A0" w:rsidP="002431A0">
            <w:pPr>
              <w:pStyle w:val="EndnoteText"/>
              <w:rPr>
                <w:sz w:val="22"/>
                <w:szCs w:val="22"/>
              </w:rPr>
            </w:pPr>
            <w:r w:rsidRPr="00630129">
              <w:rPr>
                <w:sz w:val="22"/>
                <w:szCs w:val="22"/>
              </w:rPr>
              <w:t>The total of all the Annualised Advances for a Supplier in MWh and in respect of a Profile Class, Line Loss Factor Class, Time Pattern Regime and GSP Group which were subject to Demand Disconnection, determined pursuant to paragraph 4.5 of Annex S-2.</w:t>
            </w:r>
          </w:p>
        </w:tc>
      </w:tr>
      <w:tr w:rsidR="002431A0" w:rsidRPr="00630129" w14:paraId="6219FDC9" w14:textId="77777777" w:rsidTr="00A63BA8">
        <w:trPr>
          <w:cantSplit/>
        </w:trPr>
        <w:tc>
          <w:tcPr>
            <w:tcW w:w="1191" w:type="pct"/>
          </w:tcPr>
          <w:p w14:paraId="489E03A9" w14:textId="77777777" w:rsidR="002431A0" w:rsidRPr="00630129" w:rsidRDefault="002431A0" w:rsidP="002431A0">
            <w:pPr>
              <w:pStyle w:val="EndnoteText"/>
              <w:rPr>
                <w:sz w:val="22"/>
                <w:szCs w:val="22"/>
              </w:rPr>
            </w:pPr>
            <w:r w:rsidRPr="00630129">
              <w:rPr>
                <w:sz w:val="22"/>
                <w:szCs w:val="22"/>
              </w:rPr>
              <w:lastRenderedPageBreak/>
              <w:t>Total Estimated Annual Consumption For Non Half Hourly Metered Metering Systems</w:t>
            </w:r>
          </w:p>
        </w:tc>
        <w:tc>
          <w:tcPr>
            <w:tcW w:w="1024" w:type="pct"/>
          </w:tcPr>
          <w:p w14:paraId="70FF54DD" w14:textId="77777777" w:rsidR="002431A0" w:rsidRPr="00630129" w:rsidRDefault="002431A0" w:rsidP="002431A0">
            <w:pPr>
              <w:pStyle w:val="EndnoteText"/>
              <w:rPr>
                <w:sz w:val="22"/>
                <w:szCs w:val="22"/>
              </w:rPr>
            </w:pPr>
            <w:r w:rsidRPr="00630129">
              <w:rPr>
                <w:sz w:val="22"/>
                <w:szCs w:val="22"/>
              </w:rPr>
              <w:t>ME</w:t>
            </w:r>
            <w:r w:rsidRPr="00630129">
              <w:rPr>
                <w:sz w:val="22"/>
                <w:szCs w:val="22"/>
                <w:vertAlign w:val="subscript"/>
              </w:rPr>
              <w:t>HZLPR</w:t>
            </w:r>
          </w:p>
        </w:tc>
        <w:tc>
          <w:tcPr>
            <w:tcW w:w="613" w:type="pct"/>
          </w:tcPr>
          <w:p w14:paraId="0E67A6C3" w14:textId="77777777" w:rsidR="002431A0" w:rsidRPr="00630129" w:rsidRDefault="002431A0" w:rsidP="002431A0">
            <w:pPr>
              <w:pStyle w:val="EndnoteText"/>
              <w:rPr>
                <w:sz w:val="22"/>
                <w:szCs w:val="22"/>
              </w:rPr>
            </w:pPr>
            <w:r w:rsidRPr="00630129">
              <w:rPr>
                <w:sz w:val="22"/>
                <w:szCs w:val="22"/>
              </w:rPr>
              <w:t>KWh</w:t>
            </w:r>
          </w:p>
        </w:tc>
        <w:tc>
          <w:tcPr>
            <w:tcW w:w="2171" w:type="pct"/>
          </w:tcPr>
          <w:p w14:paraId="39753FB6" w14:textId="77777777" w:rsidR="002431A0" w:rsidRPr="00630129" w:rsidRDefault="002431A0" w:rsidP="002431A0">
            <w:pPr>
              <w:pStyle w:val="EndnoteText"/>
              <w:rPr>
                <w:sz w:val="22"/>
                <w:szCs w:val="22"/>
              </w:rPr>
            </w:pPr>
            <w:r w:rsidRPr="00630129">
              <w:rPr>
                <w:sz w:val="22"/>
                <w:szCs w:val="22"/>
              </w:rPr>
              <w:t xml:space="preserve">The sum of Estimated Annual Consumption for </w:t>
            </w:r>
            <w:proofErr w:type="spellStart"/>
            <w:r w:rsidRPr="00630129">
              <w:rPr>
                <w:sz w:val="22"/>
                <w:szCs w:val="22"/>
              </w:rPr>
              <w:t>non half</w:t>
            </w:r>
            <w:proofErr w:type="spellEnd"/>
            <w:r w:rsidRPr="00630129">
              <w:rPr>
                <w:sz w:val="22"/>
                <w:szCs w:val="22"/>
              </w:rPr>
              <w:t xml:space="preserve"> hourly metered SVA Metering Systems calculated pursuant to paragraph 4.4 of Annex S-2.</w:t>
            </w:r>
          </w:p>
        </w:tc>
      </w:tr>
      <w:tr w:rsidR="002431A0" w:rsidRPr="00630129" w14:paraId="7D929546"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1A29EB9A" w14:textId="77777777" w:rsidR="002431A0" w:rsidRPr="00630129" w:rsidRDefault="002431A0" w:rsidP="002431A0">
            <w:pPr>
              <w:pStyle w:val="EndnoteText"/>
              <w:rPr>
                <w:sz w:val="22"/>
                <w:szCs w:val="22"/>
              </w:rPr>
            </w:pPr>
            <w:r w:rsidRPr="00630129">
              <w:rPr>
                <w:sz w:val="22"/>
                <w:szCs w:val="22"/>
              </w:rPr>
              <w:t>Total Estimated Annual Consumption For Non Half Hourly Metered Metering Systems (Disconnected)</w:t>
            </w:r>
          </w:p>
        </w:tc>
        <w:tc>
          <w:tcPr>
            <w:tcW w:w="1024" w:type="pct"/>
            <w:tcBorders>
              <w:top w:val="single" w:sz="6" w:space="0" w:color="000000"/>
              <w:left w:val="single" w:sz="6" w:space="0" w:color="000000"/>
              <w:bottom w:val="single" w:sz="6" w:space="0" w:color="000000"/>
              <w:right w:val="single" w:sz="6" w:space="0" w:color="000000"/>
            </w:tcBorders>
          </w:tcPr>
          <w:p w14:paraId="554035C8" w14:textId="77777777" w:rsidR="002431A0" w:rsidRPr="00630129" w:rsidRDefault="002431A0" w:rsidP="002431A0">
            <w:pPr>
              <w:pStyle w:val="EndnoteText"/>
              <w:rPr>
                <w:sz w:val="22"/>
                <w:szCs w:val="22"/>
              </w:rPr>
            </w:pPr>
            <w:r w:rsidRPr="00630129">
              <w:rPr>
                <w:sz w:val="22"/>
                <w:szCs w:val="22"/>
              </w:rPr>
              <w:t>MED</w:t>
            </w:r>
            <w:r w:rsidRPr="00630129">
              <w:rPr>
                <w:sz w:val="22"/>
                <w:szCs w:val="22"/>
                <w:vertAlign w:val="subscript"/>
              </w:rPr>
              <w:t>HZLPR</w:t>
            </w:r>
          </w:p>
        </w:tc>
        <w:tc>
          <w:tcPr>
            <w:tcW w:w="613" w:type="pct"/>
            <w:tcBorders>
              <w:top w:val="single" w:sz="6" w:space="0" w:color="000000"/>
              <w:left w:val="single" w:sz="6" w:space="0" w:color="000000"/>
              <w:bottom w:val="single" w:sz="6" w:space="0" w:color="000000"/>
              <w:right w:val="single" w:sz="6" w:space="0" w:color="000000"/>
            </w:tcBorders>
          </w:tcPr>
          <w:p w14:paraId="1B5C1466" w14:textId="77777777" w:rsidR="002431A0" w:rsidRPr="00630129" w:rsidRDefault="002431A0" w:rsidP="002431A0">
            <w:pPr>
              <w:pStyle w:val="EndnoteText"/>
              <w:rPr>
                <w:sz w:val="22"/>
                <w:szCs w:val="22"/>
              </w:rPr>
            </w:pPr>
            <w:r w:rsidRPr="00630129">
              <w:rPr>
                <w:sz w:val="22"/>
                <w:szCs w:val="22"/>
              </w:rPr>
              <w:t>kWh</w:t>
            </w:r>
          </w:p>
        </w:tc>
        <w:tc>
          <w:tcPr>
            <w:tcW w:w="2171" w:type="pct"/>
            <w:tcBorders>
              <w:top w:val="single" w:sz="6" w:space="0" w:color="000000"/>
              <w:left w:val="single" w:sz="6" w:space="0" w:color="000000"/>
              <w:bottom w:val="single" w:sz="6" w:space="0" w:color="000000"/>
              <w:right w:val="single" w:sz="6" w:space="0" w:color="000000"/>
            </w:tcBorders>
          </w:tcPr>
          <w:p w14:paraId="36873F42" w14:textId="77777777" w:rsidR="002431A0" w:rsidRPr="00630129" w:rsidRDefault="002431A0" w:rsidP="002431A0">
            <w:pPr>
              <w:pStyle w:val="EndnoteText"/>
              <w:rPr>
                <w:sz w:val="22"/>
                <w:szCs w:val="22"/>
              </w:rPr>
            </w:pPr>
            <w:r w:rsidRPr="00630129">
              <w:rPr>
                <w:sz w:val="22"/>
                <w:szCs w:val="22"/>
              </w:rPr>
              <w:t xml:space="preserve">The sum of Estimated Annual Consumption for </w:t>
            </w:r>
            <w:proofErr w:type="spellStart"/>
            <w:r w:rsidRPr="00630129">
              <w:rPr>
                <w:sz w:val="22"/>
                <w:szCs w:val="22"/>
              </w:rPr>
              <w:t>non half</w:t>
            </w:r>
            <w:proofErr w:type="spellEnd"/>
            <w:r w:rsidRPr="00630129">
              <w:rPr>
                <w:sz w:val="22"/>
                <w:szCs w:val="22"/>
              </w:rPr>
              <w:t xml:space="preserve"> hourly metered SVA Metering Systems which were subject to Demand Disconnection, determined pursuant to paragraph 4.5 of Annex S-2.</w:t>
            </w:r>
          </w:p>
        </w:tc>
      </w:tr>
      <w:tr w:rsidR="002431A0" w:rsidRPr="00630129" w14:paraId="0C047CCC" w14:textId="77777777" w:rsidTr="00A63BA8">
        <w:trPr>
          <w:cantSplit/>
        </w:trPr>
        <w:tc>
          <w:tcPr>
            <w:tcW w:w="1191" w:type="pct"/>
          </w:tcPr>
          <w:p w14:paraId="7B759783" w14:textId="77777777" w:rsidR="002431A0" w:rsidRPr="00630129" w:rsidRDefault="002431A0" w:rsidP="002431A0">
            <w:pPr>
              <w:pStyle w:val="EndnoteText"/>
              <w:tabs>
                <w:tab w:val="left" w:pos="992"/>
                <w:tab w:val="left" w:pos="1985"/>
                <w:tab w:val="left" w:pos="2977"/>
                <w:tab w:val="left" w:pos="3969"/>
                <w:tab w:val="left" w:pos="4961"/>
              </w:tabs>
              <w:rPr>
                <w:sz w:val="22"/>
                <w:szCs w:val="22"/>
              </w:rPr>
            </w:pPr>
            <w:r w:rsidRPr="00630129">
              <w:rPr>
                <w:sz w:val="22"/>
                <w:szCs w:val="22"/>
              </w:rPr>
              <w:t>Total Metered Estimated Annual Consumption</w:t>
            </w:r>
          </w:p>
        </w:tc>
        <w:tc>
          <w:tcPr>
            <w:tcW w:w="1024" w:type="pct"/>
          </w:tcPr>
          <w:p w14:paraId="69426ACF" w14:textId="77777777" w:rsidR="002431A0" w:rsidRPr="00630129" w:rsidRDefault="002431A0" w:rsidP="002431A0">
            <w:pPr>
              <w:pStyle w:val="EndnoteText"/>
              <w:tabs>
                <w:tab w:val="left" w:pos="992"/>
                <w:tab w:val="left" w:pos="1985"/>
                <w:tab w:val="left" w:pos="2977"/>
                <w:tab w:val="left" w:pos="3969"/>
                <w:tab w:val="left" w:pos="4961"/>
              </w:tabs>
              <w:rPr>
                <w:sz w:val="22"/>
                <w:szCs w:val="22"/>
              </w:rPr>
            </w:pPr>
            <w:r w:rsidRPr="00630129">
              <w:rPr>
                <w:sz w:val="22"/>
                <w:szCs w:val="22"/>
              </w:rPr>
              <w:t>TMEAC</w:t>
            </w:r>
            <w:r w:rsidRPr="00630129">
              <w:rPr>
                <w:sz w:val="22"/>
                <w:szCs w:val="22"/>
                <w:vertAlign w:val="subscript"/>
              </w:rPr>
              <w:t>HZLPR</w:t>
            </w:r>
          </w:p>
        </w:tc>
        <w:tc>
          <w:tcPr>
            <w:tcW w:w="613" w:type="pct"/>
          </w:tcPr>
          <w:p w14:paraId="34086888" w14:textId="77777777" w:rsidR="002431A0" w:rsidRPr="00630129" w:rsidRDefault="002431A0" w:rsidP="002431A0">
            <w:pPr>
              <w:pStyle w:val="EndnoteText"/>
              <w:tabs>
                <w:tab w:val="left" w:pos="992"/>
                <w:tab w:val="left" w:pos="1985"/>
                <w:tab w:val="left" w:pos="2977"/>
                <w:tab w:val="left" w:pos="3969"/>
                <w:tab w:val="left" w:pos="4961"/>
              </w:tabs>
              <w:rPr>
                <w:sz w:val="22"/>
                <w:szCs w:val="22"/>
              </w:rPr>
            </w:pPr>
            <w:r w:rsidRPr="00630129">
              <w:rPr>
                <w:sz w:val="22"/>
                <w:szCs w:val="22"/>
              </w:rPr>
              <w:t>MWh</w:t>
            </w:r>
          </w:p>
        </w:tc>
        <w:tc>
          <w:tcPr>
            <w:tcW w:w="2171" w:type="pct"/>
          </w:tcPr>
          <w:p w14:paraId="419F015F" w14:textId="77777777" w:rsidR="002431A0" w:rsidRPr="00630129" w:rsidRDefault="002431A0" w:rsidP="002431A0">
            <w:pPr>
              <w:pStyle w:val="EndnoteText"/>
              <w:tabs>
                <w:tab w:val="left" w:pos="992"/>
                <w:tab w:val="left" w:pos="1985"/>
                <w:tab w:val="left" w:pos="2977"/>
                <w:tab w:val="left" w:pos="3969"/>
                <w:tab w:val="left" w:pos="4961"/>
              </w:tabs>
              <w:rPr>
                <w:sz w:val="22"/>
                <w:szCs w:val="22"/>
              </w:rPr>
            </w:pPr>
            <w:r w:rsidRPr="00630129">
              <w:rPr>
                <w:sz w:val="22"/>
                <w:szCs w:val="22"/>
              </w:rPr>
              <w:t>The total metered annual Consumption for a SVA Supplier and in respect of a Profile Class, Line Loss Factor Class, Time Pattern Regime and GSP Group, determined pursuant to paragraph 4.4 of Annex S-2.</w:t>
            </w:r>
          </w:p>
        </w:tc>
      </w:tr>
      <w:tr w:rsidR="002431A0" w:rsidRPr="00630129" w14:paraId="25B1C59D"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23344513" w14:textId="77777777" w:rsidR="002431A0" w:rsidRPr="00630129" w:rsidRDefault="002431A0" w:rsidP="002431A0">
            <w:pPr>
              <w:pStyle w:val="EndnoteText"/>
              <w:rPr>
                <w:sz w:val="22"/>
                <w:szCs w:val="22"/>
              </w:rPr>
            </w:pPr>
            <w:r w:rsidRPr="00630129">
              <w:rPr>
                <w:sz w:val="22"/>
                <w:szCs w:val="22"/>
              </w:rPr>
              <w:t>Total Metered Estimated Annual Consumption (Disconnected)</w:t>
            </w:r>
          </w:p>
        </w:tc>
        <w:tc>
          <w:tcPr>
            <w:tcW w:w="1024" w:type="pct"/>
            <w:tcBorders>
              <w:top w:val="single" w:sz="6" w:space="0" w:color="000000"/>
              <w:left w:val="single" w:sz="6" w:space="0" w:color="000000"/>
              <w:bottom w:val="single" w:sz="6" w:space="0" w:color="000000"/>
              <w:right w:val="single" w:sz="6" w:space="0" w:color="000000"/>
            </w:tcBorders>
          </w:tcPr>
          <w:p w14:paraId="274AAEC3" w14:textId="77777777" w:rsidR="002431A0" w:rsidRPr="00630129" w:rsidRDefault="002431A0" w:rsidP="002431A0">
            <w:pPr>
              <w:pStyle w:val="EndnoteText"/>
              <w:rPr>
                <w:sz w:val="22"/>
                <w:szCs w:val="22"/>
              </w:rPr>
            </w:pPr>
            <w:r w:rsidRPr="00630129">
              <w:rPr>
                <w:sz w:val="22"/>
                <w:szCs w:val="22"/>
              </w:rPr>
              <w:t>TMEACD</w:t>
            </w:r>
            <w:r w:rsidRPr="00630129">
              <w:rPr>
                <w:sz w:val="22"/>
                <w:szCs w:val="22"/>
                <w:vertAlign w:val="subscript"/>
              </w:rPr>
              <w:t>HZLPR</w:t>
            </w:r>
          </w:p>
        </w:tc>
        <w:tc>
          <w:tcPr>
            <w:tcW w:w="613" w:type="pct"/>
            <w:tcBorders>
              <w:top w:val="single" w:sz="6" w:space="0" w:color="000000"/>
              <w:left w:val="single" w:sz="6" w:space="0" w:color="000000"/>
              <w:bottom w:val="single" w:sz="6" w:space="0" w:color="000000"/>
              <w:right w:val="single" w:sz="6" w:space="0" w:color="000000"/>
            </w:tcBorders>
          </w:tcPr>
          <w:p w14:paraId="771F45E7" w14:textId="77777777" w:rsidR="002431A0" w:rsidRPr="00630129" w:rsidRDefault="002431A0" w:rsidP="002431A0">
            <w:pPr>
              <w:pStyle w:val="EndnoteText"/>
              <w:rPr>
                <w:sz w:val="22"/>
                <w:szCs w:val="22"/>
              </w:rPr>
            </w:pPr>
            <w:r w:rsidRPr="00630129">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05C9B1AC" w14:textId="77777777" w:rsidR="002431A0" w:rsidRPr="00630129" w:rsidRDefault="002431A0" w:rsidP="002431A0">
            <w:pPr>
              <w:pStyle w:val="EndnoteText"/>
              <w:rPr>
                <w:sz w:val="22"/>
                <w:szCs w:val="22"/>
              </w:rPr>
            </w:pPr>
            <w:r w:rsidRPr="00630129">
              <w:rPr>
                <w:sz w:val="22"/>
                <w:szCs w:val="22"/>
              </w:rPr>
              <w:t>The total metered annual Consumption for a SVA Supplier subject to Demand Disconnection and in respect of a Profile Class, Line Loss Factor Class, Time Pattern Regime and GSP Group, determined pursuant to paragraph 4.5 of Annex S-2.</w:t>
            </w:r>
          </w:p>
        </w:tc>
      </w:tr>
      <w:tr w:rsidR="002431A0" w:rsidRPr="00630129" w14:paraId="22C7C42E" w14:textId="77777777" w:rsidTr="002431A0">
        <w:trPr>
          <w:cantSplit/>
          <w:ins w:id="72" w:author="Aditi Tulpule" w:date="2021-02-24T16:16:00Z"/>
        </w:trPr>
        <w:tc>
          <w:tcPr>
            <w:tcW w:w="1191" w:type="pct"/>
          </w:tcPr>
          <w:p w14:paraId="07988758" w14:textId="77313E92" w:rsidR="002431A0" w:rsidRPr="00630129" w:rsidRDefault="002431A0" w:rsidP="002431A0">
            <w:pPr>
              <w:pStyle w:val="EndnoteText"/>
              <w:rPr>
                <w:ins w:id="73" w:author="Aditi Tulpule" w:date="2021-02-24T16:16:00Z"/>
                <w:sz w:val="22"/>
                <w:szCs w:val="22"/>
              </w:rPr>
            </w:pPr>
            <w:ins w:id="74" w:author="Aditi Tulpule" w:date="2021-02-24T16:16:00Z">
              <w:r>
                <w:rPr>
                  <w:sz w:val="22"/>
                  <w:szCs w:val="22"/>
                </w:rPr>
                <w:t xml:space="preserve">Total </w:t>
              </w:r>
              <w:r w:rsidRPr="003859AF">
                <w:rPr>
                  <w:sz w:val="22"/>
                  <w:szCs w:val="22"/>
                </w:rPr>
                <w:t>Metering System Delivered Volume</w:t>
              </w:r>
            </w:ins>
          </w:p>
        </w:tc>
        <w:tc>
          <w:tcPr>
            <w:tcW w:w="1024" w:type="pct"/>
          </w:tcPr>
          <w:p w14:paraId="018CEA54" w14:textId="4017B0F3" w:rsidR="002431A0" w:rsidRPr="00630129" w:rsidRDefault="002431A0" w:rsidP="002431A0">
            <w:pPr>
              <w:pStyle w:val="EndnoteText"/>
              <w:rPr>
                <w:ins w:id="75" w:author="Aditi Tulpule" w:date="2021-02-24T16:16:00Z"/>
                <w:sz w:val="22"/>
                <w:szCs w:val="22"/>
              </w:rPr>
            </w:pPr>
            <w:proofErr w:type="spellStart"/>
            <w:ins w:id="76" w:author="Aditi Tulpule" w:date="2021-02-24T16:16:00Z">
              <w:r w:rsidRPr="0096175B">
                <w:rPr>
                  <w:color w:val="1F497D"/>
                  <w:sz w:val="22"/>
                  <w:szCs w:val="22"/>
                </w:rPr>
                <w:t>TQVMD</w:t>
              </w:r>
              <w:r w:rsidRPr="0096175B">
                <w:rPr>
                  <w:color w:val="1F497D"/>
                  <w:sz w:val="22"/>
                  <w:szCs w:val="22"/>
                  <w:vertAlign w:val="subscript"/>
                </w:rPr>
                <w:t>Kj</w:t>
              </w:r>
              <w:proofErr w:type="spellEnd"/>
            </w:ins>
          </w:p>
        </w:tc>
        <w:tc>
          <w:tcPr>
            <w:tcW w:w="613" w:type="pct"/>
          </w:tcPr>
          <w:p w14:paraId="16064434" w14:textId="2C12507A" w:rsidR="002431A0" w:rsidRPr="00630129" w:rsidRDefault="002431A0" w:rsidP="002431A0">
            <w:pPr>
              <w:pStyle w:val="EndnoteText"/>
              <w:rPr>
                <w:ins w:id="77" w:author="Aditi Tulpule" w:date="2021-02-24T16:16:00Z"/>
                <w:sz w:val="22"/>
                <w:szCs w:val="22"/>
              </w:rPr>
            </w:pPr>
            <w:ins w:id="78" w:author="Aditi Tulpule" w:date="2021-02-24T16:16:00Z">
              <w:r w:rsidRPr="00630129">
                <w:rPr>
                  <w:sz w:val="22"/>
                  <w:szCs w:val="22"/>
                </w:rPr>
                <w:t>MWh</w:t>
              </w:r>
            </w:ins>
          </w:p>
        </w:tc>
        <w:tc>
          <w:tcPr>
            <w:tcW w:w="2171" w:type="pct"/>
          </w:tcPr>
          <w:p w14:paraId="09732E66" w14:textId="55A62785" w:rsidR="002431A0" w:rsidRPr="00630129" w:rsidRDefault="002431A0" w:rsidP="002431A0">
            <w:pPr>
              <w:pStyle w:val="EndnoteText"/>
              <w:rPr>
                <w:ins w:id="79" w:author="Aditi Tulpule" w:date="2021-02-24T16:16:00Z"/>
                <w:sz w:val="22"/>
                <w:szCs w:val="22"/>
              </w:rPr>
            </w:pPr>
            <w:ins w:id="80" w:author="Aditi Tulpule" w:date="2021-02-24T16:16:00Z">
              <w:r w:rsidRPr="00630129">
                <w:rPr>
                  <w:sz w:val="22"/>
                  <w:szCs w:val="22"/>
                </w:rPr>
                <w:t>The quantity determined in accordance with paragraph 3.10.2 of Annex S-2.</w:t>
              </w:r>
            </w:ins>
          </w:p>
        </w:tc>
      </w:tr>
      <w:tr w:rsidR="002431A0" w:rsidRPr="00630129" w14:paraId="6B111A6E" w14:textId="77777777" w:rsidTr="00A63BA8">
        <w:trPr>
          <w:cantSplit/>
        </w:trPr>
        <w:tc>
          <w:tcPr>
            <w:tcW w:w="1191" w:type="pct"/>
          </w:tcPr>
          <w:p w14:paraId="2FF6DF5E" w14:textId="77777777" w:rsidR="002431A0" w:rsidRPr="00630129" w:rsidRDefault="002431A0" w:rsidP="002431A0">
            <w:pPr>
              <w:pStyle w:val="EndnoteText"/>
              <w:rPr>
                <w:sz w:val="22"/>
                <w:szCs w:val="22"/>
              </w:rPr>
            </w:pPr>
            <w:r w:rsidRPr="00630129">
              <w:rPr>
                <w:sz w:val="22"/>
                <w:szCs w:val="22"/>
              </w:rPr>
              <w:t>Total Number Of Metered Non Half Hourly Metering Systems Contributing To Total Metered Estimated Annual Consumption</w:t>
            </w:r>
          </w:p>
        </w:tc>
        <w:tc>
          <w:tcPr>
            <w:tcW w:w="1024" w:type="pct"/>
          </w:tcPr>
          <w:p w14:paraId="2CE3EFFE" w14:textId="77777777" w:rsidR="002431A0" w:rsidRPr="00630129" w:rsidRDefault="002431A0" w:rsidP="002431A0">
            <w:pPr>
              <w:pStyle w:val="EndnoteText"/>
              <w:rPr>
                <w:sz w:val="22"/>
                <w:szCs w:val="22"/>
              </w:rPr>
            </w:pPr>
            <w:r w:rsidRPr="00630129">
              <w:rPr>
                <w:sz w:val="22"/>
                <w:szCs w:val="22"/>
              </w:rPr>
              <w:t>TMEACC</w:t>
            </w:r>
            <w:r w:rsidRPr="00630129">
              <w:rPr>
                <w:sz w:val="22"/>
                <w:szCs w:val="22"/>
                <w:vertAlign w:val="subscript"/>
              </w:rPr>
              <w:t>HZLPR</w:t>
            </w:r>
          </w:p>
        </w:tc>
        <w:tc>
          <w:tcPr>
            <w:tcW w:w="613" w:type="pct"/>
          </w:tcPr>
          <w:p w14:paraId="3F7AAAC1"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5FF592E4" w14:textId="77777777" w:rsidR="002431A0" w:rsidRPr="00630129" w:rsidRDefault="002431A0" w:rsidP="002431A0">
            <w:pPr>
              <w:pStyle w:val="EndnoteText"/>
              <w:rPr>
                <w:sz w:val="22"/>
                <w:szCs w:val="22"/>
              </w:rPr>
            </w:pPr>
            <w:r w:rsidRPr="00630129">
              <w:rPr>
                <w:sz w:val="22"/>
                <w:szCs w:val="22"/>
              </w:rPr>
              <w:t>The number of metered non half hourly Settlement Registers within SVA Metering Systems contributing to the calculation of Total Metered Estimated Annual Consumption the value of which is maintained pursuant to paragraph 4.4 of Annex S-2.</w:t>
            </w:r>
          </w:p>
        </w:tc>
      </w:tr>
      <w:tr w:rsidR="002431A0" w:rsidRPr="00630129" w14:paraId="502975D4"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0A2FD37E" w14:textId="77777777" w:rsidR="002431A0" w:rsidRPr="00630129" w:rsidRDefault="002431A0" w:rsidP="002431A0">
            <w:pPr>
              <w:pStyle w:val="EndnoteText"/>
              <w:rPr>
                <w:sz w:val="22"/>
                <w:szCs w:val="22"/>
              </w:rPr>
            </w:pPr>
            <w:r w:rsidRPr="00630129">
              <w:rPr>
                <w:sz w:val="22"/>
                <w:szCs w:val="22"/>
              </w:rPr>
              <w:t>Total Number Of Metered Non Half Hourly Metering Systems Contributing To Total Metered Estimated Annual Consumption (Disconnected)</w:t>
            </w:r>
          </w:p>
        </w:tc>
        <w:tc>
          <w:tcPr>
            <w:tcW w:w="1024" w:type="pct"/>
            <w:tcBorders>
              <w:top w:val="single" w:sz="6" w:space="0" w:color="000000"/>
              <w:left w:val="single" w:sz="6" w:space="0" w:color="000000"/>
              <w:bottom w:val="single" w:sz="6" w:space="0" w:color="000000"/>
              <w:right w:val="single" w:sz="6" w:space="0" w:color="000000"/>
            </w:tcBorders>
          </w:tcPr>
          <w:p w14:paraId="67D1410B" w14:textId="77777777" w:rsidR="002431A0" w:rsidRPr="00630129" w:rsidRDefault="002431A0" w:rsidP="002431A0">
            <w:pPr>
              <w:pStyle w:val="EndnoteText"/>
              <w:rPr>
                <w:sz w:val="22"/>
                <w:szCs w:val="22"/>
              </w:rPr>
            </w:pPr>
            <w:r w:rsidRPr="00630129">
              <w:rPr>
                <w:sz w:val="22"/>
                <w:szCs w:val="22"/>
              </w:rPr>
              <w:t>TMEACCD</w:t>
            </w:r>
            <w:r w:rsidRPr="00630129">
              <w:rPr>
                <w:sz w:val="22"/>
                <w:szCs w:val="22"/>
                <w:vertAlign w:val="subscript"/>
              </w:rPr>
              <w:t>HZLPR</w:t>
            </w:r>
          </w:p>
        </w:tc>
        <w:tc>
          <w:tcPr>
            <w:tcW w:w="613" w:type="pct"/>
            <w:tcBorders>
              <w:top w:val="single" w:sz="6" w:space="0" w:color="000000"/>
              <w:left w:val="single" w:sz="6" w:space="0" w:color="000000"/>
              <w:bottom w:val="single" w:sz="6" w:space="0" w:color="000000"/>
              <w:right w:val="single" w:sz="6" w:space="0" w:color="000000"/>
            </w:tcBorders>
          </w:tcPr>
          <w:p w14:paraId="61B92CA5" w14:textId="77777777" w:rsidR="002431A0" w:rsidRPr="00630129" w:rsidRDefault="002431A0" w:rsidP="002431A0">
            <w:pPr>
              <w:pStyle w:val="EndnoteText"/>
              <w:rPr>
                <w:sz w:val="22"/>
                <w:szCs w:val="22"/>
              </w:rPr>
            </w:pPr>
            <w:r w:rsidRPr="00630129">
              <w:rPr>
                <w:sz w:val="22"/>
                <w:szCs w:val="22"/>
              </w:rPr>
              <w:t>Number</w:t>
            </w:r>
          </w:p>
        </w:tc>
        <w:tc>
          <w:tcPr>
            <w:tcW w:w="2171" w:type="pct"/>
            <w:tcBorders>
              <w:top w:val="single" w:sz="6" w:space="0" w:color="000000"/>
              <w:left w:val="single" w:sz="6" w:space="0" w:color="000000"/>
              <w:bottom w:val="single" w:sz="6" w:space="0" w:color="000000"/>
              <w:right w:val="single" w:sz="6" w:space="0" w:color="000000"/>
            </w:tcBorders>
          </w:tcPr>
          <w:p w14:paraId="17F29421" w14:textId="77777777" w:rsidR="002431A0" w:rsidRPr="00630129" w:rsidRDefault="002431A0" w:rsidP="002431A0">
            <w:pPr>
              <w:pStyle w:val="EndnoteText"/>
              <w:rPr>
                <w:sz w:val="22"/>
                <w:szCs w:val="22"/>
              </w:rPr>
            </w:pPr>
            <w:r w:rsidRPr="00630129">
              <w:rPr>
                <w:sz w:val="22"/>
                <w:szCs w:val="22"/>
              </w:rPr>
              <w:t>The number of metered non half hourly Settlement Registers within SVA Metering Systems contributing to the calculation of Total Metered Estimated Annual Consumption which were subject to Demand Disconnection, the value of which is maintained pursuant to paragraph 4.5 of Annex S-2.</w:t>
            </w:r>
          </w:p>
        </w:tc>
      </w:tr>
      <w:tr w:rsidR="002431A0" w:rsidRPr="00630129" w14:paraId="0CF3FB9C" w14:textId="77777777" w:rsidTr="00A63BA8">
        <w:trPr>
          <w:cantSplit/>
        </w:trPr>
        <w:tc>
          <w:tcPr>
            <w:tcW w:w="1191" w:type="pct"/>
          </w:tcPr>
          <w:p w14:paraId="619A1690" w14:textId="77777777" w:rsidR="002431A0" w:rsidRPr="00630129" w:rsidRDefault="002431A0" w:rsidP="002431A0">
            <w:pPr>
              <w:pStyle w:val="EndnoteText"/>
              <w:rPr>
                <w:sz w:val="22"/>
                <w:szCs w:val="22"/>
              </w:rPr>
            </w:pPr>
            <w:r w:rsidRPr="00630129">
              <w:rPr>
                <w:sz w:val="22"/>
                <w:szCs w:val="22"/>
              </w:rPr>
              <w:lastRenderedPageBreak/>
              <w:t>Total Number Of Non Half Hourly Unmetered Metering Systems Contributing To Total Unmetered Consumption</w:t>
            </w:r>
          </w:p>
        </w:tc>
        <w:tc>
          <w:tcPr>
            <w:tcW w:w="1024" w:type="pct"/>
          </w:tcPr>
          <w:p w14:paraId="6F607644" w14:textId="77777777" w:rsidR="002431A0" w:rsidRPr="00630129" w:rsidRDefault="002431A0" w:rsidP="002431A0">
            <w:pPr>
              <w:pStyle w:val="EndnoteText"/>
              <w:rPr>
                <w:sz w:val="22"/>
                <w:szCs w:val="22"/>
              </w:rPr>
            </w:pPr>
            <w:r w:rsidRPr="00630129">
              <w:rPr>
                <w:sz w:val="22"/>
                <w:szCs w:val="22"/>
              </w:rPr>
              <w:t>TMUEC</w:t>
            </w:r>
            <w:r w:rsidRPr="00630129">
              <w:rPr>
                <w:sz w:val="22"/>
                <w:szCs w:val="22"/>
                <w:vertAlign w:val="subscript"/>
              </w:rPr>
              <w:t>HZLPR</w:t>
            </w:r>
          </w:p>
        </w:tc>
        <w:tc>
          <w:tcPr>
            <w:tcW w:w="613" w:type="pct"/>
          </w:tcPr>
          <w:p w14:paraId="62A5F461" w14:textId="77777777" w:rsidR="002431A0" w:rsidRPr="00630129" w:rsidRDefault="002431A0" w:rsidP="002431A0">
            <w:pPr>
              <w:pStyle w:val="EndnoteText"/>
              <w:rPr>
                <w:sz w:val="22"/>
                <w:szCs w:val="22"/>
              </w:rPr>
            </w:pPr>
            <w:r w:rsidRPr="00630129">
              <w:rPr>
                <w:sz w:val="22"/>
                <w:szCs w:val="22"/>
              </w:rPr>
              <w:t>Number</w:t>
            </w:r>
          </w:p>
        </w:tc>
        <w:tc>
          <w:tcPr>
            <w:tcW w:w="2171" w:type="pct"/>
          </w:tcPr>
          <w:p w14:paraId="139D19D0" w14:textId="77777777" w:rsidR="002431A0" w:rsidRPr="00630129" w:rsidRDefault="002431A0" w:rsidP="002431A0">
            <w:pPr>
              <w:pStyle w:val="EndnoteText"/>
              <w:rPr>
                <w:sz w:val="22"/>
                <w:szCs w:val="22"/>
              </w:rPr>
            </w:pPr>
            <w:r w:rsidRPr="00630129">
              <w:rPr>
                <w:sz w:val="22"/>
                <w:szCs w:val="22"/>
              </w:rPr>
              <w:t xml:space="preserve">The number of </w:t>
            </w:r>
            <w:proofErr w:type="spellStart"/>
            <w:r w:rsidRPr="00630129">
              <w:rPr>
                <w:sz w:val="22"/>
                <w:szCs w:val="22"/>
              </w:rPr>
              <w:t>non half</w:t>
            </w:r>
            <w:proofErr w:type="spellEnd"/>
            <w:r w:rsidRPr="00630129">
              <w:rPr>
                <w:sz w:val="22"/>
                <w:szCs w:val="22"/>
              </w:rPr>
              <w:t xml:space="preserve"> hourly Settlement Registers within Unmetered Supplies contributing to the calculation of Total Unmetered Consumption the value of which is maintained pursuant to paragraph 4.4 of Annex S-2.</w:t>
            </w:r>
          </w:p>
        </w:tc>
      </w:tr>
      <w:tr w:rsidR="002431A0" w:rsidRPr="00630129" w14:paraId="7B909FCF"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0708483F" w14:textId="77777777" w:rsidR="002431A0" w:rsidRPr="00630129" w:rsidRDefault="002431A0" w:rsidP="002431A0">
            <w:pPr>
              <w:pStyle w:val="EndnoteText"/>
              <w:rPr>
                <w:sz w:val="22"/>
                <w:szCs w:val="22"/>
              </w:rPr>
            </w:pPr>
            <w:r w:rsidRPr="00630129">
              <w:rPr>
                <w:sz w:val="22"/>
                <w:szCs w:val="22"/>
              </w:rPr>
              <w:t>Total Number Of Non Half Hourly Unmetered Metering Systems Contributing To Total Unmetered Consumption (Disconnected)</w:t>
            </w:r>
          </w:p>
        </w:tc>
        <w:tc>
          <w:tcPr>
            <w:tcW w:w="1024" w:type="pct"/>
            <w:tcBorders>
              <w:top w:val="single" w:sz="6" w:space="0" w:color="000000"/>
              <w:left w:val="single" w:sz="6" w:space="0" w:color="000000"/>
              <w:bottom w:val="single" w:sz="6" w:space="0" w:color="000000"/>
              <w:right w:val="single" w:sz="6" w:space="0" w:color="000000"/>
            </w:tcBorders>
          </w:tcPr>
          <w:p w14:paraId="63C851AE" w14:textId="77777777" w:rsidR="002431A0" w:rsidRPr="00630129" w:rsidRDefault="002431A0" w:rsidP="002431A0">
            <w:pPr>
              <w:pStyle w:val="EndnoteText"/>
              <w:rPr>
                <w:sz w:val="22"/>
                <w:szCs w:val="22"/>
              </w:rPr>
            </w:pPr>
            <w:r w:rsidRPr="00630129">
              <w:rPr>
                <w:sz w:val="22"/>
                <w:szCs w:val="22"/>
              </w:rPr>
              <w:t>TMUECD</w:t>
            </w:r>
            <w:r w:rsidRPr="00630129">
              <w:rPr>
                <w:sz w:val="22"/>
                <w:szCs w:val="22"/>
                <w:vertAlign w:val="subscript"/>
              </w:rPr>
              <w:t>HZLPR</w:t>
            </w:r>
          </w:p>
        </w:tc>
        <w:tc>
          <w:tcPr>
            <w:tcW w:w="613" w:type="pct"/>
            <w:tcBorders>
              <w:top w:val="single" w:sz="6" w:space="0" w:color="000000"/>
              <w:left w:val="single" w:sz="6" w:space="0" w:color="000000"/>
              <w:bottom w:val="single" w:sz="6" w:space="0" w:color="000000"/>
              <w:right w:val="single" w:sz="6" w:space="0" w:color="000000"/>
            </w:tcBorders>
          </w:tcPr>
          <w:p w14:paraId="16F27447" w14:textId="77777777" w:rsidR="002431A0" w:rsidRPr="00630129" w:rsidRDefault="002431A0" w:rsidP="002431A0">
            <w:pPr>
              <w:pStyle w:val="EndnoteText"/>
              <w:rPr>
                <w:sz w:val="22"/>
                <w:szCs w:val="22"/>
              </w:rPr>
            </w:pPr>
            <w:r w:rsidRPr="00630129">
              <w:rPr>
                <w:sz w:val="22"/>
                <w:szCs w:val="22"/>
              </w:rPr>
              <w:t>Number</w:t>
            </w:r>
          </w:p>
        </w:tc>
        <w:tc>
          <w:tcPr>
            <w:tcW w:w="2171" w:type="pct"/>
            <w:tcBorders>
              <w:top w:val="single" w:sz="6" w:space="0" w:color="000000"/>
              <w:left w:val="single" w:sz="6" w:space="0" w:color="000000"/>
              <w:bottom w:val="single" w:sz="6" w:space="0" w:color="000000"/>
              <w:right w:val="single" w:sz="6" w:space="0" w:color="000000"/>
            </w:tcBorders>
          </w:tcPr>
          <w:p w14:paraId="6E638921" w14:textId="77777777" w:rsidR="002431A0" w:rsidRPr="00630129" w:rsidRDefault="002431A0" w:rsidP="002431A0">
            <w:pPr>
              <w:pStyle w:val="EndnoteText"/>
              <w:rPr>
                <w:sz w:val="22"/>
                <w:szCs w:val="22"/>
              </w:rPr>
            </w:pPr>
            <w:r w:rsidRPr="00630129">
              <w:rPr>
                <w:sz w:val="22"/>
                <w:szCs w:val="22"/>
              </w:rPr>
              <w:t xml:space="preserve">The number of </w:t>
            </w:r>
            <w:proofErr w:type="spellStart"/>
            <w:r w:rsidRPr="00630129">
              <w:rPr>
                <w:sz w:val="22"/>
                <w:szCs w:val="22"/>
              </w:rPr>
              <w:t>non half</w:t>
            </w:r>
            <w:proofErr w:type="spellEnd"/>
            <w:r w:rsidRPr="00630129">
              <w:rPr>
                <w:sz w:val="22"/>
                <w:szCs w:val="22"/>
              </w:rPr>
              <w:t xml:space="preserve"> hourly Settlement Registers within Unmetered Supplies contributing to the calculation of Total Unmetered Consumption which were subject to Demand Disconnection, the value of which is maintained pursuant to paragraph 4.5 of Annex S-2.</w:t>
            </w:r>
          </w:p>
        </w:tc>
      </w:tr>
      <w:tr w:rsidR="002431A0" w:rsidRPr="00630129" w14:paraId="38C06FE5" w14:textId="77777777" w:rsidTr="00A63BA8">
        <w:trPr>
          <w:cantSplit/>
        </w:trPr>
        <w:tc>
          <w:tcPr>
            <w:tcW w:w="1191" w:type="pct"/>
          </w:tcPr>
          <w:p w14:paraId="764FCCE5" w14:textId="77777777" w:rsidR="002431A0" w:rsidRPr="00630129" w:rsidRDefault="002431A0" w:rsidP="002431A0">
            <w:pPr>
              <w:pStyle w:val="EndnoteText"/>
              <w:rPr>
                <w:sz w:val="22"/>
                <w:szCs w:val="22"/>
              </w:rPr>
            </w:pPr>
            <w:r w:rsidRPr="00630129">
              <w:rPr>
                <w:sz w:val="22"/>
                <w:szCs w:val="22"/>
              </w:rPr>
              <w:t>Total Unmetered Consumption</w:t>
            </w:r>
          </w:p>
        </w:tc>
        <w:tc>
          <w:tcPr>
            <w:tcW w:w="1024" w:type="pct"/>
          </w:tcPr>
          <w:p w14:paraId="6E746167" w14:textId="77777777" w:rsidR="002431A0" w:rsidRPr="00630129" w:rsidRDefault="002431A0" w:rsidP="002431A0">
            <w:pPr>
              <w:pStyle w:val="EndnoteText"/>
              <w:rPr>
                <w:sz w:val="22"/>
                <w:szCs w:val="22"/>
              </w:rPr>
            </w:pPr>
            <w:r w:rsidRPr="00630129">
              <w:rPr>
                <w:sz w:val="22"/>
                <w:szCs w:val="22"/>
              </w:rPr>
              <w:t>TUE</w:t>
            </w:r>
            <w:r w:rsidRPr="00630129">
              <w:rPr>
                <w:sz w:val="22"/>
                <w:szCs w:val="22"/>
                <w:vertAlign w:val="subscript"/>
              </w:rPr>
              <w:t>HZLPR</w:t>
            </w:r>
          </w:p>
        </w:tc>
        <w:tc>
          <w:tcPr>
            <w:tcW w:w="613" w:type="pct"/>
          </w:tcPr>
          <w:p w14:paraId="01C9A222" w14:textId="77777777" w:rsidR="002431A0" w:rsidRPr="00630129" w:rsidRDefault="002431A0" w:rsidP="002431A0">
            <w:pPr>
              <w:pStyle w:val="EndnoteText"/>
              <w:rPr>
                <w:sz w:val="22"/>
                <w:szCs w:val="22"/>
              </w:rPr>
            </w:pPr>
            <w:r w:rsidRPr="00630129">
              <w:rPr>
                <w:sz w:val="22"/>
                <w:szCs w:val="22"/>
              </w:rPr>
              <w:t>MWh</w:t>
            </w:r>
          </w:p>
        </w:tc>
        <w:tc>
          <w:tcPr>
            <w:tcW w:w="2171" w:type="pct"/>
          </w:tcPr>
          <w:p w14:paraId="2F5DB39E" w14:textId="77777777" w:rsidR="002431A0" w:rsidRPr="00630129" w:rsidRDefault="002431A0" w:rsidP="002431A0">
            <w:pPr>
              <w:pStyle w:val="EndnoteText"/>
              <w:rPr>
                <w:sz w:val="22"/>
                <w:szCs w:val="22"/>
              </w:rPr>
            </w:pPr>
            <w:r w:rsidRPr="00630129">
              <w:rPr>
                <w:sz w:val="22"/>
                <w:szCs w:val="22"/>
              </w:rPr>
              <w:t>The total unmetered annual Consumption for a SVA Supplier and in respect of a Profile Class, Line Loss Factor Class, Time Pattern Regime and GSP Group, determined pursuant to paragraph 4.4 of Annex S-2.</w:t>
            </w:r>
          </w:p>
        </w:tc>
      </w:tr>
      <w:tr w:rsidR="002431A0" w:rsidRPr="00630129" w14:paraId="63AA9C64"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49917736" w14:textId="77777777" w:rsidR="002431A0" w:rsidRPr="00630129" w:rsidRDefault="002431A0" w:rsidP="002431A0">
            <w:pPr>
              <w:pStyle w:val="EndnoteText"/>
              <w:rPr>
                <w:sz w:val="22"/>
                <w:szCs w:val="22"/>
              </w:rPr>
            </w:pPr>
            <w:r w:rsidRPr="00630129">
              <w:rPr>
                <w:sz w:val="22"/>
                <w:szCs w:val="22"/>
              </w:rPr>
              <w:t>Total Unmetered Consumption (Disconnected)</w:t>
            </w:r>
          </w:p>
        </w:tc>
        <w:tc>
          <w:tcPr>
            <w:tcW w:w="1024" w:type="pct"/>
            <w:tcBorders>
              <w:top w:val="single" w:sz="6" w:space="0" w:color="000000"/>
              <w:left w:val="single" w:sz="6" w:space="0" w:color="000000"/>
              <w:bottom w:val="single" w:sz="6" w:space="0" w:color="000000"/>
              <w:right w:val="single" w:sz="6" w:space="0" w:color="000000"/>
            </w:tcBorders>
          </w:tcPr>
          <w:p w14:paraId="6C973658" w14:textId="77777777" w:rsidR="002431A0" w:rsidRPr="00630129" w:rsidRDefault="002431A0" w:rsidP="002431A0">
            <w:pPr>
              <w:pStyle w:val="EndnoteText"/>
              <w:rPr>
                <w:sz w:val="22"/>
                <w:szCs w:val="22"/>
              </w:rPr>
            </w:pPr>
            <w:r w:rsidRPr="00630129">
              <w:rPr>
                <w:sz w:val="22"/>
                <w:szCs w:val="22"/>
              </w:rPr>
              <w:t>TUED</w:t>
            </w:r>
            <w:r w:rsidRPr="00630129">
              <w:rPr>
                <w:sz w:val="22"/>
                <w:szCs w:val="22"/>
                <w:vertAlign w:val="subscript"/>
              </w:rPr>
              <w:t>HZLPR</w:t>
            </w:r>
          </w:p>
        </w:tc>
        <w:tc>
          <w:tcPr>
            <w:tcW w:w="613" w:type="pct"/>
            <w:tcBorders>
              <w:top w:val="single" w:sz="6" w:space="0" w:color="000000"/>
              <w:left w:val="single" w:sz="6" w:space="0" w:color="000000"/>
              <w:bottom w:val="single" w:sz="6" w:space="0" w:color="000000"/>
              <w:right w:val="single" w:sz="6" w:space="0" w:color="000000"/>
            </w:tcBorders>
          </w:tcPr>
          <w:p w14:paraId="000CC51C" w14:textId="77777777" w:rsidR="002431A0" w:rsidRPr="00630129" w:rsidRDefault="002431A0" w:rsidP="002431A0">
            <w:pPr>
              <w:pStyle w:val="EndnoteText"/>
              <w:rPr>
                <w:sz w:val="22"/>
                <w:szCs w:val="22"/>
              </w:rPr>
            </w:pPr>
            <w:r w:rsidRPr="00630129">
              <w:rPr>
                <w:sz w:val="22"/>
                <w:szCs w:val="22"/>
              </w:rPr>
              <w:t>MWh</w:t>
            </w:r>
          </w:p>
        </w:tc>
        <w:tc>
          <w:tcPr>
            <w:tcW w:w="2171" w:type="pct"/>
            <w:tcBorders>
              <w:top w:val="single" w:sz="6" w:space="0" w:color="000000"/>
              <w:left w:val="single" w:sz="6" w:space="0" w:color="000000"/>
              <w:bottom w:val="single" w:sz="6" w:space="0" w:color="000000"/>
              <w:right w:val="single" w:sz="6" w:space="0" w:color="000000"/>
            </w:tcBorders>
          </w:tcPr>
          <w:p w14:paraId="04F26F75" w14:textId="77777777" w:rsidR="002431A0" w:rsidRPr="00630129" w:rsidRDefault="002431A0" w:rsidP="002431A0">
            <w:pPr>
              <w:pStyle w:val="EndnoteText"/>
              <w:rPr>
                <w:sz w:val="22"/>
                <w:szCs w:val="22"/>
              </w:rPr>
            </w:pPr>
            <w:r w:rsidRPr="00630129">
              <w:rPr>
                <w:sz w:val="22"/>
                <w:szCs w:val="22"/>
              </w:rPr>
              <w:t>The total unmetered annual Consumption for a SVA Supplier subject to Demand Disconnection and in respect of a Profile Class, Line Loss Factor Class, Time Pattern Regime and GSP Group, determined pursuant to paragraph 4.5 of Annex S-2.</w:t>
            </w:r>
          </w:p>
        </w:tc>
      </w:tr>
      <w:tr w:rsidR="002431A0" w:rsidRPr="00630129" w14:paraId="438BAEA7" w14:textId="77777777" w:rsidTr="00A63BA8">
        <w:trPr>
          <w:cantSplit/>
        </w:trPr>
        <w:tc>
          <w:tcPr>
            <w:tcW w:w="1191" w:type="pct"/>
          </w:tcPr>
          <w:p w14:paraId="233E9B5D" w14:textId="77777777" w:rsidR="002431A0" w:rsidRPr="00630129" w:rsidRDefault="002431A0" w:rsidP="002431A0">
            <w:pPr>
              <w:pStyle w:val="EndnoteText"/>
              <w:rPr>
                <w:sz w:val="22"/>
                <w:szCs w:val="22"/>
              </w:rPr>
            </w:pPr>
            <w:r w:rsidRPr="00630129">
              <w:rPr>
                <w:sz w:val="22"/>
                <w:szCs w:val="22"/>
              </w:rPr>
              <w:t>Unadjusted Annual Fraction of Consumption</w:t>
            </w:r>
          </w:p>
        </w:tc>
        <w:tc>
          <w:tcPr>
            <w:tcW w:w="1024" w:type="pct"/>
          </w:tcPr>
          <w:p w14:paraId="33DB09CA" w14:textId="77777777" w:rsidR="002431A0" w:rsidRPr="00630129" w:rsidRDefault="002431A0" w:rsidP="002431A0">
            <w:pPr>
              <w:pStyle w:val="EndnoteText"/>
              <w:rPr>
                <w:sz w:val="22"/>
                <w:szCs w:val="22"/>
              </w:rPr>
            </w:pPr>
            <w:r w:rsidRPr="00630129">
              <w:rPr>
                <w:sz w:val="22"/>
                <w:szCs w:val="22"/>
              </w:rPr>
              <w:t>UAFYC</w:t>
            </w:r>
            <w:r w:rsidRPr="00630129">
              <w:rPr>
                <w:sz w:val="22"/>
                <w:szCs w:val="22"/>
                <w:vertAlign w:val="subscript"/>
              </w:rPr>
              <w:t>HPR</w:t>
            </w:r>
          </w:p>
        </w:tc>
        <w:tc>
          <w:tcPr>
            <w:tcW w:w="613" w:type="pct"/>
          </w:tcPr>
          <w:p w14:paraId="75135D67" w14:textId="77777777" w:rsidR="002431A0" w:rsidRPr="00630129" w:rsidRDefault="002431A0" w:rsidP="002431A0">
            <w:pPr>
              <w:pStyle w:val="EndnoteText"/>
              <w:rPr>
                <w:sz w:val="22"/>
                <w:szCs w:val="22"/>
              </w:rPr>
            </w:pPr>
          </w:p>
        </w:tc>
        <w:tc>
          <w:tcPr>
            <w:tcW w:w="2171" w:type="pct"/>
          </w:tcPr>
          <w:p w14:paraId="02F31C27" w14:textId="77777777" w:rsidR="002431A0" w:rsidRPr="00630129" w:rsidRDefault="002431A0" w:rsidP="002431A0">
            <w:pPr>
              <w:pStyle w:val="Header"/>
              <w:tabs>
                <w:tab w:val="clear" w:pos="4153"/>
                <w:tab w:val="clear" w:pos="8306"/>
              </w:tabs>
              <w:rPr>
                <w:sz w:val="22"/>
                <w:szCs w:val="22"/>
              </w:rPr>
            </w:pPr>
            <w:r w:rsidRPr="00630129">
              <w:rPr>
                <w:sz w:val="22"/>
                <w:szCs w:val="22"/>
              </w:rPr>
              <w:t>An estimate of the fraction of the total average consumption of a multi-register Standard Settlement Configuration attributable to each Time Pattern Regime of that Standard Settlement Configuration, prior to adjustment for rounding errors, determined pursuant to paragraph 5.1 of Annex S-2.</w:t>
            </w:r>
          </w:p>
        </w:tc>
      </w:tr>
      <w:tr w:rsidR="002431A0" w:rsidRPr="00630129" w14:paraId="3C4CF63C" w14:textId="77777777" w:rsidTr="00A63BA8">
        <w:trPr>
          <w:cantSplit/>
        </w:trPr>
        <w:tc>
          <w:tcPr>
            <w:tcW w:w="1191" w:type="pct"/>
          </w:tcPr>
          <w:p w14:paraId="60B81622" w14:textId="77777777" w:rsidR="002431A0" w:rsidRPr="00630129" w:rsidRDefault="002431A0" w:rsidP="002431A0">
            <w:pPr>
              <w:pStyle w:val="EndnoteText"/>
              <w:rPr>
                <w:sz w:val="22"/>
                <w:szCs w:val="22"/>
              </w:rPr>
            </w:pPr>
            <w:r w:rsidRPr="00630129">
              <w:rPr>
                <w:sz w:val="22"/>
                <w:szCs w:val="22"/>
              </w:rPr>
              <w:t>Unadjusted Interval</w:t>
            </w:r>
          </w:p>
        </w:tc>
        <w:tc>
          <w:tcPr>
            <w:tcW w:w="1024" w:type="pct"/>
          </w:tcPr>
          <w:p w14:paraId="1136028D" w14:textId="77777777" w:rsidR="002431A0" w:rsidRPr="00630129" w:rsidRDefault="002431A0" w:rsidP="002431A0">
            <w:pPr>
              <w:pStyle w:val="EndnoteText"/>
              <w:rPr>
                <w:sz w:val="22"/>
                <w:szCs w:val="22"/>
              </w:rPr>
            </w:pPr>
          </w:p>
        </w:tc>
        <w:tc>
          <w:tcPr>
            <w:tcW w:w="613" w:type="pct"/>
          </w:tcPr>
          <w:p w14:paraId="600C99C9" w14:textId="77777777" w:rsidR="002431A0" w:rsidRPr="00630129" w:rsidRDefault="002431A0" w:rsidP="002431A0">
            <w:pPr>
              <w:pStyle w:val="EndnoteText"/>
              <w:rPr>
                <w:sz w:val="22"/>
                <w:szCs w:val="22"/>
              </w:rPr>
            </w:pPr>
          </w:p>
        </w:tc>
        <w:tc>
          <w:tcPr>
            <w:tcW w:w="2171" w:type="pct"/>
          </w:tcPr>
          <w:p w14:paraId="5E74A78F" w14:textId="77777777" w:rsidR="002431A0" w:rsidRPr="00630129" w:rsidRDefault="002431A0" w:rsidP="002431A0">
            <w:pPr>
              <w:pStyle w:val="EndnoteText"/>
              <w:rPr>
                <w:sz w:val="22"/>
                <w:szCs w:val="22"/>
              </w:rPr>
            </w:pPr>
            <w:r w:rsidRPr="00630129">
              <w:rPr>
                <w:sz w:val="22"/>
                <w:szCs w:val="22"/>
              </w:rPr>
              <w:t>A period of time beginning at an Unadjusted Interval Start Time and ending at its associated Unadjusted Interval End Time, determined pursuant to paragraph 6.4 of Annex S-2.</w:t>
            </w:r>
          </w:p>
        </w:tc>
      </w:tr>
      <w:tr w:rsidR="002431A0" w:rsidRPr="00630129" w14:paraId="72D78199" w14:textId="77777777" w:rsidTr="00A63BA8">
        <w:trPr>
          <w:cantSplit/>
        </w:trPr>
        <w:tc>
          <w:tcPr>
            <w:tcW w:w="1191" w:type="pct"/>
          </w:tcPr>
          <w:p w14:paraId="6F8F3B1A" w14:textId="77777777" w:rsidR="002431A0" w:rsidRPr="00630129" w:rsidRDefault="002431A0" w:rsidP="002431A0">
            <w:pPr>
              <w:pStyle w:val="EndnoteText"/>
              <w:rPr>
                <w:sz w:val="22"/>
                <w:szCs w:val="22"/>
              </w:rPr>
            </w:pPr>
            <w:r w:rsidRPr="00630129">
              <w:rPr>
                <w:sz w:val="22"/>
                <w:szCs w:val="22"/>
              </w:rPr>
              <w:t>Unadjusted Interval End Time</w:t>
            </w:r>
          </w:p>
        </w:tc>
        <w:tc>
          <w:tcPr>
            <w:tcW w:w="1024" w:type="pct"/>
          </w:tcPr>
          <w:p w14:paraId="64DB5672" w14:textId="77777777" w:rsidR="002431A0" w:rsidRPr="00630129" w:rsidRDefault="002431A0" w:rsidP="002431A0">
            <w:pPr>
              <w:pStyle w:val="EndnoteText"/>
              <w:rPr>
                <w:sz w:val="22"/>
                <w:szCs w:val="22"/>
              </w:rPr>
            </w:pPr>
            <w:r w:rsidRPr="00630129">
              <w:rPr>
                <w:sz w:val="22"/>
                <w:szCs w:val="22"/>
              </w:rPr>
              <w:t>UIET</w:t>
            </w:r>
            <w:r w:rsidRPr="00630129">
              <w:rPr>
                <w:sz w:val="22"/>
                <w:szCs w:val="22"/>
                <w:vertAlign w:val="subscript"/>
              </w:rPr>
              <w:t>X(</w:t>
            </w:r>
            <w:proofErr w:type="spellStart"/>
            <w:r w:rsidRPr="00630129">
              <w:rPr>
                <w:sz w:val="22"/>
                <w:szCs w:val="22"/>
                <w:vertAlign w:val="subscript"/>
              </w:rPr>
              <w:t>ai</w:t>
            </w:r>
            <w:proofErr w:type="spellEnd"/>
            <w:r w:rsidRPr="00630129">
              <w:rPr>
                <w:sz w:val="22"/>
                <w:szCs w:val="22"/>
                <w:vertAlign w:val="subscript"/>
              </w:rPr>
              <w:t>)</w:t>
            </w:r>
          </w:p>
        </w:tc>
        <w:tc>
          <w:tcPr>
            <w:tcW w:w="613" w:type="pct"/>
          </w:tcPr>
          <w:p w14:paraId="4D9032F2" w14:textId="77777777" w:rsidR="002431A0" w:rsidRPr="00630129" w:rsidRDefault="002431A0" w:rsidP="002431A0">
            <w:pPr>
              <w:pStyle w:val="EndnoteText"/>
              <w:rPr>
                <w:sz w:val="22"/>
                <w:szCs w:val="22"/>
              </w:rPr>
            </w:pPr>
          </w:p>
        </w:tc>
        <w:tc>
          <w:tcPr>
            <w:tcW w:w="2171" w:type="pct"/>
          </w:tcPr>
          <w:p w14:paraId="2FFF5E75" w14:textId="77777777" w:rsidR="002431A0" w:rsidRPr="00630129" w:rsidRDefault="002431A0" w:rsidP="002431A0">
            <w:pPr>
              <w:pStyle w:val="EndnoteText"/>
              <w:rPr>
                <w:sz w:val="22"/>
                <w:szCs w:val="22"/>
              </w:rPr>
            </w:pPr>
            <w:r w:rsidRPr="00630129">
              <w:rPr>
                <w:sz w:val="22"/>
                <w:szCs w:val="22"/>
              </w:rPr>
              <w:t>A time associated with a particular Time Pattern Regime determined pursuant to paragraph 6.4 of Annex S-2.</w:t>
            </w:r>
          </w:p>
        </w:tc>
      </w:tr>
      <w:tr w:rsidR="002431A0" w:rsidRPr="00630129" w14:paraId="06E248E6" w14:textId="77777777" w:rsidTr="00A63BA8">
        <w:trPr>
          <w:cantSplit/>
        </w:trPr>
        <w:tc>
          <w:tcPr>
            <w:tcW w:w="1191" w:type="pct"/>
          </w:tcPr>
          <w:p w14:paraId="5093B547" w14:textId="77777777" w:rsidR="002431A0" w:rsidRPr="00630129" w:rsidRDefault="002431A0" w:rsidP="002431A0">
            <w:pPr>
              <w:pStyle w:val="EndnoteText"/>
              <w:rPr>
                <w:sz w:val="22"/>
                <w:szCs w:val="22"/>
              </w:rPr>
            </w:pPr>
            <w:r w:rsidRPr="00630129">
              <w:rPr>
                <w:sz w:val="22"/>
                <w:szCs w:val="22"/>
              </w:rPr>
              <w:t>Unadjusted Interval Start Time</w:t>
            </w:r>
          </w:p>
        </w:tc>
        <w:tc>
          <w:tcPr>
            <w:tcW w:w="1024" w:type="pct"/>
          </w:tcPr>
          <w:p w14:paraId="4D9E57CF" w14:textId="77777777" w:rsidR="002431A0" w:rsidRPr="00630129" w:rsidRDefault="002431A0" w:rsidP="002431A0">
            <w:pPr>
              <w:pStyle w:val="EndnoteText"/>
              <w:rPr>
                <w:sz w:val="22"/>
                <w:szCs w:val="22"/>
              </w:rPr>
            </w:pPr>
            <w:r w:rsidRPr="00630129">
              <w:rPr>
                <w:sz w:val="22"/>
                <w:szCs w:val="22"/>
              </w:rPr>
              <w:t>UIST</w:t>
            </w:r>
            <w:r w:rsidRPr="00630129">
              <w:rPr>
                <w:sz w:val="22"/>
                <w:szCs w:val="22"/>
                <w:vertAlign w:val="subscript"/>
              </w:rPr>
              <w:t>X(</w:t>
            </w:r>
            <w:proofErr w:type="spellStart"/>
            <w:r w:rsidRPr="00630129">
              <w:rPr>
                <w:sz w:val="22"/>
                <w:szCs w:val="22"/>
                <w:vertAlign w:val="subscript"/>
              </w:rPr>
              <w:t>ai</w:t>
            </w:r>
            <w:proofErr w:type="spellEnd"/>
            <w:r w:rsidRPr="00630129">
              <w:rPr>
                <w:sz w:val="22"/>
                <w:szCs w:val="22"/>
                <w:vertAlign w:val="subscript"/>
              </w:rPr>
              <w:t>)</w:t>
            </w:r>
          </w:p>
        </w:tc>
        <w:tc>
          <w:tcPr>
            <w:tcW w:w="613" w:type="pct"/>
          </w:tcPr>
          <w:p w14:paraId="4E9B7312" w14:textId="77777777" w:rsidR="002431A0" w:rsidRPr="00630129" w:rsidRDefault="002431A0" w:rsidP="002431A0">
            <w:pPr>
              <w:pStyle w:val="EndnoteText"/>
              <w:rPr>
                <w:sz w:val="22"/>
                <w:szCs w:val="22"/>
              </w:rPr>
            </w:pPr>
          </w:p>
        </w:tc>
        <w:tc>
          <w:tcPr>
            <w:tcW w:w="2171" w:type="pct"/>
          </w:tcPr>
          <w:p w14:paraId="3C9A4F55" w14:textId="77777777" w:rsidR="002431A0" w:rsidRPr="00630129" w:rsidRDefault="002431A0" w:rsidP="002431A0">
            <w:pPr>
              <w:pStyle w:val="EndnoteText"/>
              <w:rPr>
                <w:sz w:val="22"/>
                <w:szCs w:val="22"/>
              </w:rPr>
            </w:pPr>
            <w:r w:rsidRPr="00630129">
              <w:rPr>
                <w:sz w:val="22"/>
                <w:szCs w:val="22"/>
              </w:rPr>
              <w:t>A time associated with a particular Time Pattern Regime determined pursuant to paragraph 6.4 of Annex S-2.</w:t>
            </w:r>
          </w:p>
        </w:tc>
      </w:tr>
      <w:tr w:rsidR="002431A0" w:rsidRPr="00630129" w14:paraId="21A87462" w14:textId="77777777" w:rsidTr="00A63BA8">
        <w:trPr>
          <w:cantSplit/>
        </w:trPr>
        <w:tc>
          <w:tcPr>
            <w:tcW w:w="1191" w:type="pct"/>
          </w:tcPr>
          <w:p w14:paraId="32134AF0" w14:textId="77777777" w:rsidR="002431A0" w:rsidRPr="00630129" w:rsidRDefault="002431A0" w:rsidP="002431A0">
            <w:pPr>
              <w:pStyle w:val="EndnoteText"/>
              <w:rPr>
                <w:sz w:val="22"/>
                <w:szCs w:val="22"/>
              </w:rPr>
            </w:pPr>
            <w:r w:rsidRPr="00630129">
              <w:rPr>
                <w:sz w:val="22"/>
                <w:szCs w:val="22"/>
              </w:rPr>
              <w:lastRenderedPageBreak/>
              <w:t>Unrounded Duration</w:t>
            </w:r>
          </w:p>
        </w:tc>
        <w:tc>
          <w:tcPr>
            <w:tcW w:w="1024" w:type="pct"/>
          </w:tcPr>
          <w:p w14:paraId="292EB98C" w14:textId="77777777" w:rsidR="002431A0" w:rsidRPr="00630129" w:rsidRDefault="002431A0" w:rsidP="002431A0">
            <w:pPr>
              <w:pStyle w:val="EndnoteText"/>
              <w:rPr>
                <w:sz w:val="22"/>
                <w:szCs w:val="22"/>
              </w:rPr>
            </w:pPr>
            <w:r w:rsidRPr="00630129">
              <w:rPr>
                <w:sz w:val="22"/>
                <w:szCs w:val="22"/>
              </w:rPr>
              <w:t>UD</w:t>
            </w:r>
            <w:r w:rsidRPr="00630129">
              <w:rPr>
                <w:sz w:val="22"/>
                <w:szCs w:val="22"/>
                <w:vertAlign w:val="subscript"/>
              </w:rPr>
              <w:t>X(</w:t>
            </w:r>
            <w:proofErr w:type="spellStart"/>
            <w:r w:rsidRPr="00630129">
              <w:rPr>
                <w:sz w:val="22"/>
                <w:szCs w:val="22"/>
                <w:vertAlign w:val="subscript"/>
              </w:rPr>
              <w:t>ai</w:t>
            </w:r>
            <w:proofErr w:type="spellEnd"/>
            <w:r w:rsidRPr="00630129">
              <w:rPr>
                <w:sz w:val="22"/>
                <w:szCs w:val="22"/>
                <w:vertAlign w:val="subscript"/>
              </w:rPr>
              <w:t>)</w:t>
            </w:r>
          </w:p>
        </w:tc>
        <w:tc>
          <w:tcPr>
            <w:tcW w:w="613" w:type="pct"/>
          </w:tcPr>
          <w:p w14:paraId="0090F9F8" w14:textId="77777777" w:rsidR="002431A0" w:rsidRPr="00630129" w:rsidRDefault="002431A0" w:rsidP="002431A0">
            <w:pPr>
              <w:pStyle w:val="EndnoteText"/>
              <w:rPr>
                <w:sz w:val="22"/>
                <w:szCs w:val="22"/>
              </w:rPr>
            </w:pPr>
            <w:r w:rsidRPr="00630129">
              <w:rPr>
                <w:sz w:val="22"/>
                <w:szCs w:val="22"/>
              </w:rPr>
              <w:t>Minutes</w:t>
            </w:r>
          </w:p>
        </w:tc>
        <w:tc>
          <w:tcPr>
            <w:tcW w:w="2171" w:type="pct"/>
          </w:tcPr>
          <w:p w14:paraId="54D244DB" w14:textId="77777777" w:rsidR="002431A0" w:rsidRPr="00630129" w:rsidRDefault="002431A0" w:rsidP="002431A0">
            <w:pPr>
              <w:pStyle w:val="EndnoteText"/>
              <w:rPr>
                <w:sz w:val="22"/>
                <w:szCs w:val="22"/>
              </w:rPr>
            </w:pPr>
            <w:r w:rsidRPr="00630129">
              <w:rPr>
                <w:sz w:val="22"/>
                <w:szCs w:val="22"/>
              </w:rPr>
              <w:t>The time duration of an Unadjusted Interval determined pursuant to paragraph 6.4 of Annex S-2.</w:t>
            </w:r>
          </w:p>
        </w:tc>
      </w:tr>
      <w:tr w:rsidR="002431A0" w:rsidRPr="00630129" w14:paraId="0F9913B3" w14:textId="77777777" w:rsidTr="00A63BA8">
        <w:trPr>
          <w:cantSplit/>
        </w:trPr>
        <w:tc>
          <w:tcPr>
            <w:tcW w:w="1191" w:type="pct"/>
          </w:tcPr>
          <w:p w14:paraId="568584FA" w14:textId="77777777" w:rsidR="002431A0" w:rsidRPr="00630129" w:rsidRDefault="002431A0" w:rsidP="002431A0">
            <w:pPr>
              <w:pStyle w:val="EndnoteText"/>
              <w:rPr>
                <w:sz w:val="22"/>
                <w:szCs w:val="22"/>
              </w:rPr>
            </w:pPr>
            <w:r w:rsidRPr="00630129">
              <w:rPr>
                <w:sz w:val="22"/>
                <w:szCs w:val="22"/>
              </w:rPr>
              <w:t>Value Of Estimated Annual Consumption For Non Half Hourly Unmetered Metering Systems</w:t>
            </w:r>
          </w:p>
        </w:tc>
        <w:tc>
          <w:tcPr>
            <w:tcW w:w="1024" w:type="pct"/>
          </w:tcPr>
          <w:p w14:paraId="5B4B5F8F" w14:textId="77777777" w:rsidR="002431A0" w:rsidRPr="00630129" w:rsidRDefault="002431A0" w:rsidP="002431A0">
            <w:pPr>
              <w:pStyle w:val="EndnoteText"/>
              <w:rPr>
                <w:sz w:val="22"/>
                <w:szCs w:val="22"/>
              </w:rPr>
            </w:pPr>
            <w:r w:rsidRPr="00630129">
              <w:rPr>
                <w:sz w:val="22"/>
                <w:szCs w:val="22"/>
              </w:rPr>
              <w:t>UE</w:t>
            </w:r>
            <w:r w:rsidRPr="00630129">
              <w:rPr>
                <w:sz w:val="22"/>
                <w:szCs w:val="22"/>
                <w:vertAlign w:val="subscript"/>
              </w:rPr>
              <w:t>HZLPR</w:t>
            </w:r>
          </w:p>
        </w:tc>
        <w:tc>
          <w:tcPr>
            <w:tcW w:w="613" w:type="pct"/>
          </w:tcPr>
          <w:p w14:paraId="759DCAA3" w14:textId="77777777" w:rsidR="002431A0" w:rsidRPr="00630129" w:rsidRDefault="002431A0" w:rsidP="002431A0">
            <w:pPr>
              <w:pStyle w:val="EndnoteText"/>
              <w:rPr>
                <w:sz w:val="22"/>
                <w:szCs w:val="22"/>
              </w:rPr>
            </w:pPr>
            <w:r w:rsidRPr="00630129">
              <w:rPr>
                <w:sz w:val="22"/>
                <w:szCs w:val="22"/>
              </w:rPr>
              <w:t>KWh</w:t>
            </w:r>
          </w:p>
        </w:tc>
        <w:tc>
          <w:tcPr>
            <w:tcW w:w="2171" w:type="pct"/>
          </w:tcPr>
          <w:p w14:paraId="4173B950" w14:textId="77777777" w:rsidR="002431A0" w:rsidRPr="00630129" w:rsidRDefault="002431A0" w:rsidP="002431A0">
            <w:pPr>
              <w:pStyle w:val="EndnoteText"/>
              <w:rPr>
                <w:sz w:val="22"/>
                <w:szCs w:val="22"/>
              </w:rPr>
            </w:pPr>
            <w:r w:rsidRPr="00630129">
              <w:rPr>
                <w:sz w:val="22"/>
                <w:szCs w:val="22"/>
              </w:rPr>
              <w:t xml:space="preserve">The value of Estimated Annual Consumption for </w:t>
            </w:r>
            <w:proofErr w:type="spellStart"/>
            <w:r w:rsidRPr="00630129">
              <w:rPr>
                <w:sz w:val="22"/>
                <w:szCs w:val="22"/>
              </w:rPr>
              <w:t>non half</w:t>
            </w:r>
            <w:proofErr w:type="spellEnd"/>
            <w:r w:rsidRPr="00630129">
              <w:rPr>
                <w:sz w:val="22"/>
                <w:szCs w:val="22"/>
              </w:rPr>
              <w:t xml:space="preserve"> hourly Settlement Registers within Unmetered Supplies, the value of which is maintained pursuant to paragraph 4.4 of Annex S-2.</w:t>
            </w:r>
          </w:p>
        </w:tc>
      </w:tr>
      <w:tr w:rsidR="002431A0" w:rsidRPr="00630129" w14:paraId="489D3605" w14:textId="77777777" w:rsidTr="00A63BA8">
        <w:trPr>
          <w:cantSplit/>
        </w:trPr>
        <w:tc>
          <w:tcPr>
            <w:tcW w:w="1191" w:type="pct"/>
            <w:tcBorders>
              <w:top w:val="single" w:sz="6" w:space="0" w:color="000000"/>
              <w:left w:val="single" w:sz="6" w:space="0" w:color="000000"/>
              <w:bottom w:val="single" w:sz="6" w:space="0" w:color="000000"/>
              <w:right w:val="single" w:sz="6" w:space="0" w:color="000000"/>
            </w:tcBorders>
          </w:tcPr>
          <w:p w14:paraId="7E956123" w14:textId="77777777" w:rsidR="002431A0" w:rsidRPr="00630129" w:rsidRDefault="002431A0" w:rsidP="002431A0">
            <w:pPr>
              <w:pStyle w:val="EndnoteText"/>
              <w:rPr>
                <w:sz w:val="22"/>
                <w:szCs w:val="22"/>
              </w:rPr>
            </w:pPr>
            <w:r w:rsidRPr="00630129">
              <w:rPr>
                <w:sz w:val="22"/>
                <w:szCs w:val="22"/>
              </w:rPr>
              <w:t>Value Of Estimated Annual Consumption For Non Half Hourly Unmetered Metering Systems (Disconnected)</w:t>
            </w:r>
          </w:p>
        </w:tc>
        <w:tc>
          <w:tcPr>
            <w:tcW w:w="1024" w:type="pct"/>
            <w:tcBorders>
              <w:top w:val="single" w:sz="6" w:space="0" w:color="000000"/>
              <w:left w:val="single" w:sz="6" w:space="0" w:color="000000"/>
              <w:bottom w:val="single" w:sz="6" w:space="0" w:color="000000"/>
              <w:right w:val="single" w:sz="6" w:space="0" w:color="000000"/>
            </w:tcBorders>
          </w:tcPr>
          <w:p w14:paraId="43BC74E0" w14:textId="77777777" w:rsidR="002431A0" w:rsidRPr="00630129" w:rsidRDefault="002431A0" w:rsidP="002431A0">
            <w:pPr>
              <w:pStyle w:val="EndnoteText"/>
              <w:rPr>
                <w:sz w:val="22"/>
                <w:szCs w:val="22"/>
              </w:rPr>
            </w:pPr>
            <w:r w:rsidRPr="00630129">
              <w:rPr>
                <w:sz w:val="22"/>
                <w:szCs w:val="22"/>
              </w:rPr>
              <w:t>UED</w:t>
            </w:r>
            <w:r w:rsidRPr="00630129">
              <w:rPr>
                <w:sz w:val="22"/>
                <w:szCs w:val="22"/>
                <w:vertAlign w:val="subscript"/>
              </w:rPr>
              <w:t>HZLPR</w:t>
            </w:r>
          </w:p>
        </w:tc>
        <w:tc>
          <w:tcPr>
            <w:tcW w:w="613" w:type="pct"/>
            <w:tcBorders>
              <w:top w:val="single" w:sz="6" w:space="0" w:color="000000"/>
              <w:left w:val="single" w:sz="6" w:space="0" w:color="000000"/>
              <w:bottom w:val="single" w:sz="6" w:space="0" w:color="000000"/>
              <w:right w:val="single" w:sz="6" w:space="0" w:color="000000"/>
            </w:tcBorders>
          </w:tcPr>
          <w:p w14:paraId="2FDC8447" w14:textId="77777777" w:rsidR="002431A0" w:rsidRPr="00630129" w:rsidRDefault="002431A0" w:rsidP="002431A0">
            <w:pPr>
              <w:pStyle w:val="EndnoteText"/>
              <w:rPr>
                <w:sz w:val="22"/>
                <w:szCs w:val="22"/>
              </w:rPr>
            </w:pPr>
            <w:r w:rsidRPr="00630129">
              <w:rPr>
                <w:sz w:val="22"/>
                <w:szCs w:val="22"/>
              </w:rPr>
              <w:t>kWh</w:t>
            </w:r>
          </w:p>
        </w:tc>
        <w:tc>
          <w:tcPr>
            <w:tcW w:w="2171" w:type="pct"/>
            <w:tcBorders>
              <w:top w:val="single" w:sz="6" w:space="0" w:color="000000"/>
              <w:left w:val="single" w:sz="6" w:space="0" w:color="000000"/>
              <w:bottom w:val="single" w:sz="6" w:space="0" w:color="000000"/>
              <w:right w:val="single" w:sz="6" w:space="0" w:color="000000"/>
            </w:tcBorders>
          </w:tcPr>
          <w:p w14:paraId="39CB5589" w14:textId="77777777" w:rsidR="002431A0" w:rsidRPr="00630129" w:rsidRDefault="002431A0" w:rsidP="002431A0">
            <w:pPr>
              <w:pStyle w:val="EndnoteText"/>
              <w:rPr>
                <w:sz w:val="22"/>
                <w:szCs w:val="22"/>
              </w:rPr>
            </w:pPr>
            <w:r w:rsidRPr="00630129">
              <w:rPr>
                <w:sz w:val="22"/>
                <w:szCs w:val="22"/>
              </w:rPr>
              <w:t xml:space="preserve">The value of Estimated Annual Consumption for </w:t>
            </w:r>
            <w:proofErr w:type="spellStart"/>
            <w:r w:rsidRPr="00630129">
              <w:rPr>
                <w:sz w:val="22"/>
                <w:szCs w:val="22"/>
              </w:rPr>
              <w:t>non half</w:t>
            </w:r>
            <w:proofErr w:type="spellEnd"/>
            <w:r w:rsidRPr="00630129">
              <w:rPr>
                <w:sz w:val="22"/>
                <w:szCs w:val="22"/>
              </w:rPr>
              <w:t xml:space="preserve"> hourly Settlement Registers within Unmetered Supplies which were subject to Demand Disconnection, the value of which is maintained pursuant to paragraph 4.5 of Annex S-2.</w:t>
            </w:r>
          </w:p>
        </w:tc>
      </w:tr>
    </w:tbl>
    <w:p w14:paraId="522E4212" w14:textId="77777777" w:rsidR="002A68CF" w:rsidRPr="00630129" w:rsidRDefault="001C7564">
      <w:pPr>
        <w:pageBreakBefore/>
        <w:spacing w:after="220"/>
        <w:jc w:val="center"/>
        <w:rPr>
          <w:b/>
          <w:sz w:val="22"/>
          <w:szCs w:val="22"/>
        </w:rPr>
      </w:pPr>
      <w:r w:rsidRPr="00630129">
        <w:rPr>
          <w:b/>
          <w:sz w:val="22"/>
          <w:szCs w:val="22"/>
        </w:rPr>
        <w:lastRenderedPageBreak/>
        <w:t>Table X–7</w:t>
      </w:r>
    </w:p>
    <w:p w14:paraId="53A987BA" w14:textId="77777777" w:rsidR="002A68CF" w:rsidRPr="00630129" w:rsidRDefault="001C7564">
      <w:pPr>
        <w:spacing w:after="220"/>
        <w:jc w:val="center"/>
        <w:rPr>
          <w:b/>
          <w:sz w:val="22"/>
          <w:szCs w:val="22"/>
        </w:rPr>
      </w:pPr>
      <w:r w:rsidRPr="00630129">
        <w:rPr>
          <w:b/>
          <w:sz w:val="22"/>
          <w:szCs w:val="22"/>
        </w:rPr>
        <w:t>List of Acronyms Applicable to Section S</w:t>
      </w:r>
    </w:p>
    <w:p w14:paraId="29C8C695" w14:textId="77777777" w:rsidR="002A68CF" w:rsidRPr="00630129" w:rsidRDefault="001C7564">
      <w:pPr>
        <w:spacing w:after="220"/>
        <w:jc w:val="both"/>
        <w:rPr>
          <w:sz w:val="22"/>
          <w:szCs w:val="22"/>
        </w:rPr>
      </w:pPr>
      <w:r w:rsidRPr="00630129">
        <w:rPr>
          <w:sz w:val="22"/>
          <w:szCs w:val="22"/>
        </w:rPr>
        <w:t>This table provides a list of the acronyms defined in Table X-6, presented in alphabetical order of the acronym name.</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20" w:firstRow="1" w:lastRow="0" w:firstColumn="0" w:lastColumn="0" w:noHBand="0" w:noVBand="0"/>
      </w:tblPr>
      <w:tblGrid>
        <w:gridCol w:w="2717"/>
        <w:gridCol w:w="6340"/>
      </w:tblGrid>
      <w:tr w:rsidR="003945C1" w:rsidRPr="00630129" w14:paraId="2EBB2F88" w14:textId="77777777" w:rsidTr="00F248AA">
        <w:trPr>
          <w:cantSplit/>
          <w:tblHeader/>
        </w:trPr>
        <w:tc>
          <w:tcPr>
            <w:tcW w:w="1500" w:type="pct"/>
            <w:tcMar>
              <w:top w:w="57" w:type="dxa"/>
              <w:left w:w="85" w:type="dxa"/>
              <w:bottom w:w="85" w:type="dxa"/>
              <w:right w:w="85" w:type="dxa"/>
            </w:tcMar>
          </w:tcPr>
          <w:p w14:paraId="16771E12" w14:textId="77777777" w:rsidR="003945C1" w:rsidRPr="00630129" w:rsidRDefault="003945C1">
            <w:pPr>
              <w:jc w:val="both"/>
              <w:rPr>
                <w:b/>
                <w:sz w:val="22"/>
                <w:szCs w:val="22"/>
              </w:rPr>
            </w:pPr>
            <w:r w:rsidRPr="00630129">
              <w:rPr>
                <w:b/>
                <w:sz w:val="22"/>
                <w:szCs w:val="22"/>
              </w:rPr>
              <w:t>Acronym</w:t>
            </w:r>
          </w:p>
        </w:tc>
        <w:tc>
          <w:tcPr>
            <w:tcW w:w="3500" w:type="pct"/>
            <w:tcMar>
              <w:top w:w="57" w:type="dxa"/>
              <w:left w:w="85" w:type="dxa"/>
              <w:bottom w:w="85" w:type="dxa"/>
              <w:right w:w="85" w:type="dxa"/>
            </w:tcMar>
          </w:tcPr>
          <w:p w14:paraId="72C94724" w14:textId="77777777" w:rsidR="003945C1" w:rsidRPr="00630129" w:rsidRDefault="003945C1">
            <w:pPr>
              <w:pStyle w:val="GlossaryTerm"/>
              <w:keepNext w:val="0"/>
              <w:keepLines w:val="0"/>
              <w:tabs>
                <w:tab w:val="clear" w:pos="1440"/>
              </w:tabs>
              <w:spacing w:line="240" w:lineRule="auto"/>
              <w:ind w:left="0" w:firstLine="0"/>
              <w:jc w:val="both"/>
              <w:rPr>
                <w:rFonts w:ascii="Times New Roman" w:hAnsi="Times New Roman"/>
                <w:szCs w:val="22"/>
              </w:rPr>
            </w:pPr>
            <w:r w:rsidRPr="00630129">
              <w:rPr>
                <w:rFonts w:ascii="Times New Roman" w:hAnsi="Times New Roman"/>
                <w:szCs w:val="22"/>
              </w:rPr>
              <w:t>Corresponding Defined Term or Expression</w:t>
            </w:r>
          </w:p>
        </w:tc>
      </w:tr>
      <w:tr w:rsidR="003945C1" w:rsidRPr="00630129" w14:paraId="7630B4DE" w14:textId="77777777" w:rsidTr="00F248AA">
        <w:trPr>
          <w:cantSplit/>
        </w:trPr>
        <w:tc>
          <w:tcPr>
            <w:tcW w:w="1500" w:type="pct"/>
            <w:tcMar>
              <w:top w:w="57" w:type="dxa"/>
              <w:left w:w="85" w:type="dxa"/>
              <w:bottom w:w="85" w:type="dxa"/>
              <w:right w:w="85" w:type="dxa"/>
            </w:tcMar>
          </w:tcPr>
          <w:p w14:paraId="5E1B4D32" w14:textId="77777777" w:rsidR="003945C1" w:rsidRPr="00630129" w:rsidRDefault="003945C1">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AAAF</w:t>
            </w:r>
            <w:r w:rsidRPr="00630129">
              <w:rPr>
                <w:rFonts w:ascii="Times New Roman" w:hAnsi="Times New Roman"/>
                <w:sz w:val="22"/>
                <w:szCs w:val="22"/>
                <w:vertAlign w:val="subscript"/>
              </w:rPr>
              <w:t>KR</w:t>
            </w:r>
          </w:p>
        </w:tc>
        <w:tc>
          <w:tcPr>
            <w:tcW w:w="3500" w:type="pct"/>
            <w:tcMar>
              <w:top w:w="57" w:type="dxa"/>
              <w:left w:w="85" w:type="dxa"/>
              <w:bottom w:w="85" w:type="dxa"/>
              <w:right w:w="85" w:type="dxa"/>
            </w:tcMar>
          </w:tcPr>
          <w:p w14:paraId="586D5A5E" w14:textId="77777777" w:rsidR="003945C1" w:rsidRPr="00630129" w:rsidRDefault="003945C1">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Annualised Advance Adjustment Factor</w:t>
            </w:r>
          </w:p>
        </w:tc>
      </w:tr>
      <w:tr w:rsidR="003945C1" w:rsidRPr="00630129" w14:paraId="4259C061" w14:textId="77777777" w:rsidTr="00F248AA">
        <w:trPr>
          <w:cantSplit/>
        </w:trPr>
        <w:tc>
          <w:tcPr>
            <w:tcW w:w="1500" w:type="pct"/>
            <w:tcMar>
              <w:top w:w="57" w:type="dxa"/>
              <w:left w:w="85" w:type="dxa"/>
              <w:bottom w:w="85" w:type="dxa"/>
              <w:right w:w="85" w:type="dxa"/>
            </w:tcMar>
          </w:tcPr>
          <w:p w14:paraId="459797FE" w14:textId="77777777" w:rsidR="003945C1" w:rsidRPr="00630129" w:rsidRDefault="003945C1" w:rsidP="00B65C1C">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AAFYC</w:t>
            </w:r>
            <w:r w:rsidRPr="00630129">
              <w:rPr>
                <w:rFonts w:ascii="Times New Roman" w:hAnsi="Times New Roman"/>
                <w:sz w:val="22"/>
                <w:szCs w:val="22"/>
                <w:vertAlign w:val="subscript"/>
              </w:rPr>
              <w:t>HPC</w:t>
            </w:r>
          </w:p>
        </w:tc>
        <w:tc>
          <w:tcPr>
            <w:tcW w:w="3500" w:type="pct"/>
            <w:tcMar>
              <w:top w:w="57" w:type="dxa"/>
              <w:left w:w="85" w:type="dxa"/>
              <w:bottom w:w="85" w:type="dxa"/>
              <w:right w:w="85" w:type="dxa"/>
            </w:tcMar>
          </w:tcPr>
          <w:p w14:paraId="63AEC21D" w14:textId="77777777" w:rsidR="003945C1" w:rsidRPr="00630129" w:rsidRDefault="003945C1" w:rsidP="00B65C1C">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Alternative Average Fraction of Yearly Consumption</w:t>
            </w:r>
          </w:p>
        </w:tc>
      </w:tr>
      <w:tr w:rsidR="003945C1" w:rsidRPr="00630129" w14:paraId="34503F9D" w14:textId="77777777" w:rsidTr="00F248AA">
        <w:trPr>
          <w:cantSplit/>
        </w:trPr>
        <w:tc>
          <w:tcPr>
            <w:tcW w:w="1500" w:type="pct"/>
            <w:tcMar>
              <w:top w:w="57" w:type="dxa"/>
              <w:left w:w="85" w:type="dxa"/>
              <w:bottom w:w="85" w:type="dxa"/>
              <w:right w:w="85" w:type="dxa"/>
            </w:tcMar>
          </w:tcPr>
          <w:p w14:paraId="08362E05" w14:textId="77777777" w:rsidR="003945C1" w:rsidRPr="00630129" w:rsidRDefault="003945C1" w:rsidP="00B65C1C">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AA</w:t>
            </w:r>
            <w:r w:rsidRPr="00630129">
              <w:rPr>
                <w:rFonts w:ascii="Times New Roman" w:hAnsi="Times New Roman"/>
                <w:sz w:val="22"/>
                <w:szCs w:val="22"/>
                <w:vertAlign w:val="subscript"/>
              </w:rPr>
              <w:t>KR</w:t>
            </w:r>
          </w:p>
        </w:tc>
        <w:tc>
          <w:tcPr>
            <w:tcW w:w="3500" w:type="pct"/>
            <w:tcMar>
              <w:top w:w="57" w:type="dxa"/>
              <w:left w:w="85" w:type="dxa"/>
              <w:bottom w:w="85" w:type="dxa"/>
              <w:right w:w="85" w:type="dxa"/>
            </w:tcMar>
          </w:tcPr>
          <w:p w14:paraId="2190350F" w14:textId="77777777" w:rsidR="003945C1" w:rsidRPr="00630129" w:rsidRDefault="003945C1" w:rsidP="00B65C1C">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Annualised Advance</w:t>
            </w:r>
          </w:p>
        </w:tc>
      </w:tr>
      <w:tr w:rsidR="003945C1" w:rsidRPr="00630129" w14:paraId="6F2746DC"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5A54899" w14:textId="77777777" w:rsidR="003945C1" w:rsidRPr="00630129" w:rsidRDefault="003945C1" w:rsidP="00B65C1C">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ABDD</w:t>
            </w:r>
            <w:r w:rsidRPr="00630129">
              <w:rPr>
                <w:rFonts w:ascii="Times New Roman" w:hAnsi="Times New Roman"/>
                <w:sz w:val="22"/>
                <w:szCs w:val="22"/>
                <w:vertAlign w:val="subscript"/>
              </w:rPr>
              <w:t>iaNLKj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30DED1E7" w14:textId="77777777" w:rsidR="003945C1" w:rsidRPr="00630129" w:rsidRDefault="003945C1" w:rsidP="00B65C1C">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Allocated BM Unit’s Demand Disconnection Volume</w:t>
            </w:r>
          </w:p>
        </w:tc>
      </w:tr>
      <w:tr w:rsidR="003945C1" w:rsidRPr="00630129" w14:paraId="48A1A25B" w14:textId="77777777" w:rsidTr="00F248AA">
        <w:trPr>
          <w:cantSplit/>
        </w:trPr>
        <w:tc>
          <w:tcPr>
            <w:tcW w:w="1500" w:type="pct"/>
            <w:tcMar>
              <w:top w:w="57" w:type="dxa"/>
              <w:left w:w="85" w:type="dxa"/>
              <w:bottom w:w="85" w:type="dxa"/>
              <w:right w:w="85" w:type="dxa"/>
            </w:tcMar>
          </w:tcPr>
          <w:p w14:paraId="50D64BC0" w14:textId="77777777" w:rsidR="003945C1" w:rsidRPr="00630129" w:rsidRDefault="003945C1" w:rsidP="00B65C1C">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 xml:space="preserve">ABMMMC </w:t>
            </w:r>
            <w:proofErr w:type="spellStart"/>
            <w:r w:rsidRPr="00630129">
              <w:rPr>
                <w:rFonts w:ascii="Times New Roman" w:hAnsi="Times New Roman"/>
                <w:sz w:val="22"/>
                <w:szCs w:val="22"/>
                <w:vertAlign w:val="subscript"/>
              </w:rPr>
              <w:t>iaNLKj</w:t>
            </w:r>
            <w:proofErr w:type="spellEnd"/>
          </w:p>
        </w:tc>
        <w:tc>
          <w:tcPr>
            <w:tcW w:w="3500" w:type="pct"/>
            <w:tcMar>
              <w:top w:w="57" w:type="dxa"/>
              <w:left w:w="85" w:type="dxa"/>
              <w:bottom w:w="85" w:type="dxa"/>
              <w:right w:w="85" w:type="dxa"/>
            </w:tcMar>
          </w:tcPr>
          <w:p w14:paraId="4824D8E5" w14:textId="77777777" w:rsidR="003945C1" w:rsidRPr="00630129" w:rsidRDefault="003945C1" w:rsidP="00B65C1C">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Allocated BM Unit's Metering System Metered Consumption</w:t>
            </w:r>
          </w:p>
        </w:tc>
      </w:tr>
      <w:tr w:rsidR="003945C1" w:rsidRPr="00630129" w14:paraId="2A9CD8EF" w14:textId="77777777" w:rsidTr="00F248AA">
        <w:trPr>
          <w:cantSplit/>
        </w:trPr>
        <w:tc>
          <w:tcPr>
            <w:tcW w:w="1500" w:type="pct"/>
            <w:tcMar>
              <w:top w:w="57" w:type="dxa"/>
              <w:left w:w="85" w:type="dxa"/>
              <w:bottom w:w="85" w:type="dxa"/>
              <w:right w:w="85" w:type="dxa"/>
            </w:tcMar>
          </w:tcPr>
          <w:p w14:paraId="7BDE5CBD" w14:textId="77777777" w:rsidR="003945C1" w:rsidRPr="00630129" w:rsidRDefault="003945C1" w:rsidP="00B65C1C">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AFYCA</w:t>
            </w:r>
            <w:r w:rsidRPr="00630129">
              <w:rPr>
                <w:rFonts w:ascii="Times New Roman" w:hAnsi="Times New Roman"/>
                <w:sz w:val="22"/>
                <w:szCs w:val="22"/>
                <w:vertAlign w:val="subscript"/>
              </w:rPr>
              <w:t>HPC</w:t>
            </w:r>
          </w:p>
        </w:tc>
        <w:tc>
          <w:tcPr>
            <w:tcW w:w="3500" w:type="pct"/>
            <w:tcMar>
              <w:top w:w="57" w:type="dxa"/>
              <w:left w:w="85" w:type="dxa"/>
              <w:bottom w:w="85" w:type="dxa"/>
              <w:right w:w="85" w:type="dxa"/>
            </w:tcMar>
          </w:tcPr>
          <w:p w14:paraId="1C98BD24" w14:textId="77777777" w:rsidR="003945C1" w:rsidRPr="00630129" w:rsidRDefault="003945C1" w:rsidP="00B65C1C">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Annual Fraction of Yearly Consumption Adjustment</w:t>
            </w:r>
          </w:p>
        </w:tc>
      </w:tr>
      <w:tr w:rsidR="003945C1" w:rsidRPr="00630129" w14:paraId="577FB2A3" w14:textId="77777777" w:rsidTr="00F248AA">
        <w:trPr>
          <w:cantSplit/>
        </w:trPr>
        <w:tc>
          <w:tcPr>
            <w:tcW w:w="1500" w:type="pct"/>
            <w:tcMar>
              <w:top w:w="57" w:type="dxa"/>
              <w:left w:w="85" w:type="dxa"/>
              <w:bottom w:w="85" w:type="dxa"/>
              <w:right w:w="85" w:type="dxa"/>
            </w:tcMar>
          </w:tcPr>
          <w:p w14:paraId="5E3B0DE8" w14:textId="77777777" w:rsidR="003945C1" w:rsidRPr="00630129" w:rsidRDefault="003945C1" w:rsidP="00B65C1C">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AFYC</w:t>
            </w:r>
            <w:r w:rsidRPr="00630129">
              <w:rPr>
                <w:rFonts w:ascii="Times New Roman" w:hAnsi="Times New Roman"/>
                <w:sz w:val="22"/>
                <w:szCs w:val="22"/>
                <w:vertAlign w:val="subscript"/>
              </w:rPr>
              <w:t>HPR</w:t>
            </w:r>
          </w:p>
        </w:tc>
        <w:tc>
          <w:tcPr>
            <w:tcW w:w="3500" w:type="pct"/>
            <w:tcMar>
              <w:top w:w="57" w:type="dxa"/>
              <w:left w:w="85" w:type="dxa"/>
              <w:bottom w:w="85" w:type="dxa"/>
              <w:right w:w="85" w:type="dxa"/>
            </w:tcMar>
          </w:tcPr>
          <w:p w14:paraId="1A916941" w14:textId="77777777" w:rsidR="003945C1" w:rsidRPr="00630129" w:rsidRDefault="003945C1" w:rsidP="00B65C1C">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 xml:space="preserve">Average Fraction Of Yearly Consumption </w:t>
            </w:r>
          </w:p>
        </w:tc>
      </w:tr>
      <w:tr w:rsidR="007B7D2E" w:rsidRPr="00B65C1C" w14:paraId="6B3EFE43" w14:textId="77777777" w:rsidTr="00FC0D03">
        <w:trPr>
          <w:cantSplit/>
          <w:ins w:id="81" w:author="Aditi Tulpule" w:date="2021-02-24T16:16:00Z"/>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72B3043" w14:textId="460027AF" w:rsidR="007B7D2E" w:rsidRPr="00B27D7B" w:rsidRDefault="00A63BA8" w:rsidP="007B7D2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82" w:author="Aditi Tulpule" w:date="2021-02-24T16:16:00Z"/>
                <w:rFonts w:ascii="Times New Roman" w:hAnsi="Times New Roman"/>
                <w:sz w:val="22"/>
                <w:szCs w:val="22"/>
              </w:rPr>
            </w:pPr>
            <w:ins w:id="83" w:author="Aditi Tulpule" w:date="2021-02-24T16:19:00Z">
              <w:r>
                <w:rPr>
                  <w:rFonts w:ascii="Times New Roman" w:hAnsi="Times New Roman"/>
                  <w:sz w:val="22"/>
                  <w:szCs w:val="22"/>
                </w:rPr>
                <w:t>[P376]</w:t>
              </w:r>
            </w:ins>
            <w:proofErr w:type="spellStart"/>
            <w:ins w:id="84" w:author="Aditi Tulpule" w:date="2021-02-24T16:16:00Z">
              <w:r w:rsidR="007B7D2E">
                <w:rPr>
                  <w:rFonts w:ascii="Times New Roman" w:hAnsi="Times New Roman"/>
                  <w:sz w:val="22"/>
                  <w:szCs w:val="22"/>
                </w:rPr>
                <w:t>AMPDV</w:t>
              </w:r>
              <w:r w:rsidR="007B7D2E" w:rsidRPr="00630129">
                <w:rPr>
                  <w:rFonts w:ascii="Times New Roman" w:hAnsi="Times New Roman"/>
                  <w:sz w:val="22"/>
                  <w:szCs w:val="22"/>
                  <w:vertAlign w:val="subscript"/>
                </w:rPr>
                <w:t>j</w:t>
              </w:r>
              <w:proofErr w:type="spellEnd"/>
            </w:ins>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EE751EE" w14:textId="3F601FFF" w:rsidR="007B7D2E" w:rsidRPr="00FC0D03" w:rsidRDefault="007B7D2E" w:rsidP="007B7D2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85" w:author="Aditi Tulpule" w:date="2021-02-24T16:16:00Z"/>
                <w:rFonts w:ascii="Times New Roman" w:hAnsi="Times New Roman"/>
                <w:sz w:val="22"/>
                <w:szCs w:val="22"/>
              </w:rPr>
            </w:pPr>
            <w:ins w:id="86" w:author="Aditi Tulpule" w:date="2021-02-24T16:16:00Z">
              <w:r w:rsidRPr="00E24201">
                <w:rPr>
                  <w:rFonts w:ascii="Times New Roman" w:hAnsi="Times New Roman"/>
                  <w:sz w:val="22"/>
                  <w:szCs w:val="22"/>
                </w:rPr>
                <w:t>AMSID Pair Delivered Volume</w:t>
              </w:r>
            </w:ins>
          </w:p>
        </w:tc>
      </w:tr>
      <w:tr w:rsidR="007B7D2E" w:rsidRPr="00B65C1C" w14:paraId="6A757F4D" w14:textId="77777777" w:rsidTr="00FC0D03">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8F4F0C1" w14:textId="77777777" w:rsidR="007B7D2E" w:rsidRPr="00630129" w:rsidRDefault="007B7D2E" w:rsidP="007B7D2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B27D7B">
              <w:rPr>
                <w:rFonts w:ascii="Times New Roman" w:hAnsi="Times New Roman"/>
                <w:sz w:val="22"/>
                <w:szCs w:val="22"/>
              </w:rPr>
              <w:t>AQVMD</w:t>
            </w:r>
            <w:r w:rsidRPr="00B27D7B">
              <w:rPr>
                <w:rFonts w:ascii="Times New Roman" w:hAnsi="Times New Roman"/>
                <w:sz w:val="22"/>
                <w:szCs w:val="22"/>
                <w:vertAlign w:val="subscript"/>
              </w:rPr>
              <w:t>NLKji</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7C4F846" w14:textId="77777777" w:rsidR="007B7D2E" w:rsidRPr="00630129" w:rsidRDefault="007B7D2E" w:rsidP="007B7D2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FC0D03">
              <w:rPr>
                <w:rFonts w:ascii="Times New Roman" w:hAnsi="Times New Roman"/>
                <w:sz w:val="22"/>
                <w:szCs w:val="22"/>
              </w:rPr>
              <w:t>ABSVD BM Unit Delivered Volume</w:t>
            </w:r>
          </w:p>
        </w:tc>
      </w:tr>
      <w:tr w:rsidR="007B7D2E" w:rsidRPr="00630129" w14:paraId="5D105B57"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38A1A010" w14:textId="77777777" w:rsidR="007B7D2E" w:rsidRPr="00630129" w:rsidRDefault="007B7D2E" w:rsidP="007B7D2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ASDD</w:t>
            </w:r>
            <w:r w:rsidRPr="00630129">
              <w:rPr>
                <w:rFonts w:ascii="Times New Roman" w:hAnsi="Times New Roman"/>
                <w:sz w:val="22"/>
                <w:szCs w:val="22"/>
                <w:vertAlign w:val="subscript"/>
              </w:rPr>
              <w:t>HZaNLKj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2B865FA7" w14:textId="77777777" w:rsidR="007B7D2E" w:rsidRPr="00630129" w:rsidRDefault="007B7D2E" w:rsidP="007B7D2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Allocated Supplier’s Demand Disconnection Volume</w:t>
            </w:r>
          </w:p>
        </w:tc>
      </w:tr>
      <w:tr w:rsidR="007B7D2E" w:rsidRPr="00630129" w14:paraId="29E4970A" w14:textId="77777777" w:rsidTr="00F248AA">
        <w:trPr>
          <w:cantSplit/>
        </w:trPr>
        <w:tc>
          <w:tcPr>
            <w:tcW w:w="1500" w:type="pct"/>
            <w:tcMar>
              <w:top w:w="57" w:type="dxa"/>
              <w:left w:w="85" w:type="dxa"/>
              <w:bottom w:w="85" w:type="dxa"/>
              <w:right w:w="85" w:type="dxa"/>
            </w:tcMar>
          </w:tcPr>
          <w:p w14:paraId="578CF1FE" w14:textId="77777777" w:rsidR="007B7D2E" w:rsidRPr="00630129" w:rsidRDefault="007B7D2E" w:rsidP="007B7D2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ASMMC</w:t>
            </w:r>
            <w:r w:rsidRPr="00630129">
              <w:rPr>
                <w:rFonts w:ascii="Times New Roman" w:hAnsi="Times New Roman"/>
                <w:sz w:val="22"/>
                <w:szCs w:val="22"/>
                <w:vertAlign w:val="subscript"/>
              </w:rPr>
              <w:t>HZaNLKj</w:t>
            </w:r>
            <w:proofErr w:type="spellEnd"/>
          </w:p>
        </w:tc>
        <w:tc>
          <w:tcPr>
            <w:tcW w:w="3500" w:type="pct"/>
            <w:tcMar>
              <w:top w:w="57" w:type="dxa"/>
              <w:left w:w="85" w:type="dxa"/>
              <w:bottom w:w="85" w:type="dxa"/>
              <w:right w:w="85" w:type="dxa"/>
            </w:tcMar>
          </w:tcPr>
          <w:p w14:paraId="552C91DC" w14:textId="77777777" w:rsidR="007B7D2E" w:rsidRPr="00630129" w:rsidRDefault="007B7D2E" w:rsidP="007B7D2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Allocated Supplier’s Metering System Metered Consumption</w:t>
            </w:r>
          </w:p>
        </w:tc>
      </w:tr>
      <w:tr w:rsidR="007B7D2E" w:rsidRPr="00630129" w14:paraId="75FA8F1A" w14:textId="77777777" w:rsidTr="00F248AA">
        <w:trPr>
          <w:cantSplit/>
        </w:trPr>
        <w:tc>
          <w:tcPr>
            <w:tcW w:w="1500" w:type="pct"/>
            <w:tcMar>
              <w:top w:w="57" w:type="dxa"/>
              <w:left w:w="85" w:type="dxa"/>
              <w:bottom w:w="85" w:type="dxa"/>
              <w:right w:w="85" w:type="dxa"/>
            </w:tcMar>
          </w:tcPr>
          <w:p w14:paraId="4183269C" w14:textId="77777777" w:rsidR="007B7D2E" w:rsidRPr="00630129" w:rsidRDefault="007B7D2E" w:rsidP="007B7D2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AVMMC</w:t>
            </w:r>
            <w:r w:rsidRPr="00630129">
              <w:rPr>
                <w:rFonts w:ascii="Times New Roman" w:hAnsi="Times New Roman"/>
                <w:sz w:val="22"/>
                <w:szCs w:val="22"/>
                <w:vertAlign w:val="subscript"/>
              </w:rPr>
              <w:t>HZaNLKji</w:t>
            </w:r>
            <w:proofErr w:type="spellEnd"/>
          </w:p>
        </w:tc>
        <w:tc>
          <w:tcPr>
            <w:tcW w:w="3500" w:type="pct"/>
            <w:tcMar>
              <w:top w:w="57" w:type="dxa"/>
              <w:left w:w="85" w:type="dxa"/>
              <w:bottom w:w="85" w:type="dxa"/>
              <w:right w:w="85" w:type="dxa"/>
            </w:tcMar>
          </w:tcPr>
          <w:p w14:paraId="5F6D0F8D" w14:textId="77777777" w:rsidR="007B7D2E" w:rsidRPr="00630129" w:rsidRDefault="007B7D2E" w:rsidP="007B7D2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Allocated Metering System Metered Consumption</w:t>
            </w:r>
          </w:p>
        </w:tc>
      </w:tr>
      <w:tr w:rsidR="007B7D2E" w:rsidRPr="00630129" w14:paraId="6FB6EB33" w14:textId="77777777" w:rsidTr="00F248AA">
        <w:trPr>
          <w:cantSplit/>
        </w:trPr>
        <w:tc>
          <w:tcPr>
            <w:tcW w:w="1500" w:type="pct"/>
            <w:tcMar>
              <w:top w:w="57" w:type="dxa"/>
              <w:left w:w="85" w:type="dxa"/>
              <w:bottom w:w="85" w:type="dxa"/>
              <w:right w:w="85" w:type="dxa"/>
            </w:tcMar>
          </w:tcPr>
          <w:p w14:paraId="2850D474" w14:textId="77777777" w:rsidR="007B7D2E" w:rsidRPr="00630129" w:rsidRDefault="007B7D2E" w:rsidP="007B7D2E">
            <w:pPr>
              <w:jc w:val="both"/>
              <w:rPr>
                <w:sz w:val="22"/>
                <w:szCs w:val="22"/>
              </w:rPr>
            </w:pPr>
            <w:proofErr w:type="spellStart"/>
            <w:r w:rsidRPr="00630129">
              <w:rPr>
                <w:sz w:val="22"/>
                <w:szCs w:val="22"/>
              </w:rPr>
              <w:t>BAP</w:t>
            </w:r>
            <w:r w:rsidRPr="00630129">
              <w:rPr>
                <w:sz w:val="22"/>
                <w:szCs w:val="22"/>
                <w:vertAlign w:val="subscript"/>
              </w:rPr>
              <w:t>HQj</w:t>
            </w:r>
            <w:proofErr w:type="spellEnd"/>
          </w:p>
        </w:tc>
        <w:tc>
          <w:tcPr>
            <w:tcW w:w="3500" w:type="pct"/>
            <w:tcMar>
              <w:top w:w="57" w:type="dxa"/>
              <w:left w:w="85" w:type="dxa"/>
              <w:bottom w:w="85" w:type="dxa"/>
              <w:right w:w="85" w:type="dxa"/>
            </w:tcMar>
          </w:tcPr>
          <w:p w14:paraId="3FF3314B" w14:textId="77777777" w:rsidR="007B7D2E" w:rsidRPr="00630129" w:rsidRDefault="007B7D2E" w:rsidP="007B7D2E">
            <w:pPr>
              <w:jc w:val="both"/>
              <w:rPr>
                <w:sz w:val="22"/>
                <w:szCs w:val="22"/>
              </w:rPr>
            </w:pPr>
            <w:r w:rsidRPr="00630129">
              <w:rPr>
                <w:sz w:val="22"/>
                <w:szCs w:val="22"/>
              </w:rPr>
              <w:t>Baseload Profile Coefficient</w:t>
            </w:r>
          </w:p>
        </w:tc>
      </w:tr>
      <w:tr w:rsidR="007B7D2E" w:rsidRPr="00630129" w14:paraId="2667832A" w14:textId="77777777" w:rsidTr="00F248AA">
        <w:trPr>
          <w:cantSplit/>
        </w:trPr>
        <w:tc>
          <w:tcPr>
            <w:tcW w:w="1500" w:type="pct"/>
            <w:tcMar>
              <w:top w:w="57" w:type="dxa"/>
              <w:left w:w="85" w:type="dxa"/>
              <w:bottom w:w="85" w:type="dxa"/>
              <w:right w:w="85" w:type="dxa"/>
            </w:tcMar>
          </w:tcPr>
          <w:p w14:paraId="576A0561" w14:textId="77777777" w:rsidR="007B7D2E" w:rsidRPr="00630129" w:rsidRDefault="007B7D2E" w:rsidP="007B7D2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BF</w:t>
            </w:r>
            <w:r w:rsidRPr="00630129">
              <w:rPr>
                <w:rFonts w:ascii="Times New Roman" w:hAnsi="Times New Roman"/>
                <w:sz w:val="22"/>
                <w:szCs w:val="22"/>
                <w:vertAlign w:val="subscript"/>
              </w:rPr>
              <w:t>HPC</w:t>
            </w:r>
          </w:p>
        </w:tc>
        <w:tc>
          <w:tcPr>
            <w:tcW w:w="3500" w:type="pct"/>
            <w:tcMar>
              <w:top w:w="57" w:type="dxa"/>
              <w:left w:w="85" w:type="dxa"/>
              <w:bottom w:w="85" w:type="dxa"/>
              <w:right w:w="85" w:type="dxa"/>
            </w:tcMar>
          </w:tcPr>
          <w:p w14:paraId="195D2BD6" w14:textId="77777777" w:rsidR="007B7D2E" w:rsidRPr="00630129" w:rsidRDefault="007B7D2E" w:rsidP="007B7D2E">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Base Fraction</w:t>
            </w:r>
          </w:p>
        </w:tc>
      </w:tr>
      <w:tr w:rsidR="0099110B" w:rsidRPr="00630129" w14:paraId="745D3C3C" w14:textId="77777777" w:rsidTr="00F248AA">
        <w:trPr>
          <w:cantSplit/>
          <w:ins w:id="87" w:author="Aditi Tulpule" w:date="2021-02-24T16:16:00Z"/>
        </w:trPr>
        <w:tc>
          <w:tcPr>
            <w:tcW w:w="1500" w:type="pct"/>
            <w:tcMar>
              <w:top w:w="57" w:type="dxa"/>
              <w:left w:w="85" w:type="dxa"/>
              <w:bottom w:w="85" w:type="dxa"/>
              <w:right w:w="85" w:type="dxa"/>
            </w:tcMar>
          </w:tcPr>
          <w:p w14:paraId="76840952" w14:textId="6B6DF7AC"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88" w:author="Aditi Tulpule" w:date="2021-02-24T16:16:00Z"/>
                <w:rFonts w:ascii="Times New Roman" w:hAnsi="Times New Roman"/>
                <w:sz w:val="22"/>
                <w:szCs w:val="22"/>
              </w:rPr>
            </w:pPr>
            <w:ins w:id="89" w:author="Aditi Tulpule" w:date="2021-02-24T16:16:00Z">
              <w:r>
                <w:rPr>
                  <w:rFonts w:ascii="Times New Roman" w:hAnsi="Times New Roman"/>
                  <w:sz w:val="22"/>
                  <w:szCs w:val="22"/>
                </w:rPr>
                <w:t>[P376]</w:t>
              </w:r>
              <w:proofErr w:type="spellStart"/>
              <w:r>
                <w:rPr>
                  <w:rFonts w:ascii="Times New Roman" w:hAnsi="Times New Roman"/>
                  <w:sz w:val="22"/>
                  <w:szCs w:val="22"/>
                </w:rPr>
                <w:t>BEV</w:t>
              </w:r>
              <w:r w:rsidRPr="00630129">
                <w:rPr>
                  <w:rFonts w:ascii="Times New Roman" w:hAnsi="Times New Roman"/>
                  <w:sz w:val="22"/>
                  <w:szCs w:val="22"/>
                  <w:vertAlign w:val="subscript"/>
                </w:rPr>
                <w:t>ji</w:t>
              </w:r>
              <w:proofErr w:type="spellEnd"/>
            </w:ins>
          </w:p>
        </w:tc>
        <w:tc>
          <w:tcPr>
            <w:tcW w:w="3500" w:type="pct"/>
            <w:tcMar>
              <w:top w:w="57" w:type="dxa"/>
              <w:left w:w="85" w:type="dxa"/>
              <w:bottom w:w="85" w:type="dxa"/>
              <w:right w:w="85" w:type="dxa"/>
            </w:tcMar>
          </w:tcPr>
          <w:p w14:paraId="4266948A" w14:textId="74C363CA"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90" w:author="Aditi Tulpule" w:date="2021-02-24T16:16:00Z"/>
                <w:rFonts w:ascii="Times New Roman" w:hAnsi="Times New Roman"/>
                <w:sz w:val="22"/>
                <w:szCs w:val="22"/>
              </w:rPr>
            </w:pPr>
            <w:ins w:id="91" w:author="Aditi Tulpule" w:date="2021-02-24T16:16:00Z">
              <w:r>
                <w:rPr>
                  <w:rFonts w:ascii="Times New Roman" w:hAnsi="Times New Roman"/>
                  <w:sz w:val="22"/>
                  <w:szCs w:val="22"/>
                </w:rPr>
                <w:t>Baselined Expected Volumes</w:t>
              </w:r>
            </w:ins>
          </w:p>
        </w:tc>
      </w:tr>
      <w:tr w:rsidR="0099110B" w:rsidRPr="00630129" w14:paraId="68C35496"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6C1FB49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BMDD</w:t>
            </w:r>
            <w:r w:rsidRPr="00630129">
              <w:rPr>
                <w:rFonts w:ascii="Times New Roman" w:hAnsi="Times New Roman"/>
                <w:sz w:val="22"/>
                <w:szCs w:val="22"/>
                <w:vertAlign w:val="subscript"/>
              </w:rPr>
              <w:t>iaNj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76069B0"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 Unit’s Demand Disconnection Volume</w:t>
            </w:r>
          </w:p>
        </w:tc>
      </w:tr>
      <w:tr w:rsidR="0099110B" w:rsidRPr="00630129" w14:paraId="3583F1E9"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2890DB8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BMDDL</w:t>
            </w:r>
            <w:r w:rsidRPr="00630129">
              <w:rPr>
                <w:rFonts w:ascii="Times New Roman" w:hAnsi="Times New Roman"/>
                <w:sz w:val="22"/>
                <w:szCs w:val="22"/>
                <w:vertAlign w:val="subscript"/>
              </w:rPr>
              <w:t>iaNj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843A0FD"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 Unit’s Demand Disconnection Volume (Losses)</w:t>
            </w:r>
          </w:p>
        </w:tc>
      </w:tr>
      <w:tr w:rsidR="0099110B" w:rsidRPr="00630129" w14:paraId="1245E4AD"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21E455F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BMDM</w:t>
            </w:r>
            <w:r w:rsidRPr="00630129">
              <w:rPr>
                <w:rFonts w:ascii="Times New Roman" w:hAnsi="Times New Roman"/>
                <w:sz w:val="22"/>
                <w:szCs w:val="22"/>
                <w:vertAlign w:val="subscript"/>
              </w:rPr>
              <w:t>iaLPR</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FC34BF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 Unit Disconnection Matrix</w:t>
            </w:r>
          </w:p>
        </w:tc>
      </w:tr>
      <w:tr w:rsidR="0099110B" w:rsidRPr="00630129" w14:paraId="3FD22330"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E627F31"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BMMC</w:t>
            </w:r>
            <w:r w:rsidRPr="00630129">
              <w:rPr>
                <w:rFonts w:ascii="Times New Roman" w:hAnsi="Times New Roman"/>
                <w:sz w:val="22"/>
                <w:szCs w:val="22"/>
                <w:vertAlign w:val="subscript"/>
              </w:rPr>
              <w:t xml:space="preserve"> </w:t>
            </w:r>
            <w:proofErr w:type="spellStart"/>
            <w:r w:rsidRPr="00630129">
              <w:rPr>
                <w:rFonts w:ascii="Times New Roman" w:hAnsi="Times New Roman"/>
                <w:sz w:val="22"/>
                <w:szCs w:val="22"/>
                <w:vertAlign w:val="subscript"/>
              </w:rPr>
              <w:t>iaNLj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3B63312"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 Unit's Metered Consumption</w:t>
            </w:r>
          </w:p>
        </w:tc>
      </w:tr>
      <w:tr w:rsidR="0099110B" w:rsidRPr="00630129" w14:paraId="71447F47"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7B9CC69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BMMCL</w:t>
            </w:r>
            <w:r w:rsidRPr="00630129">
              <w:rPr>
                <w:rFonts w:ascii="Times New Roman" w:hAnsi="Times New Roman"/>
                <w:sz w:val="22"/>
                <w:szCs w:val="22"/>
                <w:vertAlign w:val="subscript"/>
              </w:rPr>
              <w:t xml:space="preserve"> </w:t>
            </w:r>
            <w:proofErr w:type="spellStart"/>
            <w:r w:rsidRPr="00630129">
              <w:rPr>
                <w:rFonts w:ascii="Times New Roman" w:hAnsi="Times New Roman"/>
                <w:sz w:val="22"/>
                <w:szCs w:val="22"/>
                <w:vertAlign w:val="subscript"/>
              </w:rPr>
              <w:t>iaNLj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87CA7F7"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 Unit's Metered Consumption (Losses)</w:t>
            </w:r>
          </w:p>
        </w:tc>
      </w:tr>
      <w:tr w:rsidR="0099110B" w:rsidRPr="00630129" w14:paraId="669ADD1F" w14:textId="77777777" w:rsidTr="00F248AA">
        <w:trPr>
          <w:cantSplit/>
        </w:trPr>
        <w:tc>
          <w:tcPr>
            <w:tcW w:w="1500" w:type="pct"/>
            <w:tcMar>
              <w:top w:w="57" w:type="dxa"/>
              <w:left w:w="85" w:type="dxa"/>
              <w:bottom w:w="85" w:type="dxa"/>
              <w:right w:w="85" w:type="dxa"/>
            </w:tcMar>
          </w:tcPr>
          <w:p w14:paraId="6BD3AAB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BMPC</w:t>
            </w:r>
            <w:r w:rsidRPr="00630129">
              <w:rPr>
                <w:rFonts w:ascii="Times New Roman" w:hAnsi="Times New Roman"/>
                <w:sz w:val="22"/>
                <w:szCs w:val="22"/>
                <w:vertAlign w:val="subscript"/>
              </w:rPr>
              <w:t xml:space="preserve"> </w:t>
            </w:r>
            <w:proofErr w:type="spellStart"/>
            <w:r w:rsidRPr="00630129">
              <w:rPr>
                <w:rFonts w:ascii="Times New Roman" w:hAnsi="Times New Roman"/>
                <w:sz w:val="22"/>
                <w:szCs w:val="22"/>
                <w:vertAlign w:val="subscript"/>
              </w:rPr>
              <w:t>iLPRj</w:t>
            </w:r>
            <w:proofErr w:type="spellEnd"/>
          </w:p>
        </w:tc>
        <w:tc>
          <w:tcPr>
            <w:tcW w:w="3500" w:type="pct"/>
            <w:tcMar>
              <w:top w:w="57" w:type="dxa"/>
              <w:left w:w="85" w:type="dxa"/>
              <w:bottom w:w="85" w:type="dxa"/>
              <w:right w:w="85" w:type="dxa"/>
            </w:tcMar>
          </w:tcPr>
          <w:p w14:paraId="324A4737"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 Unit's Profiled Consumption</w:t>
            </w:r>
          </w:p>
        </w:tc>
      </w:tr>
      <w:tr w:rsidR="0099110B" w:rsidRPr="00630129" w14:paraId="28D5EA4B"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E21EDC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BMPD</w:t>
            </w:r>
            <w:r w:rsidRPr="00630129">
              <w:rPr>
                <w:rFonts w:ascii="Times New Roman" w:hAnsi="Times New Roman"/>
                <w:sz w:val="22"/>
                <w:szCs w:val="22"/>
                <w:vertAlign w:val="subscript"/>
              </w:rPr>
              <w:t>iLPRj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6AC3E11"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 Unit’s Profiled Disconnection</w:t>
            </w:r>
          </w:p>
        </w:tc>
      </w:tr>
      <w:tr w:rsidR="0099110B" w:rsidRPr="00630129" w14:paraId="2E2EC304" w14:textId="77777777" w:rsidTr="00F248AA">
        <w:trPr>
          <w:cantSplit/>
        </w:trPr>
        <w:tc>
          <w:tcPr>
            <w:tcW w:w="1500" w:type="pct"/>
            <w:tcMar>
              <w:top w:w="57" w:type="dxa"/>
              <w:left w:w="85" w:type="dxa"/>
              <w:bottom w:w="85" w:type="dxa"/>
              <w:right w:w="85" w:type="dxa"/>
            </w:tcMar>
          </w:tcPr>
          <w:p w14:paraId="318A0A1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BMPM</w:t>
            </w:r>
            <w:r w:rsidRPr="00630129">
              <w:rPr>
                <w:rFonts w:ascii="Times New Roman" w:hAnsi="Times New Roman"/>
                <w:sz w:val="22"/>
                <w:szCs w:val="22"/>
                <w:vertAlign w:val="subscript"/>
              </w:rPr>
              <w:t xml:space="preserve"> </w:t>
            </w:r>
            <w:proofErr w:type="spellStart"/>
            <w:r w:rsidRPr="00630129">
              <w:rPr>
                <w:rFonts w:ascii="Times New Roman" w:hAnsi="Times New Roman"/>
                <w:sz w:val="22"/>
                <w:szCs w:val="22"/>
                <w:vertAlign w:val="subscript"/>
              </w:rPr>
              <w:t>iaLPR</w:t>
            </w:r>
            <w:proofErr w:type="spellEnd"/>
          </w:p>
        </w:tc>
        <w:tc>
          <w:tcPr>
            <w:tcW w:w="3500" w:type="pct"/>
            <w:tcMar>
              <w:top w:w="57" w:type="dxa"/>
              <w:left w:w="85" w:type="dxa"/>
              <w:bottom w:w="85" w:type="dxa"/>
              <w:right w:w="85" w:type="dxa"/>
            </w:tcMar>
          </w:tcPr>
          <w:p w14:paraId="17B24C8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 Unit Purchase Matrix</w:t>
            </w:r>
          </w:p>
        </w:tc>
      </w:tr>
      <w:tr w:rsidR="0099110B" w:rsidRPr="00630129" w14:paraId="37B11116"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2FC407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BMUADDV</w:t>
            </w:r>
            <w:r w:rsidRPr="00630129">
              <w:rPr>
                <w:rFonts w:ascii="Times New Roman" w:hAnsi="Times New Roman"/>
                <w:sz w:val="22"/>
                <w:szCs w:val="22"/>
                <w:vertAlign w:val="subscript"/>
              </w:rPr>
              <w:t>ij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324261D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 Unit Allocated Demand Disconnection Volume</w:t>
            </w:r>
          </w:p>
        </w:tc>
      </w:tr>
      <w:tr w:rsidR="0099110B" w:rsidRPr="00630129" w14:paraId="752193B1" w14:textId="77777777" w:rsidTr="00F248AA">
        <w:trPr>
          <w:cantSplit/>
        </w:trPr>
        <w:tc>
          <w:tcPr>
            <w:tcW w:w="1500" w:type="pct"/>
            <w:tcMar>
              <w:top w:w="57" w:type="dxa"/>
              <w:left w:w="85" w:type="dxa"/>
              <w:bottom w:w="85" w:type="dxa"/>
              <w:right w:w="85" w:type="dxa"/>
            </w:tcMar>
          </w:tcPr>
          <w:p w14:paraId="1EE93C81"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BMUADV</w:t>
            </w:r>
            <w:r w:rsidRPr="00630129">
              <w:rPr>
                <w:rFonts w:ascii="Times New Roman" w:hAnsi="Times New Roman"/>
                <w:sz w:val="22"/>
                <w:szCs w:val="22"/>
                <w:vertAlign w:val="subscript"/>
              </w:rPr>
              <w:t>ij</w:t>
            </w:r>
            <w:proofErr w:type="spellEnd"/>
          </w:p>
        </w:tc>
        <w:tc>
          <w:tcPr>
            <w:tcW w:w="3500" w:type="pct"/>
            <w:tcMar>
              <w:top w:w="57" w:type="dxa"/>
              <w:left w:w="85" w:type="dxa"/>
              <w:bottom w:w="85" w:type="dxa"/>
              <w:right w:w="85" w:type="dxa"/>
            </w:tcMar>
          </w:tcPr>
          <w:p w14:paraId="74C2ED96"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BM Unit Allocated Demand Volume</w:t>
            </w:r>
          </w:p>
        </w:tc>
      </w:tr>
      <w:tr w:rsidR="0099110B" w:rsidRPr="00630129" w14:paraId="5D3777D6" w14:textId="77777777" w:rsidTr="00F248AA">
        <w:trPr>
          <w:cantSplit/>
        </w:trPr>
        <w:tc>
          <w:tcPr>
            <w:tcW w:w="1500" w:type="pct"/>
            <w:tcMar>
              <w:top w:w="57" w:type="dxa"/>
              <w:left w:w="85" w:type="dxa"/>
              <w:bottom w:w="85" w:type="dxa"/>
              <w:right w:w="85" w:type="dxa"/>
            </w:tcMar>
          </w:tcPr>
          <w:p w14:paraId="242BE56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CF</w:t>
            </w:r>
            <w:r w:rsidRPr="00630129">
              <w:rPr>
                <w:rFonts w:ascii="Times New Roman" w:hAnsi="Times New Roman"/>
                <w:sz w:val="22"/>
                <w:szCs w:val="22"/>
                <w:vertAlign w:val="subscript"/>
              </w:rPr>
              <w:t>Hj</w:t>
            </w:r>
            <w:proofErr w:type="spellEnd"/>
          </w:p>
        </w:tc>
        <w:tc>
          <w:tcPr>
            <w:tcW w:w="3500" w:type="pct"/>
            <w:tcMar>
              <w:top w:w="57" w:type="dxa"/>
              <w:left w:w="85" w:type="dxa"/>
              <w:bottom w:w="85" w:type="dxa"/>
              <w:right w:w="85" w:type="dxa"/>
            </w:tcMar>
          </w:tcPr>
          <w:p w14:paraId="430CCD94"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GSP Group Correction Factor</w:t>
            </w:r>
          </w:p>
        </w:tc>
      </w:tr>
      <w:tr w:rsidR="0099110B" w:rsidRPr="00630129" w14:paraId="469C2EE7" w14:textId="77777777" w:rsidTr="00F248AA">
        <w:trPr>
          <w:cantSplit/>
        </w:trPr>
        <w:tc>
          <w:tcPr>
            <w:tcW w:w="1500" w:type="pct"/>
            <w:tcMar>
              <w:top w:w="57" w:type="dxa"/>
              <w:left w:w="85" w:type="dxa"/>
              <w:bottom w:w="85" w:type="dxa"/>
              <w:right w:w="85" w:type="dxa"/>
            </w:tcMar>
          </w:tcPr>
          <w:p w14:paraId="33FD3B1D"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C</w:t>
            </w:r>
            <w:r w:rsidRPr="00630129">
              <w:rPr>
                <w:rFonts w:ascii="Times New Roman" w:hAnsi="Times New Roman"/>
                <w:sz w:val="22"/>
                <w:szCs w:val="22"/>
                <w:vertAlign w:val="subscript"/>
              </w:rPr>
              <w:t>iN</w:t>
            </w:r>
            <w:proofErr w:type="spellEnd"/>
            <w:r w:rsidRPr="00630129">
              <w:rPr>
                <w:rFonts w:ascii="Times New Roman" w:hAnsi="Times New Roman"/>
                <w:sz w:val="22"/>
                <w:szCs w:val="22"/>
                <w:vertAlign w:val="subscript"/>
              </w:rPr>
              <w:t>(c)</w:t>
            </w:r>
            <w:proofErr w:type="spellStart"/>
            <w:r w:rsidRPr="00630129">
              <w:rPr>
                <w:rFonts w:ascii="Times New Roman" w:hAnsi="Times New Roman"/>
                <w:sz w:val="22"/>
                <w:szCs w:val="22"/>
                <w:vertAlign w:val="subscript"/>
              </w:rPr>
              <w:t>Pj</w:t>
            </w:r>
            <w:proofErr w:type="spellEnd"/>
          </w:p>
        </w:tc>
        <w:tc>
          <w:tcPr>
            <w:tcW w:w="3500" w:type="pct"/>
            <w:tcMar>
              <w:top w:w="57" w:type="dxa"/>
              <w:left w:w="85" w:type="dxa"/>
              <w:bottom w:w="85" w:type="dxa"/>
              <w:right w:w="85" w:type="dxa"/>
            </w:tcMar>
          </w:tcPr>
          <w:p w14:paraId="14D1905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Half Hourly Consumption (Non Losses) by Profile Class</w:t>
            </w:r>
          </w:p>
        </w:tc>
      </w:tr>
      <w:tr w:rsidR="0099110B" w:rsidRPr="00630129" w14:paraId="72C7B562" w14:textId="77777777" w:rsidTr="00F248AA">
        <w:trPr>
          <w:cantSplit/>
        </w:trPr>
        <w:tc>
          <w:tcPr>
            <w:tcW w:w="1500" w:type="pct"/>
            <w:tcMar>
              <w:top w:w="57" w:type="dxa"/>
              <w:left w:w="85" w:type="dxa"/>
              <w:bottom w:w="85" w:type="dxa"/>
              <w:right w:w="85" w:type="dxa"/>
            </w:tcMar>
          </w:tcPr>
          <w:p w14:paraId="70C03C11"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C</w:t>
            </w:r>
            <w:r w:rsidRPr="00630129">
              <w:rPr>
                <w:rFonts w:ascii="Times New Roman" w:hAnsi="Times New Roman"/>
                <w:sz w:val="22"/>
                <w:szCs w:val="22"/>
                <w:vertAlign w:val="subscript"/>
              </w:rPr>
              <w:t>iNj</w:t>
            </w:r>
            <w:proofErr w:type="spellEnd"/>
          </w:p>
        </w:tc>
        <w:tc>
          <w:tcPr>
            <w:tcW w:w="3500" w:type="pct"/>
            <w:tcMar>
              <w:top w:w="57" w:type="dxa"/>
              <w:left w:w="85" w:type="dxa"/>
              <w:bottom w:w="85" w:type="dxa"/>
              <w:right w:w="85" w:type="dxa"/>
            </w:tcMar>
          </w:tcPr>
          <w:p w14:paraId="19CD447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Half Hourly Consumption (Non Losses)</w:t>
            </w:r>
          </w:p>
        </w:tc>
      </w:tr>
      <w:tr w:rsidR="0099110B" w:rsidRPr="00630129" w14:paraId="44550504" w14:textId="77777777" w:rsidTr="00F248AA">
        <w:trPr>
          <w:cantSplit/>
        </w:trPr>
        <w:tc>
          <w:tcPr>
            <w:tcW w:w="1500" w:type="pct"/>
            <w:tcMar>
              <w:top w:w="57" w:type="dxa"/>
              <w:left w:w="85" w:type="dxa"/>
              <w:bottom w:w="85" w:type="dxa"/>
              <w:right w:w="85" w:type="dxa"/>
            </w:tcMar>
          </w:tcPr>
          <w:p w14:paraId="728666F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CLOSS</w:t>
            </w:r>
            <w:r w:rsidRPr="00630129">
              <w:rPr>
                <w:rFonts w:ascii="Times New Roman" w:hAnsi="Times New Roman"/>
                <w:sz w:val="22"/>
                <w:szCs w:val="22"/>
                <w:vertAlign w:val="subscript"/>
              </w:rPr>
              <w:t>iN</w:t>
            </w:r>
            <w:proofErr w:type="spellEnd"/>
            <w:r w:rsidRPr="00630129">
              <w:rPr>
                <w:rFonts w:ascii="Times New Roman" w:hAnsi="Times New Roman"/>
                <w:sz w:val="22"/>
                <w:szCs w:val="22"/>
                <w:vertAlign w:val="subscript"/>
              </w:rPr>
              <w:t>(c)</w:t>
            </w:r>
            <w:proofErr w:type="spellStart"/>
            <w:r w:rsidRPr="00630129">
              <w:rPr>
                <w:rFonts w:ascii="Times New Roman" w:hAnsi="Times New Roman"/>
                <w:sz w:val="22"/>
                <w:szCs w:val="22"/>
                <w:vertAlign w:val="subscript"/>
              </w:rPr>
              <w:t>Pj</w:t>
            </w:r>
            <w:proofErr w:type="spellEnd"/>
          </w:p>
        </w:tc>
        <w:tc>
          <w:tcPr>
            <w:tcW w:w="3500" w:type="pct"/>
            <w:tcMar>
              <w:top w:w="57" w:type="dxa"/>
              <w:left w:w="85" w:type="dxa"/>
              <w:bottom w:w="85" w:type="dxa"/>
              <w:right w:w="85" w:type="dxa"/>
            </w:tcMar>
          </w:tcPr>
          <w:p w14:paraId="2929D174"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Half Hourly Consumption (Losses) by Profile Class</w:t>
            </w:r>
          </w:p>
        </w:tc>
      </w:tr>
      <w:tr w:rsidR="0099110B" w:rsidRPr="00630129" w14:paraId="0FA5BF2E" w14:textId="77777777" w:rsidTr="00F248AA">
        <w:trPr>
          <w:cantSplit/>
        </w:trPr>
        <w:tc>
          <w:tcPr>
            <w:tcW w:w="1500" w:type="pct"/>
            <w:tcMar>
              <w:top w:w="57" w:type="dxa"/>
              <w:left w:w="85" w:type="dxa"/>
              <w:bottom w:w="85" w:type="dxa"/>
              <w:right w:w="85" w:type="dxa"/>
            </w:tcMar>
          </w:tcPr>
          <w:p w14:paraId="0CAE34E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lastRenderedPageBreak/>
              <w:t>CLOSS</w:t>
            </w:r>
            <w:r w:rsidRPr="00630129">
              <w:rPr>
                <w:rFonts w:ascii="Times New Roman" w:hAnsi="Times New Roman"/>
                <w:sz w:val="22"/>
                <w:szCs w:val="22"/>
                <w:vertAlign w:val="subscript"/>
              </w:rPr>
              <w:t>iNj</w:t>
            </w:r>
            <w:proofErr w:type="spellEnd"/>
          </w:p>
        </w:tc>
        <w:tc>
          <w:tcPr>
            <w:tcW w:w="3500" w:type="pct"/>
            <w:tcMar>
              <w:top w:w="57" w:type="dxa"/>
              <w:left w:w="85" w:type="dxa"/>
              <w:bottom w:w="85" w:type="dxa"/>
              <w:right w:w="85" w:type="dxa"/>
            </w:tcMar>
          </w:tcPr>
          <w:p w14:paraId="12317D6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Half Hourly Consumption (Losses)</w:t>
            </w:r>
          </w:p>
        </w:tc>
      </w:tr>
      <w:tr w:rsidR="0099110B" w:rsidRPr="00630129" w14:paraId="10EEAE9F" w14:textId="77777777" w:rsidTr="00F248AA">
        <w:trPr>
          <w:cantSplit/>
        </w:trPr>
        <w:tc>
          <w:tcPr>
            <w:tcW w:w="1500" w:type="pct"/>
            <w:tcMar>
              <w:top w:w="57" w:type="dxa"/>
              <w:left w:w="85" w:type="dxa"/>
              <w:bottom w:w="85" w:type="dxa"/>
              <w:right w:w="85" w:type="dxa"/>
            </w:tcMar>
          </w:tcPr>
          <w:p w14:paraId="64A3EF7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CORC</w:t>
            </w:r>
            <w:r w:rsidRPr="00630129">
              <w:rPr>
                <w:rFonts w:ascii="Times New Roman" w:hAnsi="Times New Roman"/>
                <w:sz w:val="22"/>
                <w:szCs w:val="22"/>
                <w:vertAlign w:val="subscript"/>
              </w:rPr>
              <w:t>iN</w:t>
            </w:r>
            <w:proofErr w:type="spellEnd"/>
            <w:r w:rsidRPr="00630129">
              <w:rPr>
                <w:rFonts w:ascii="Times New Roman" w:hAnsi="Times New Roman"/>
                <w:sz w:val="22"/>
                <w:szCs w:val="22"/>
                <w:vertAlign w:val="subscript"/>
              </w:rPr>
              <w:t>(c)</w:t>
            </w:r>
            <w:proofErr w:type="spellStart"/>
            <w:r w:rsidRPr="00630129">
              <w:rPr>
                <w:rFonts w:ascii="Times New Roman" w:hAnsi="Times New Roman"/>
                <w:sz w:val="22"/>
                <w:szCs w:val="22"/>
                <w:vertAlign w:val="subscript"/>
              </w:rPr>
              <w:t>Pj</w:t>
            </w:r>
            <w:proofErr w:type="spellEnd"/>
          </w:p>
        </w:tc>
        <w:tc>
          <w:tcPr>
            <w:tcW w:w="3500" w:type="pct"/>
            <w:tcMar>
              <w:top w:w="57" w:type="dxa"/>
              <w:left w:w="85" w:type="dxa"/>
              <w:bottom w:w="85" w:type="dxa"/>
              <w:right w:w="85" w:type="dxa"/>
            </w:tcMar>
          </w:tcPr>
          <w:p w14:paraId="0027C64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Corrected Component by Profile Class</w:t>
            </w:r>
          </w:p>
        </w:tc>
      </w:tr>
      <w:tr w:rsidR="0099110B" w:rsidRPr="00630129" w14:paraId="44192A42" w14:textId="77777777" w:rsidTr="00F248AA">
        <w:trPr>
          <w:cantSplit/>
        </w:trPr>
        <w:tc>
          <w:tcPr>
            <w:tcW w:w="1500" w:type="pct"/>
            <w:tcMar>
              <w:top w:w="57" w:type="dxa"/>
              <w:left w:w="85" w:type="dxa"/>
              <w:bottom w:w="85" w:type="dxa"/>
              <w:right w:w="85" w:type="dxa"/>
            </w:tcMar>
          </w:tcPr>
          <w:p w14:paraId="2FADC3E9"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CORC</w:t>
            </w:r>
            <w:r w:rsidRPr="00630129">
              <w:rPr>
                <w:rFonts w:ascii="Times New Roman" w:hAnsi="Times New Roman"/>
                <w:sz w:val="22"/>
                <w:szCs w:val="22"/>
                <w:vertAlign w:val="subscript"/>
              </w:rPr>
              <w:t>iNj</w:t>
            </w:r>
            <w:proofErr w:type="spellEnd"/>
          </w:p>
        </w:tc>
        <w:tc>
          <w:tcPr>
            <w:tcW w:w="3500" w:type="pct"/>
            <w:tcMar>
              <w:top w:w="57" w:type="dxa"/>
              <w:left w:w="85" w:type="dxa"/>
              <w:bottom w:w="85" w:type="dxa"/>
              <w:right w:w="85" w:type="dxa"/>
            </w:tcMar>
          </w:tcPr>
          <w:p w14:paraId="384181B1"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Corrected Component</w:t>
            </w:r>
          </w:p>
        </w:tc>
      </w:tr>
      <w:tr w:rsidR="0099110B" w:rsidRPr="00630129" w14:paraId="37FC9A35" w14:textId="77777777" w:rsidTr="00F248AA">
        <w:trPr>
          <w:cantSplit/>
        </w:trPr>
        <w:tc>
          <w:tcPr>
            <w:tcW w:w="1500" w:type="pct"/>
            <w:tcMar>
              <w:top w:w="57" w:type="dxa"/>
              <w:left w:w="85" w:type="dxa"/>
              <w:bottom w:w="85" w:type="dxa"/>
              <w:right w:w="85" w:type="dxa"/>
            </w:tcMar>
          </w:tcPr>
          <w:p w14:paraId="1477005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CORC</w:t>
            </w:r>
            <w:r w:rsidRPr="00630129">
              <w:rPr>
                <w:rFonts w:ascii="Times New Roman" w:hAnsi="Times New Roman"/>
                <w:sz w:val="22"/>
                <w:szCs w:val="22"/>
                <w:vertAlign w:val="subscript"/>
              </w:rPr>
              <w:t>ZqG</w:t>
            </w:r>
            <w:proofErr w:type="spellEnd"/>
          </w:p>
        </w:tc>
        <w:tc>
          <w:tcPr>
            <w:tcW w:w="3500" w:type="pct"/>
            <w:tcMar>
              <w:top w:w="57" w:type="dxa"/>
              <w:left w:w="85" w:type="dxa"/>
              <w:bottom w:w="85" w:type="dxa"/>
              <w:right w:w="85" w:type="dxa"/>
            </w:tcMar>
          </w:tcPr>
          <w:p w14:paraId="3454E5B2"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Quarterly Supplier Energy Volume</w:t>
            </w:r>
          </w:p>
        </w:tc>
      </w:tr>
      <w:tr w:rsidR="0099110B" w:rsidRPr="00630129" w14:paraId="1F3E19FD"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70B4B419"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CORDC</w:t>
            </w:r>
            <w:r w:rsidRPr="00630129">
              <w:rPr>
                <w:rFonts w:ascii="Times New Roman" w:hAnsi="Times New Roman"/>
                <w:sz w:val="22"/>
                <w:szCs w:val="22"/>
                <w:vertAlign w:val="subscript"/>
              </w:rPr>
              <w:t>iNj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F6E22E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Corrected Disconnection Component</w:t>
            </w:r>
          </w:p>
        </w:tc>
      </w:tr>
      <w:tr w:rsidR="0099110B" w:rsidRPr="00630129" w14:paraId="2485E7DC"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2C77D47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DDDPC</w:t>
            </w:r>
            <w:r w:rsidRPr="00630129">
              <w:rPr>
                <w:rFonts w:ascii="Times New Roman" w:hAnsi="Times New Roman"/>
                <w:sz w:val="22"/>
                <w:szCs w:val="22"/>
                <w:vertAlign w:val="subscript"/>
              </w:rPr>
              <w:t>HPKRT</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C1F36C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Demand Disconnection Daily Profile Coefficient</w:t>
            </w:r>
          </w:p>
        </w:tc>
      </w:tr>
      <w:tr w:rsidR="0099110B" w:rsidRPr="00630129" w14:paraId="7F37B915" w14:textId="77777777" w:rsidTr="00F248AA">
        <w:trPr>
          <w:cantSplit/>
        </w:trPr>
        <w:tc>
          <w:tcPr>
            <w:tcW w:w="1500" w:type="pct"/>
            <w:tcMar>
              <w:top w:w="57" w:type="dxa"/>
              <w:left w:w="85" w:type="dxa"/>
              <w:bottom w:w="85" w:type="dxa"/>
              <w:right w:w="85" w:type="dxa"/>
            </w:tcMar>
          </w:tcPr>
          <w:p w14:paraId="401C9BC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DEM</w:t>
            </w:r>
            <w:r w:rsidRPr="00630129">
              <w:rPr>
                <w:rFonts w:ascii="Times New Roman" w:hAnsi="Times New Roman"/>
                <w:sz w:val="22"/>
                <w:szCs w:val="22"/>
                <w:vertAlign w:val="subscript"/>
              </w:rPr>
              <w:t>HZLPR</w:t>
            </w:r>
          </w:p>
        </w:tc>
        <w:tc>
          <w:tcPr>
            <w:tcW w:w="3500" w:type="pct"/>
            <w:tcMar>
              <w:top w:w="57" w:type="dxa"/>
              <w:left w:w="85" w:type="dxa"/>
              <w:bottom w:w="85" w:type="dxa"/>
              <w:right w:w="85" w:type="dxa"/>
            </w:tcMar>
          </w:tcPr>
          <w:p w14:paraId="24918F6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Default Estimated Annual Consumption For Metered Metering Systems</w:t>
            </w:r>
          </w:p>
        </w:tc>
      </w:tr>
      <w:tr w:rsidR="0099110B" w:rsidRPr="00630129" w14:paraId="325CEAB3" w14:textId="77777777" w:rsidTr="00F248AA">
        <w:trPr>
          <w:cantSplit/>
        </w:trPr>
        <w:tc>
          <w:tcPr>
            <w:tcW w:w="1500" w:type="pct"/>
            <w:tcMar>
              <w:top w:w="57" w:type="dxa"/>
              <w:left w:w="85" w:type="dxa"/>
              <w:bottom w:w="85" w:type="dxa"/>
              <w:right w:w="85" w:type="dxa"/>
            </w:tcMar>
          </w:tcPr>
          <w:p w14:paraId="17C46A32"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DEU</w:t>
            </w:r>
            <w:r w:rsidRPr="00630129">
              <w:rPr>
                <w:rFonts w:ascii="Times New Roman" w:hAnsi="Times New Roman"/>
                <w:sz w:val="22"/>
                <w:szCs w:val="22"/>
                <w:vertAlign w:val="subscript"/>
              </w:rPr>
              <w:t>HZLPR</w:t>
            </w:r>
          </w:p>
        </w:tc>
        <w:tc>
          <w:tcPr>
            <w:tcW w:w="3500" w:type="pct"/>
            <w:tcMar>
              <w:top w:w="57" w:type="dxa"/>
              <w:left w:w="85" w:type="dxa"/>
              <w:bottom w:w="85" w:type="dxa"/>
              <w:right w:w="85" w:type="dxa"/>
            </w:tcMar>
          </w:tcPr>
          <w:p w14:paraId="652AB489"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Default Estimated Annual Consumption For Unmetered Metering Systems</w:t>
            </w:r>
          </w:p>
        </w:tc>
      </w:tr>
      <w:tr w:rsidR="0099110B" w:rsidRPr="00630129" w14:paraId="5C820C04"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31A4A354"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D</w:t>
            </w:r>
            <w:r w:rsidRPr="00630129">
              <w:rPr>
                <w:rFonts w:ascii="Times New Roman" w:hAnsi="Times New Roman"/>
                <w:sz w:val="22"/>
                <w:szCs w:val="22"/>
                <w:vertAlign w:val="subscript"/>
              </w:rPr>
              <w:t>iNj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41AA03D"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Half Hourly Disconnection (Non Losses)</w:t>
            </w:r>
          </w:p>
        </w:tc>
      </w:tr>
      <w:tr w:rsidR="0099110B" w:rsidRPr="00630129" w14:paraId="6E9CA0EF"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413D6B7"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DLOSS</w:t>
            </w:r>
            <w:r w:rsidRPr="00630129">
              <w:rPr>
                <w:rFonts w:ascii="Times New Roman" w:hAnsi="Times New Roman"/>
                <w:sz w:val="22"/>
                <w:szCs w:val="22"/>
                <w:vertAlign w:val="subscript"/>
              </w:rPr>
              <w:t>iNj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820D51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Half Hourly Disconnection (Losses)</w:t>
            </w:r>
          </w:p>
        </w:tc>
      </w:tr>
      <w:tr w:rsidR="0099110B" w:rsidRPr="00630129" w14:paraId="1F76B10D" w14:textId="77777777" w:rsidTr="00F248AA">
        <w:trPr>
          <w:cantSplit/>
        </w:trPr>
        <w:tc>
          <w:tcPr>
            <w:tcW w:w="1500" w:type="pct"/>
            <w:tcMar>
              <w:top w:w="57" w:type="dxa"/>
              <w:left w:w="85" w:type="dxa"/>
              <w:bottom w:w="85" w:type="dxa"/>
              <w:right w:w="85" w:type="dxa"/>
            </w:tcMar>
          </w:tcPr>
          <w:p w14:paraId="09D6E424"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DMA</w:t>
            </w:r>
            <w:r w:rsidRPr="00630129">
              <w:rPr>
                <w:rFonts w:ascii="Times New Roman" w:hAnsi="Times New Roman"/>
                <w:sz w:val="22"/>
                <w:szCs w:val="22"/>
                <w:vertAlign w:val="subscript"/>
              </w:rPr>
              <w:t>KR</w:t>
            </w:r>
          </w:p>
        </w:tc>
        <w:tc>
          <w:tcPr>
            <w:tcW w:w="3500" w:type="pct"/>
            <w:tcMar>
              <w:top w:w="57" w:type="dxa"/>
              <w:left w:w="85" w:type="dxa"/>
              <w:bottom w:w="85" w:type="dxa"/>
              <w:right w:w="85" w:type="dxa"/>
            </w:tcMar>
          </w:tcPr>
          <w:p w14:paraId="13FB0189"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Deemed Meter Advance</w:t>
            </w:r>
          </w:p>
        </w:tc>
      </w:tr>
      <w:tr w:rsidR="0099110B" w:rsidRPr="00630129" w14:paraId="4E081FF2" w14:textId="77777777" w:rsidTr="00F248AA">
        <w:trPr>
          <w:cantSplit/>
        </w:trPr>
        <w:tc>
          <w:tcPr>
            <w:tcW w:w="1500" w:type="pct"/>
            <w:tcMar>
              <w:top w:w="57" w:type="dxa"/>
              <w:left w:w="85" w:type="dxa"/>
              <w:bottom w:w="85" w:type="dxa"/>
              <w:right w:w="85" w:type="dxa"/>
            </w:tcMar>
          </w:tcPr>
          <w:p w14:paraId="2772EFC1"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DPC</w:t>
            </w:r>
            <w:r w:rsidRPr="00630129">
              <w:rPr>
                <w:rFonts w:ascii="Times New Roman" w:hAnsi="Times New Roman"/>
                <w:sz w:val="22"/>
                <w:szCs w:val="22"/>
                <w:vertAlign w:val="subscript"/>
              </w:rPr>
              <w:t>HPRT</w:t>
            </w:r>
          </w:p>
        </w:tc>
        <w:tc>
          <w:tcPr>
            <w:tcW w:w="3500" w:type="pct"/>
            <w:tcMar>
              <w:top w:w="57" w:type="dxa"/>
              <w:left w:w="85" w:type="dxa"/>
              <w:bottom w:w="85" w:type="dxa"/>
              <w:right w:w="85" w:type="dxa"/>
            </w:tcMar>
          </w:tcPr>
          <w:p w14:paraId="7F64832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Daily Profile Coefficient</w:t>
            </w:r>
          </w:p>
        </w:tc>
      </w:tr>
      <w:tr w:rsidR="0099110B" w:rsidRPr="00630129" w14:paraId="78F0F369" w14:textId="77777777" w:rsidTr="00F248AA">
        <w:trPr>
          <w:cantSplit/>
        </w:trPr>
        <w:tc>
          <w:tcPr>
            <w:tcW w:w="1500" w:type="pct"/>
            <w:tcMar>
              <w:top w:w="57" w:type="dxa"/>
              <w:left w:w="85" w:type="dxa"/>
              <w:bottom w:w="85" w:type="dxa"/>
              <w:right w:w="85" w:type="dxa"/>
            </w:tcMar>
          </w:tcPr>
          <w:p w14:paraId="28BE6A5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DPC</w:t>
            </w:r>
            <w:r w:rsidRPr="00630129">
              <w:rPr>
                <w:rFonts w:ascii="Times New Roman" w:hAnsi="Times New Roman"/>
                <w:sz w:val="22"/>
                <w:szCs w:val="22"/>
                <w:vertAlign w:val="subscript"/>
              </w:rPr>
              <w:t>HPRT</w:t>
            </w:r>
          </w:p>
        </w:tc>
        <w:tc>
          <w:tcPr>
            <w:tcW w:w="3500" w:type="pct"/>
            <w:tcMar>
              <w:top w:w="57" w:type="dxa"/>
              <w:left w:w="85" w:type="dxa"/>
              <w:bottom w:w="85" w:type="dxa"/>
              <w:right w:w="85" w:type="dxa"/>
            </w:tcMar>
          </w:tcPr>
          <w:p w14:paraId="2C028D3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Historical Daily Profile Coefficient</w:t>
            </w:r>
          </w:p>
        </w:tc>
      </w:tr>
      <w:tr w:rsidR="0099110B" w:rsidRPr="00630129" w14:paraId="5BF8B7B4" w14:textId="77777777" w:rsidTr="00F248AA">
        <w:trPr>
          <w:cantSplit/>
        </w:trPr>
        <w:tc>
          <w:tcPr>
            <w:tcW w:w="1500" w:type="pct"/>
            <w:tcMar>
              <w:top w:w="57" w:type="dxa"/>
              <w:left w:w="85" w:type="dxa"/>
              <w:bottom w:w="85" w:type="dxa"/>
              <w:right w:w="85" w:type="dxa"/>
            </w:tcMar>
          </w:tcPr>
          <w:p w14:paraId="4EB7015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EAC</w:t>
            </w:r>
            <w:r w:rsidRPr="00630129">
              <w:rPr>
                <w:rFonts w:ascii="Times New Roman" w:hAnsi="Times New Roman"/>
                <w:sz w:val="22"/>
                <w:szCs w:val="22"/>
                <w:vertAlign w:val="subscript"/>
              </w:rPr>
              <w:t>KR</w:t>
            </w:r>
          </w:p>
        </w:tc>
        <w:tc>
          <w:tcPr>
            <w:tcW w:w="3500" w:type="pct"/>
            <w:tcMar>
              <w:top w:w="57" w:type="dxa"/>
              <w:left w:w="85" w:type="dxa"/>
              <w:bottom w:w="85" w:type="dxa"/>
              <w:right w:w="85" w:type="dxa"/>
            </w:tcMar>
          </w:tcPr>
          <w:p w14:paraId="5DBAA27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Estimated Annual Consumption</w:t>
            </w:r>
          </w:p>
        </w:tc>
      </w:tr>
      <w:tr w:rsidR="0099110B" w:rsidRPr="00630129" w14:paraId="5FF45BEC" w14:textId="77777777" w:rsidTr="00F248AA">
        <w:trPr>
          <w:cantSplit/>
        </w:trPr>
        <w:tc>
          <w:tcPr>
            <w:tcW w:w="1500" w:type="pct"/>
            <w:tcMar>
              <w:top w:w="57" w:type="dxa"/>
              <w:left w:w="85" w:type="dxa"/>
              <w:bottom w:w="85" w:type="dxa"/>
              <w:right w:w="85" w:type="dxa"/>
            </w:tcMar>
          </w:tcPr>
          <w:p w14:paraId="6FAC5ED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FYC</w:t>
            </w:r>
            <w:r w:rsidRPr="00630129">
              <w:rPr>
                <w:rFonts w:ascii="Times New Roman" w:hAnsi="Times New Roman"/>
                <w:sz w:val="22"/>
                <w:szCs w:val="22"/>
                <w:vertAlign w:val="subscript"/>
              </w:rPr>
              <w:t>KR</w:t>
            </w:r>
          </w:p>
        </w:tc>
        <w:tc>
          <w:tcPr>
            <w:tcW w:w="3500" w:type="pct"/>
            <w:tcMar>
              <w:top w:w="57" w:type="dxa"/>
              <w:left w:w="85" w:type="dxa"/>
              <w:bottom w:w="85" w:type="dxa"/>
              <w:right w:w="85" w:type="dxa"/>
            </w:tcMar>
          </w:tcPr>
          <w:p w14:paraId="42C0226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Fraction Of Yearly Consumption</w:t>
            </w:r>
          </w:p>
        </w:tc>
      </w:tr>
      <w:tr w:rsidR="0099110B" w:rsidRPr="00630129" w14:paraId="391BBADB" w14:textId="77777777" w:rsidTr="00F248AA">
        <w:trPr>
          <w:cantSplit/>
        </w:trPr>
        <w:tc>
          <w:tcPr>
            <w:tcW w:w="1500" w:type="pct"/>
            <w:tcMar>
              <w:top w:w="57" w:type="dxa"/>
              <w:left w:w="85" w:type="dxa"/>
              <w:bottom w:w="85" w:type="dxa"/>
              <w:right w:w="85" w:type="dxa"/>
            </w:tcMar>
          </w:tcPr>
          <w:p w14:paraId="3C7767C4"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GAAC</w:t>
            </w:r>
            <w:r w:rsidRPr="00630129">
              <w:rPr>
                <w:rFonts w:ascii="Times New Roman" w:hAnsi="Times New Roman"/>
                <w:sz w:val="22"/>
                <w:szCs w:val="22"/>
                <w:vertAlign w:val="subscript"/>
              </w:rPr>
              <w:t>HQ</w:t>
            </w:r>
          </w:p>
        </w:tc>
        <w:tc>
          <w:tcPr>
            <w:tcW w:w="3500" w:type="pct"/>
            <w:tcMar>
              <w:top w:w="57" w:type="dxa"/>
              <w:left w:w="85" w:type="dxa"/>
              <w:bottom w:w="85" w:type="dxa"/>
              <w:right w:w="85" w:type="dxa"/>
            </w:tcMar>
          </w:tcPr>
          <w:p w14:paraId="4BD4ADC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Group Average Annual Consumption</w:t>
            </w:r>
          </w:p>
        </w:tc>
      </w:tr>
      <w:tr w:rsidR="0099110B" w:rsidRPr="00630129" w14:paraId="037C06CD" w14:textId="77777777" w:rsidTr="00F248AA">
        <w:trPr>
          <w:cantSplit/>
        </w:trPr>
        <w:tc>
          <w:tcPr>
            <w:tcW w:w="1500" w:type="pct"/>
            <w:tcMar>
              <w:top w:w="57" w:type="dxa"/>
              <w:left w:w="85" w:type="dxa"/>
              <w:bottom w:w="85" w:type="dxa"/>
              <w:right w:w="85" w:type="dxa"/>
            </w:tcMar>
          </w:tcPr>
          <w:p w14:paraId="77DC3E4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GC</w:t>
            </w:r>
            <w:r w:rsidRPr="00630129">
              <w:rPr>
                <w:rFonts w:ascii="Times New Roman" w:hAnsi="Times New Roman"/>
                <w:sz w:val="22"/>
                <w:szCs w:val="22"/>
                <w:vertAlign w:val="subscript"/>
              </w:rPr>
              <w:t>HNj</w:t>
            </w:r>
            <w:proofErr w:type="spellEnd"/>
          </w:p>
        </w:tc>
        <w:tc>
          <w:tcPr>
            <w:tcW w:w="3500" w:type="pct"/>
            <w:tcMar>
              <w:top w:w="57" w:type="dxa"/>
              <w:left w:w="85" w:type="dxa"/>
              <w:bottom w:w="85" w:type="dxa"/>
              <w:right w:w="85" w:type="dxa"/>
            </w:tcMar>
          </w:tcPr>
          <w:p w14:paraId="574EC22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GSP Group Half Hourly Consumption</w:t>
            </w:r>
          </w:p>
        </w:tc>
      </w:tr>
      <w:tr w:rsidR="0099110B" w:rsidRPr="00630129" w14:paraId="1E0F77B8" w14:textId="77777777" w:rsidTr="00F248AA">
        <w:trPr>
          <w:cantSplit/>
        </w:trPr>
        <w:tc>
          <w:tcPr>
            <w:tcW w:w="1500" w:type="pct"/>
            <w:tcMar>
              <w:top w:w="57" w:type="dxa"/>
              <w:left w:w="85" w:type="dxa"/>
              <w:bottom w:w="85" w:type="dxa"/>
              <w:right w:w="85" w:type="dxa"/>
            </w:tcMar>
          </w:tcPr>
          <w:p w14:paraId="481DA0C4"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GGPCAEAC</w:t>
            </w:r>
            <w:r w:rsidRPr="00630129">
              <w:rPr>
                <w:rFonts w:ascii="Times New Roman" w:hAnsi="Times New Roman"/>
                <w:sz w:val="22"/>
                <w:szCs w:val="22"/>
                <w:vertAlign w:val="subscript"/>
              </w:rPr>
              <w:t>HPC</w:t>
            </w:r>
          </w:p>
        </w:tc>
        <w:tc>
          <w:tcPr>
            <w:tcW w:w="3500" w:type="pct"/>
            <w:tcMar>
              <w:top w:w="57" w:type="dxa"/>
              <w:left w:w="85" w:type="dxa"/>
              <w:bottom w:w="85" w:type="dxa"/>
              <w:right w:w="85" w:type="dxa"/>
            </w:tcMar>
          </w:tcPr>
          <w:p w14:paraId="33AD652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GSP Group Profile Class Average Estimated Annual Consumption</w:t>
            </w:r>
          </w:p>
        </w:tc>
      </w:tr>
      <w:tr w:rsidR="0099110B" w:rsidRPr="00630129" w14:paraId="7055B774" w14:textId="77777777" w:rsidTr="00F248AA">
        <w:trPr>
          <w:cantSplit/>
        </w:trPr>
        <w:tc>
          <w:tcPr>
            <w:tcW w:w="1500" w:type="pct"/>
            <w:tcMar>
              <w:top w:w="57" w:type="dxa"/>
              <w:left w:w="85" w:type="dxa"/>
              <w:bottom w:w="85" w:type="dxa"/>
              <w:right w:w="85" w:type="dxa"/>
            </w:tcMar>
          </w:tcPr>
          <w:p w14:paraId="527097C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GGPCDEAC</w:t>
            </w:r>
            <w:r w:rsidRPr="00630129">
              <w:rPr>
                <w:rFonts w:ascii="Times New Roman" w:hAnsi="Times New Roman"/>
                <w:sz w:val="22"/>
                <w:szCs w:val="22"/>
                <w:vertAlign w:val="subscript"/>
              </w:rPr>
              <w:t>HP</w:t>
            </w:r>
          </w:p>
        </w:tc>
        <w:tc>
          <w:tcPr>
            <w:tcW w:w="3500" w:type="pct"/>
            <w:tcMar>
              <w:top w:w="57" w:type="dxa"/>
              <w:left w:w="85" w:type="dxa"/>
              <w:bottom w:w="85" w:type="dxa"/>
              <w:right w:w="85" w:type="dxa"/>
            </w:tcMar>
          </w:tcPr>
          <w:p w14:paraId="447C51A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GSP Group Profile Class Default Estimated Annual Consumption</w:t>
            </w:r>
          </w:p>
        </w:tc>
      </w:tr>
      <w:tr w:rsidR="0099110B" w:rsidRPr="00630129" w14:paraId="5E0E4DD9"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236BCF09"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HDD</w:t>
            </w:r>
            <w:r w:rsidRPr="00630129">
              <w:rPr>
                <w:rFonts w:ascii="Times New Roman" w:hAnsi="Times New Roman"/>
                <w:sz w:val="22"/>
                <w:szCs w:val="22"/>
                <w:vertAlign w:val="subscript"/>
              </w:rPr>
              <w:t>Kj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79F24357"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Half Hourly Demand Disconnection Volume</w:t>
            </w:r>
          </w:p>
        </w:tc>
      </w:tr>
      <w:tr w:rsidR="0099110B" w:rsidRPr="00630129" w14:paraId="00D56821" w14:textId="77777777" w:rsidTr="00F248AA">
        <w:trPr>
          <w:cantSplit/>
        </w:trPr>
        <w:tc>
          <w:tcPr>
            <w:tcW w:w="1500" w:type="pct"/>
            <w:tcMar>
              <w:top w:w="57" w:type="dxa"/>
              <w:left w:w="85" w:type="dxa"/>
              <w:bottom w:w="85" w:type="dxa"/>
              <w:right w:w="85" w:type="dxa"/>
            </w:tcMar>
          </w:tcPr>
          <w:p w14:paraId="65CD77BD"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H</w:t>
            </w:r>
            <w:r w:rsidRPr="00630129">
              <w:rPr>
                <w:rFonts w:ascii="Times New Roman" w:hAnsi="Times New Roman"/>
                <w:sz w:val="22"/>
                <w:szCs w:val="22"/>
                <w:vertAlign w:val="subscript"/>
              </w:rPr>
              <w:t>HPC</w:t>
            </w:r>
          </w:p>
        </w:tc>
        <w:tc>
          <w:tcPr>
            <w:tcW w:w="3500" w:type="pct"/>
            <w:tcMar>
              <w:top w:w="57" w:type="dxa"/>
              <w:left w:w="85" w:type="dxa"/>
              <w:bottom w:w="85" w:type="dxa"/>
              <w:right w:w="85" w:type="dxa"/>
            </w:tcMar>
          </w:tcPr>
          <w:p w14:paraId="16777BC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Low Fraction Consumption</w:t>
            </w:r>
          </w:p>
        </w:tc>
      </w:tr>
      <w:tr w:rsidR="0099110B" w:rsidRPr="00630129" w14:paraId="36B856B3"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60868B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ITAAD</w:t>
            </w:r>
            <w:r w:rsidRPr="00630129">
              <w:rPr>
                <w:rFonts w:ascii="Times New Roman" w:hAnsi="Times New Roman"/>
                <w:sz w:val="22"/>
                <w:szCs w:val="22"/>
                <w:vertAlign w:val="subscript"/>
              </w:rPr>
              <w:t>HZLPR</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BA7280D"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Initial Total Annualised Advance (Disconnected)</w:t>
            </w:r>
          </w:p>
        </w:tc>
      </w:tr>
      <w:tr w:rsidR="0099110B" w:rsidRPr="00630129" w14:paraId="43631B3F" w14:textId="77777777" w:rsidTr="00F248AA">
        <w:trPr>
          <w:cantSplit/>
        </w:trPr>
        <w:tc>
          <w:tcPr>
            <w:tcW w:w="1500" w:type="pct"/>
            <w:tcMar>
              <w:top w:w="57" w:type="dxa"/>
              <w:left w:w="85" w:type="dxa"/>
              <w:bottom w:w="85" w:type="dxa"/>
              <w:right w:w="85" w:type="dxa"/>
            </w:tcMar>
          </w:tcPr>
          <w:p w14:paraId="58E2D64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K1</w:t>
            </w:r>
            <w:r w:rsidRPr="00630129">
              <w:rPr>
                <w:rFonts w:ascii="Times New Roman" w:hAnsi="Times New Roman"/>
                <w:sz w:val="22"/>
                <w:szCs w:val="22"/>
                <w:vertAlign w:val="subscript"/>
              </w:rPr>
              <w:t>HPC</w:t>
            </w:r>
          </w:p>
        </w:tc>
        <w:tc>
          <w:tcPr>
            <w:tcW w:w="3500" w:type="pct"/>
            <w:tcMar>
              <w:top w:w="57" w:type="dxa"/>
              <w:left w:w="85" w:type="dxa"/>
              <w:bottom w:w="85" w:type="dxa"/>
              <w:right w:w="85" w:type="dxa"/>
            </w:tcMar>
          </w:tcPr>
          <w:p w14:paraId="11429BE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
        </w:tc>
      </w:tr>
      <w:tr w:rsidR="0099110B" w:rsidRPr="00630129" w14:paraId="06F48D43" w14:textId="77777777" w:rsidTr="00F248AA">
        <w:trPr>
          <w:cantSplit/>
        </w:trPr>
        <w:tc>
          <w:tcPr>
            <w:tcW w:w="1500" w:type="pct"/>
            <w:tcMar>
              <w:top w:w="57" w:type="dxa"/>
              <w:left w:w="85" w:type="dxa"/>
              <w:bottom w:w="85" w:type="dxa"/>
              <w:right w:w="85" w:type="dxa"/>
            </w:tcMar>
          </w:tcPr>
          <w:p w14:paraId="4C191A2D"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K2</w:t>
            </w:r>
            <w:r w:rsidRPr="00630129">
              <w:rPr>
                <w:rFonts w:ascii="Times New Roman" w:hAnsi="Times New Roman"/>
                <w:sz w:val="22"/>
                <w:szCs w:val="22"/>
                <w:vertAlign w:val="subscript"/>
              </w:rPr>
              <w:t>HPC</w:t>
            </w:r>
          </w:p>
        </w:tc>
        <w:tc>
          <w:tcPr>
            <w:tcW w:w="3500" w:type="pct"/>
            <w:tcMar>
              <w:top w:w="57" w:type="dxa"/>
              <w:left w:w="85" w:type="dxa"/>
              <w:bottom w:w="85" w:type="dxa"/>
              <w:right w:w="85" w:type="dxa"/>
            </w:tcMar>
          </w:tcPr>
          <w:p w14:paraId="7A0E0577"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
        </w:tc>
      </w:tr>
      <w:tr w:rsidR="0099110B" w:rsidRPr="00630129" w14:paraId="169559AF" w14:textId="77777777" w:rsidTr="00F248AA">
        <w:trPr>
          <w:cantSplit/>
        </w:trPr>
        <w:tc>
          <w:tcPr>
            <w:tcW w:w="1500" w:type="pct"/>
            <w:tcMar>
              <w:top w:w="57" w:type="dxa"/>
              <w:left w:w="85" w:type="dxa"/>
              <w:bottom w:w="85" w:type="dxa"/>
              <w:right w:w="85" w:type="dxa"/>
            </w:tcMar>
          </w:tcPr>
          <w:p w14:paraId="6EDBED86"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LLF</w:t>
            </w:r>
            <w:r w:rsidRPr="00630129">
              <w:rPr>
                <w:rFonts w:ascii="Times New Roman" w:hAnsi="Times New Roman"/>
                <w:sz w:val="22"/>
                <w:szCs w:val="22"/>
                <w:vertAlign w:val="subscript"/>
              </w:rPr>
              <w:t>Lj</w:t>
            </w:r>
            <w:proofErr w:type="spellEnd"/>
          </w:p>
        </w:tc>
        <w:tc>
          <w:tcPr>
            <w:tcW w:w="3500" w:type="pct"/>
            <w:tcMar>
              <w:top w:w="57" w:type="dxa"/>
              <w:left w:w="85" w:type="dxa"/>
              <w:bottom w:w="85" w:type="dxa"/>
              <w:right w:w="85" w:type="dxa"/>
            </w:tcMar>
          </w:tcPr>
          <w:p w14:paraId="063411A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Line Loss Factor</w:t>
            </w:r>
          </w:p>
        </w:tc>
      </w:tr>
      <w:tr w:rsidR="0099110B" w:rsidRPr="00630129" w14:paraId="505F2893" w14:textId="77777777" w:rsidTr="00F248AA">
        <w:trPr>
          <w:cantSplit/>
        </w:trPr>
        <w:tc>
          <w:tcPr>
            <w:tcW w:w="1500" w:type="pct"/>
            <w:tcMar>
              <w:top w:w="57" w:type="dxa"/>
              <w:left w:w="85" w:type="dxa"/>
              <w:bottom w:w="85" w:type="dxa"/>
              <w:right w:w="85" w:type="dxa"/>
            </w:tcMar>
          </w:tcPr>
          <w:p w14:paraId="7A9E3C47"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LOWF</w:t>
            </w:r>
            <w:r w:rsidRPr="00630129">
              <w:rPr>
                <w:rFonts w:ascii="Times New Roman" w:hAnsi="Times New Roman"/>
                <w:sz w:val="22"/>
                <w:szCs w:val="22"/>
                <w:vertAlign w:val="subscript"/>
              </w:rPr>
              <w:t>HPC</w:t>
            </w:r>
          </w:p>
        </w:tc>
        <w:tc>
          <w:tcPr>
            <w:tcW w:w="3500" w:type="pct"/>
            <w:tcMar>
              <w:top w:w="57" w:type="dxa"/>
              <w:left w:w="85" w:type="dxa"/>
              <w:bottom w:w="85" w:type="dxa"/>
              <w:right w:w="85" w:type="dxa"/>
            </w:tcMar>
          </w:tcPr>
          <w:p w14:paraId="237B685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 xml:space="preserve">Low Fraction </w:t>
            </w:r>
          </w:p>
        </w:tc>
      </w:tr>
      <w:tr w:rsidR="0099110B" w:rsidRPr="00630129" w14:paraId="08C0D786" w14:textId="77777777" w:rsidTr="00F248AA">
        <w:trPr>
          <w:cantSplit/>
        </w:trPr>
        <w:tc>
          <w:tcPr>
            <w:tcW w:w="1500" w:type="pct"/>
            <w:tcMar>
              <w:top w:w="57" w:type="dxa"/>
              <w:left w:w="85" w:type="dxa"/>
              <w:bottom w:w="85" w:type="dxa"/>
              <w:right w:w="85" w:type="dxa"/>
            </w:tcMar>
          </w:tcPr>
          <w:p w14:paraId="6DA46E1C" w14:textId="77777777" w:rsidR="0099110B" w:rsidRPr="00630129" w:rsidRDefault="0099110B" w:rsidP="0099110B">
            <w:pPr>
              <w:jc w:val="both"/>
              <w:rPr>
                <w:sz w:val="22"/>
                <w:szCs w:val="22"/>
              </w:rPr>
            </w:pPr>
            <w:proofErr w:type="spellStart"/>
            <w:r w:rsidRPr="00630129">
              <w:rPr>
                <w:sz w:val="22"/>
                <w:szCs w:val="22"/>
              </w:rPr>
              <w:t>LRPC</w:t>
            </w:r>
            <w:r w:rsidRPr="00630129">
              <w:rPr>
                <w:sz w:val="22"/>
                <w:szCs w:val="22"/>
                <w:vertAlign w:val="subscript"/>
              </w:rPr>
              <w:t>HPCj</w:t>
            </w:r>
            <w:proofErr w:type="spellEnd"/>
          </w:p>
        </w:tc>
        <w:tc>
          <w:tcPr>
            <w:tcW w:w="3500" w:type="pct"/>
            <w:tcMar>
              <w:top w:w="57" w:type="dxa"/>
              <w:left w:w="85" w:type="dxa"/>
              <w:bottom w:w="85" w:type="dxa"/>
              <w:right w:w="85" w:type="dxa"/>
            </w:tcMar>
          </w:tcPr>
          <w:p w14:paraId="582118CA" w14:textId="77777777" w:rsidR="0099110B" w:rsidRPr="00630129" w:rsidRDefault="0099110B" w:rsidP="0099110B">
            <w:pPr>
              <w:jc w:val="both"/>
              <w:rPr>
                <w:sz w:val="22"/>
                <w:szCs w:val="22"/>
              </w:rPr>
            </w:pPr>
            <w:r w:rsidRPr="00630129">
              <w:rPr>
                <w:sz w:val="22"/>
                <w:szCs w:val="22"/>
              </w:rPr>
              <w:t>Low Register Profile Coefficient</w:t>
            </w:r>
          </w:p>
        </w:tc>
      </w:tr>
      <w:tr w:rsidR="0099110B" w:rsidRPr="00630129" w14:paraId="47423886" w14:textId="77777777" w:rsidTr="00F248AA">
        <w:trPr>
          <w:cantSplit/>
        </w:trPr>
        <w:tc>
          <w:tcPr>
            <w:tcW w:w="1500" w:type="pct"/>
            <w:tcMar>
              <w:top w:w="57" w:type="dxa"/>
              <w:left w:w="85" w:type="dxa"/>
              <w:bottom w:w="85" w:type="dxa"/>
              <w:right w:w="85" w:type="dxa"/>
            </w:tcMar>
          </w:tcPr>
          <w:p w14:paraId="6918F6D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MADV</w:t>
            </w:r>
            <w:r w:rsidRPr="00630129">
              <w:rPr>
                <w:rFonts w:ascii="Times New Roman" w:hAnsi="Times New Roman"/>
                <w:sz w:val="22"/>
                <w:szCs w:val="22"/>
                <w:vertAlign w:val="subscript"/>
              </w:rPr>
              <w:t>KR</w:t>
            </w:r>
          </w:p>
        </w:tc>
        <w:tc>
          <w:tcPr>
            <w:tcW w:w="3500" w:type="pct"/>
            <w:tcMar>
              <w:top w:w="57" w:type="dxa"/>
              <w:left w:w="85" w:type="dxa"/>
              <w:bottom w:w="85" w:type="dxa"/>
              <w:right w:w="85" w:type="dxa"/>
            </w:tcMar>
          </w:tcPr>
          <w:p w14:paraId="7DC34530"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Meter Advance</w:t>
            </w:r>
          </w:p>
        </w:tc>
      </w:tr>
      <w:tr w:rsidR="0099110B" w:rsidRPr="00630129" w14:paraId="5E765D6E" w14:textId="77777777" w:rsidTr="00F248AA">
        <w:trPr>
          <w:cantSplit/>
        </w:trPr>
        <w:tc>
          <w:tcPr>
            <w:tcW w:w="1500" w:type="pct"/>
            <w:tcMar>
              <w:top w:w="57" w:type="dxa"/>
              <w:left w:w="85" w:type="dxa"/>
              <w:bottom w:w="85" w:type="dxa"/>
              <w:right w:w="85" w:type="dxa"/>
            </w:tcMar>
          </w:tcPr>
          <w:p w14:paraId="527F50B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MAP</w:t>
            </w:r>
          </w:p>
        </w:tc>
        <w:tc>
          <w:tcPr>
            <w:tcW w:w="3500" w:type="pct"/>
            <w:tcMar>
              <w:top w:w="57" w:type="dxa"/>
              <w:left w:w="85" w:type="dxa"/>
              <w:bottom w:w="85" w:type="dxa"/>
              <w:right w:w="85" w:type="dxa"/>
            </w:tcMar>
          </w:tcPr>
          <w:p w14:paraId="79481C66"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Meter Advance Period</w:t>
            </w:r>
          </w:p>
        </w:tc>
      </w:tr>
      <w:tr w:rsidR="0099110B" w:rsidRPr="00630129" w14:paraId="4CF9DF4D"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7DEB1FD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MED</w:t>
            </w:r>
            <w:r w:rsidRPr="00630129">
              <w:rPr>
                <w:rFonts w:ascii="Times New Roman" w:hAnsi="Times New Roman"/>
                <w:sz w:val="22"/>
                <w:szCs w:val="22"/>
                <w:vertAlign w:val="subscript"/>
              </w:rPr>
              <w:t>HZLPR</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031AE56"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Total Estimated Annual Consumption For Non Half Hourly Metered Metering Systems (Disconnected)</w:t>
            </w:r>
          </w:p>
        </w:tc>
      </w:tr>
      <w:tr w:rsidR="0099110B" w:rsidRPr="00630129" w14:paraId="0C93AD7C"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28F86072"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M</w:t>
            </w:r>
            <w:r w:rsidRPr="00630129">
              <w:rPr>
                <w:rFonts w:ascii="Times New Roman" w:hAnsi="Times New Roman"/>
                <w:sz w:val="22"/>
                <w:szCs w:val="22"/>
                <w:vertAlign w:val="subscript"/>
              </w:rPr>
              <w:t>Kj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B98B63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Metering System Period Disconnection Duration</w:t>
            </w:r>
          </w:p>
        </w:tc>
      </w:tr>
      <w:tr w:rsidR="0099110B" w:rsidRPr="00630129" w14:paraId="5E3FAC85"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8731C6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lastRenderedPageBreak/>
              <w:t>MPDV</w:t>
            </w:r>
            <w:r w:rsidRPr="00630129">
              <w:rPr>
                <w:rFonts w:ascii="Times New Roman" w:hAnsi="Times New Roman"/>
                <w:sz w:val="22"/>
                <w:szCs w:val="22"/>
                <w:vertAlign w:val="subscript"/>
              </w:rPr>
              <w:t>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3166C26"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MSID Pair Delivered Volume</w:t>
            </w:r>
          </w:p>
        </w:tc>
      </w:tr>
      <w:tr w:rsidR="0099110B" w:rsidRPr="00630129" w14:paraId="207AA06C" w14:textId="77777777" w:rsidTr="00F248AA">
        <w:trPr>
          <w:cantSplit/>
        </w:trPr>
        <w:tc>
          <w:tcPr>
            <w:tcW w:w="1500" w:type="pct"/>
            <w:tcMar>
              <w:top w:w="57" w:type="dxa"/>
              <w:left w:w="85" w:type="dxa"/>
              <w:bottom w:w="85" w:type="dxa"/>
              <w:right w:w="85" w:type="dxa"/>
            </w:tcMar>
          </w:tcPr>
          <w:p w14:paraId="4BCA456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MRC</w:t>
            </w:r>
            <w:r w:rsidRPr="00630129">
              <w:rPr>
                <w:rFonts w:ascii="Times New Roman" w:hAnsi="Times New Roman"/>
                <w:sz w:val="22"/>
                <w:szCs w:val="22"/>
                <w:vertAlign w:val="subscript"/>
              </w:rPr>
              <w:t>Q(aa)(</w:t>
            </w:r>
            <w:proofErr w:type="spellStart"/>
            <w:r w:rsidRPr="00630129">
              <w:rPr>
                <w:rFonts w:ascii="Times New Roman" w:hAnsi="Times New Roman"/>
                <w:sz w:val="22"/>
                <w:szCs w:val="22"/>
                <w:vertAlign w:val="subscript"/>
              </w:rPr>
              <w:t>nn</w:t>
            </w:r>
            <w:proofErr w:type="spellEnd"/>
            <w:r w:rsidRPr="00630129">
              <w:rPr>
                <w:rFonts w:ascii="Times New Roman" w:hAnsi="Times New Roman"/>
                <w:sz w:val="22"/>
                <w:szCs w:val="22"/>
                <w:vertAlign w:val="subscript"/>
              </w:rPr>
              <w:t>)j</w:t>
            </w:r>
          </w:p>
        </w:tc>
        <w:tc>
          <w:tcPr>
            <w:tcW w:w="3500" w:type="pct"/>
            <w:tcMar>
              <w:top w:w="57" w:type="dxa"/>
              <w:left w:w="85" w:type="dxa"/>
              <w:bottom w:w="85" w:type="dxa"/>
              <w:right w:w="85" w:type="dxa"/>
            </w:tcMar>
          </w:tcPr>
          <w:p w14:paraId="29D66202"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Matrix Of Regression Coefficients</w:t>
            </w:r>
          </w:p>
        </w:tc>
      </w:tr>
      <w:tr w:rsidR="0099110B" w:rsidRPr="00630129" w14:paraId="5BA4DF72" w14:textId="77777777" w:rsidTr="00F248AA">
        <w:trPr>
          <w:cantSplit/>
        </w:trPr>
        <w:tc>
          <w:tcPr>
            <w:tcW w:w="1500" w:type="pct"/>
            <w:tcMar>
              <w:top w:w="57" w:type="dxa"/>
              <w:left w:w="85" w:type="dxa"/>
              <w:bottom w:w="85" w:type="dxa"/>
              <w:right w:w="85" w:type="dxa"/>
            </w:tcMar>
          </w:tcPr>
          <w:p w14:paraId="1B6923D5" w14:textId="77777777" w:rsidR="0099110B" w:rsidRPr="00FA6F10"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FC0D03">
              <w:rPr>
                <w:rFonts w:ascii="Times New Roman" w:hAnsi="Times New Roman"/>
                <w:sz w:val="22"/>
              </w:rPr>
              <w:t>MSABSVDL</w:t>
            </w:r>
            <w:r w:rsidRPr="00FC0D03">
              <w:rPr>
                <w:rFonts w:ascii="Times New Roman" w:hAnsi="Times New Roman"/>
                <w:sz w:val="22"/>
                <w:vertAlign w:val="subscript"/>
              </w:rPr>
              <w:t>HZLKj</w:t>
            </w:r>
            <w:proofErr w:type="spellEnd"/>
          </w:p>
        </w:tc>
        <w:tc>
          <w:tcPr>
            <w:tcW w:w="3500" w:type="pct"/>
            <w:tcMar>
              <w:top w:w="57" w:type="dxa"/>
              <w:left w:w="85" w:type="dxa"/>
              <w:bottom w:w="85" w:type="dxa"/>
              <w:right w:w="85" w:type="dxa"/>
            </w:tcMar>
          </w:tcPr>
          <w:p w14:paraId="2B9058A1" w14:textId="77777777" w:rsidR="0099110B" w:rsidRPr="00FA6F10"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FC0D03">
              <w:rPr>
                <w:rFonts w:ascii="Times New Roman" w:hAnsi="Times New Roman"/>
                <w:sz w:val="22"/>
              </w:rPr>
              <w:t>MSID ABSVD (Losses)</w:t>
            </w:r>
          </w:p>
        </w:tc>
      </w:tr>
      <w:tr w:rsidR="0099110B" w:rsidRPr="00630129" w14:paraId="69D4A424" w14:textId="77777777" w:rsidTr="00F248AA">
        <w:trPr>
          <w:cantSplit/>
        </w:trPr>
        <w:tc>
          <w:tcPr>
            <w:tcW w:w="1500" w:type="pct"/>
            <w:tcMar>
              <w:top w:w="57" w:type="dxa"/>
              <w:left w:w="85" w:type="dxa"/>
              <w:bottom w:w="85" w:type="dxa"/>
              <w:right w:w="85" w:type="dxa"/>
            </w:tcMar>
          </w:tcPr>
          <w:p w14:paraId="5F1CF2C7" w14:textId="77777777" w:rsidR="0099110B" w:rsidRPr="00B27D7B"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B81AA4">
              <w:rPr>
                <w:rFonts w:ascii="Times New Roman" w:hAnsi="Times New Roman"/>
                <w:sz w:val="22"/>
                <w:szCs w:val="22"/>
              </w:rPr>
              <w:t>MSABSVD</w:t>
            </w:r>
            <w:r w:rsidRPr="00B81AA4">
              <w:rPr>
                <w:rFonts w:ascii="Times New Roman" w:hAnsi="Times New Roman"/>
                <w:sz w:val="22"/>
                <w:szCs w:val="22"/>
                <w:vertAlign w:val="subscript"/>
              </w:rPr>
              <w:t>NKji</w:t>
            </w:r>
            <w:proofErr w:type="spellEnd"/>
          </w:p>
        </w:tc>
        <w:tc>
          <w:tcPr>
            <w:tcW w:w="3500" w:type="pct"/>
            <w:tcMar>
              <w:top w:w="57" w:type="dxa"/>
              <w:left w:w="85" w:type="dxa"/>
              <w:bottom w:w="85" w:type="dxa"/>
              <w:right w:w="85" w:type="dxa"/>
            </w:tcMar>
          </w:tcPr>
          <w:p w14:paraId="749A9861" w14:textId="77777777" w:rsidR="0099110B" w:rsidRPr="00FA6F10"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FC0D03">
              <w:rPr>
                <w:rFonts w:ascii="Times New Roman" w:hAnsi="Times New Roman"/>
                <w:sz w:val="22"/>
              </w:rPr>
              <w:t>MSID ABSVD</w:t>
            </w:r>
            <w:r>
              <w:rPr>
                <w:rFonts w:ascii="Times New Roman" w:hAnsi="Times New Roman"/>
                <w:sz w:val="22"/>
              </w:rPr>
              <w:t xml:space="preserve"> </w:t>
            </w:r>
            <w:r w:rsidRPr="00B27D7B">
              <w:rPr>
                <w:rFonts w:ascii="Times New Roman" w:hAnsi="Times New Roman"/>
                <w:sz w:val="22"/>
              </w:rPr>
              <w:t>(Non Losses)</w:t>
            </w:r>
          </w:p>
        </w:tc>
      </w:tr>
      <w:tr w:rsidR="0099110B" w:rsidRPr="00630129" w14:paraId="60889C05" w14:textId="77777777" w:rsidTr="00F248AA">
        <w:trPr>
          <w:cantSplit/>
          <w:ins w:id="92" w:author="Aditi Tulpule" w:date="2021-02-24T16:16:00Z"/>
        </w:trPr>
        <w:tc>
          <w:tcPr>
            <w:tcW w:w="1500" w:type="pct"/>
            <w:tcMar>
              <w:top w:w="57" w:type="dxa"/>
              <w:left w:w="85" w:type="dxa"/>
              <w:bottom w:w="85" w:type="dxa"/>
              <w:right w:w="85" w:type="dxa"/>
            </w:tcMar>
          </w:tcPr>
          <w:p w14:paraId="3C8BB53B" w14:textId="2C20438E" w:rsidR="0099110B" w:rsidRPr="00CB749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93" w:author="Aditi Tulpule" w:date="2021-02-24T16:16:00Z"/>
                <w:rFonts w:ascii="Times New Roman" w:hAnsi="Times New Roman"/>
                <w:sz w:val="22"/>
                <w:szCs w:val="22"/>
              </w:rPr>
            </w:pPr>
            <w:ins w:id="94" w:author="Aditi Tulpule" w:date="2021-02-24T16:16:00Z">
              <w:r w:rsidRPr="006E1641">
                <w:rPr>
                  <w:rFonts w:ascii="Times New Roman" w:hAnsi="Times New Roman"/>
                  <w:color w:val="1F497D"/>
                </w:rPr>
                <w:t>[P376]</w:t>
              </w:r>
              <w:proofErr w:type="spellStart"/>
              <w:r w:rsidRPr="006E1641">
                <w:rPr>
                  <w:rFonts w:ascii="Times New Roman" w:hAnsi="Times New Roman"/>
                  <w:color w:val="1F497D"/>
                </w:rPr>
                <w:t>MBV</w:t>
              </w:r>
              <w:r w:rsidRPr="006E1641">
                <w:rPr>
                  <w:rFonts w:ascii="Times New Roman" w:hAnsi="Times New Roman"/>
                  <w:color w:val="1F497D"/>
                  <w:vertAlign w:val="subscript"/>
                </w:rPr>
                <w:t>KiLj</w:t>
              </w:r>
              <w:proofErr w:type="spellEnd"/>
            </w:ins>
          </w:p>
        </w:tc>
        <w:tc>
          <w:tcPr>
            <w:tcW w:w="3500" w:type="pct"/>
            <w:tcMar>
              <w:top w:w="57" w:type="dxa"/>
              <w:left w:w="85" w:type="dxa"/>
              <w:bottom w:w="85" w:type="dxa"/>
              <w:right w:w="85" w:type="dxa"/>
            </w:tcMar>
          </w:tcPr>
          <w:p w14:paraId="56B45E0A" w14:textId="6CCC761A" w:rsidR="0099110B" w:rsidRPr="00FC0D03"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95" w:author="Aditi Tulpule" w:date="2021-02-24T16:16:00Z"/>
                <w:rFonts w:ascii="Times New Roman" w:hAnsi="Times New Roman"/>
                <w:sz w:val="22"/>
              </w:rPr>
            </w:pPr>
            <w:ins w:id="96" w:author="Aditi Tulpule" w:date="2021-02-24T16:16:00Z">
              <w:r>
                <w:rPr>
                  <w:rFonts w:ascii="Times New Roman" w:hAnsi="Times New Roman"/>
                  <w:sz w:val="22"/>
                  <w:szCs w:val="22"/>
                </w:rPr>
                <w:t xml:space="preserve">MSID Baseline Value </w:t>
              </w:r>
            </w:ins>
          </w:p>
        </w:tc>
      </w:tr>
      <w:tr w:rsidR="0099110B" w:rsidRPr="00630129" w14:paraId="08BBE824" w14:textId="77777777" w:rsidTr="00F248AA">
        <w:trPr>
          <w:cantSplit/>
          <w:ins w:id="97" w:author="Aditi Tulpule" w:date="2021-02-24T16:16:00Z"/>
        </w:trPr>
        <w:tc>
          <w:tcPr>
            <w:tcW w:w="1500" w:type="pct"/>
            <w:tcMar>
              <w:top w:w="57" w:type="dxa"/>
              <w:left w:w="85" w:type="dxa"/>
              <w:bottom w:w="85" w:type="dxa"/>
              <w:right w:w="85" w:type="dxa"/>
            </w:tcMar>
          </w:tcPr>
          <w:p w14:paraId="7CCA4527" w14:textId="7ADBA346" w:rsidR="0099110B" w:rsidRPr="00CB749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98" w:author="Aditi Tulpule" w:date="2021-02-24T16:16:00Z"/>
                <w:rFonts w:ascii="Times New Roman" w:hAnsi="Times New Roman"/>
                <w:sz w:val="22"/>
                <w:szCs w:val="22"/>
              </w:rPr>
            </w:pPr>
            <w:ins w:id="99" w:author="Aditi Tulpule" w:date="2021-02-24T16:16:00Z">
              <w:r w:rsidRPr="006E1641">
                <w:rPr>
                  <w:rFonts w:ascii="Times New Roman" w:hAnsi="Times New Roman"/>
                  <w:color w:val="1F497D"/>
                </w:rPr>
                <w:t>[P376]</w:t>
              </w:r>
              <w:proofErr w:type="spellStart"/>
              <w:r w:rsidRPr="006E1641">
                <w:rPr>
                  <w:rFonts w:ascii="Times New Roman" w:hAnsi="Times New Roman"/>
                  <w:color w:val="1F497D"/>
                </w:rPr>
                <w:t>MBL</w:t>
              </w:r>
              <w:r w:rsidRPr="006E1641">
                <w:rPr>
                  <w:rFonts w:ascii="Times New Roman" w:hAnsi="Times New Roman"/>
                  <w:color w:val="1F497D"/>
                  <w:vertAlign w:val="subscript"/>
                </w:rPr>
                <w:t>KiLj</w:t>
              </w:r>
              <w:proofErr w:type="spellEnd"/>
            </w:ins>
          </w:p>
        </w:tc>
        <w:tc>
          <w:tcPr>
            <w:tcW w:w="3500" w:type="pct"/>
            <w:tcMar>
              <w:top w:w="57" w:type="dxa"/>
              <w:left w:w="85" w:type="dxa"/>
              <w:bottom w:w="85" w:type="dxa"/>
              <w:right w:w="85" w:type="dxa"/>
            </w:tcMar>
          </w:tcPr>
          <w:p w14:paraId="76CBEFD0" w14:textId="5713C0EB" w:rsidR="0099110B" w:rsidRPr="00FC0D03"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100" w:author="Aditi Tulpule" w:date="2021-02-24T16:16:00Z"/>
                <w:rFonts w:ascii="Times New Roman" w:hAnsi="Times New Roman"/>
                <w:sz w:val="22"/>
              </w:rPr>
            </w:pPr>
            <w:ins w:id="101" w:author="Aditi Tulpule" w:date="2021-02-24T16:16:00Z">
              <w:r>
                <w:rPr>
                  <w:rFonts w:ascii="Times New Roman" w:hAnsi="Times New Roman"/>
                  <w:sz w:val="22"/>
                  <w:szCs w:val="22"/>
                </w:rPr>
                <w:t>MSID Baseline Losses</w:t>
              </w:r>
            </w:ins>
          </w:p>
        </w:tc>
      </w:tr>
      <w:tr w:rsidR="0099110B" w:rsidRPr="00630129" w14:paraId="5109CB86"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DA9F04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NBSVD</w:t>
            </w:r>
            <w:r w:rsidRPr="00630129">
              <w:rPr>
                <w:rFonts w:ascii="Times New Roman" w:hAnsi="Times New Roman"/>
                <w:sz w:val="22"/>
                <w:szCs w:val="22"/>
                <w:vertAlign w:val="subscript"/>
              </w:rPr>
              <w:t>ZaKj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B74205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Non-BM STOR Instruction Volume</w:t>
            </w:r>
          </w:p>
        </w:tc>
      </w:tr>
      <w:tr w:rsidR="0099110B" w:rsidRPr="00630129" w14:paraId="3153532E" w14:textId="77777777" w:rsidTr="00F248AA">
        <w:trPr>
          <w:cantSplit/>
          <w:ins w:id="102" w:author="Aditi Tulpule" w:date="2021-02-24T16:16:00Z"/>
        </w:trPr>
        <w:tc>
          <w:tcPr>
            <w:tcW w:w="1500" w:type="pct"/>
            <w:tcMar>
              <w:top w:w="57" w:type="dxa"/>
              <w:left w:w="85" w:type="dxa"/>
              <w:bottom w:w="85" w:type="dxa"/>
              <w:right w:w="85" w:type="dxa"/>
            </w:tcMar>
          </w:tcPr>
          <w:p w14:paraId="220AA777" w14:textId="6C81E5C3" w:rsidR="0099110B" w:rsidRPr="00630129" w:rsidRDefault="00A63BA8"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103" w:author="Aditi Tulpule" w:date="2021-02-24T16:16:00Z"/>
                <w:rFonts w:ascii="Times New Roman" w:hAnsi="Times New Roman"/>
                <w:sz w:val="22"/>
                <w:szCs w:val="22"/>
              </w:rPr>
            </w:pPr>
            <w:ins w:id="104" w:author="Aditi Tulpule" w:date="2021-02-24T16:19:00Z">
              <w:r>
                <w:rPr>
                  <w:rFonts w:ascii="Times New Roman" w:hAnsi="Times New Roman"/>
                  <w:sz w:val="22"/>
                  <w:szCs w:val="22"/>
                </w:rPr>
                <w:t>[P376]</w:t>
              </w:r>
            </w:ins>
            <w:proofErr w:type="spellStart"/>
            <w:ins w:id="105" w:author="Aditi Tulpule" w:date="2021-02-24T16:16:00Z">
              <w:r w:rsidR="0099110B">
                <w:rPr>
                  <w:rFonts w:ascii="Times New Roman" w:hAnsi="Times New Roman"/>
                  <w:sz w:val="22"/>
                  <w:szCs w:val="22"/>
                </w:rPr>
                <w:t>NDDVj</w:t>
              </w:r>
              <w:proofErr w:type="spellEnd"/>
            </w:ins>
          </w:p>
        </w:tc>
        <w:tc>
          <w:tcPr>
            <w:tcW w:w="3500" w:type="pct"/>
            <w:tcMar>
              <w:top w:w="57" w:type="dxa"/>
              <w:left w:w="85" w:type="dxa"/>
              <w:bottom w:w="85" w:type="dxa"/>
              <w:right w:w="85" w:type="dxa"/>
            </w:tcMar>
          </w:tcPr>
          <w:p w14:paraId="0DC7494A" w14:textId="6228DCE8"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106" w:author="Aditi Tulpule" w:date="2021-02-24T16:16:00Z"/>
                <w:rFonts w:ascii="Times New Roman" w:hAnsi="Times New Roman"/>
                <w:sz w:val="22"/>
                <w:szCs w:val="22"/>
              </w:rPr>
            </w:pPr>
            <w:ins w:id="107" w:author="Aditi Tulpule" w:date="2021-02-24T16:16:00Z">
              <w:r w:rsidRPr="002431A0">
                <w:rPr>
                  <w:rFonts w:ascii="Times New Roman" w:hAnsi="Times New Roman"/>
                  <w:sz w:val="22"/>
                  <w:szCs w:val="22"/>
                </w:rPr>
                <w:t>Net Differencing Delivered Volume</w:t>
              </w:r>
            </w:ins>
          </w:p>
        </w:tc>
      </w:tr>
      <w:tr w:rsidR="0099110B" w:rsidRPr="00630129" w14:paraId="6DC93FF6" w14:textId="77777777" w:rsidTr="00F248AA">
        <w:trPr>
          <w:cantSplit/>
        </w:trPr>
        <w:tc>
          <w:tcPr>
            <w:tcW w:w="1500" w:type="pct"/>
            <w:tcMar>
              <w:top w:w="57" w:type="dxa"/>
              <w:left w:w="85" w:type="dxa"/>
              <w:bottom w:w="85" w:type="dxa"/>
              <w:right w:w="85" w:type="dxa"/>
            </w:tcMar>
          </w:tcPr>
          <w:p w14:paraId="7FD1C1A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NET</w:t>
            </w:r>
            <w:r w:rsidRPr="00630129">
              <w:rPr>
                <w:rFonts w:ascii="Times New Roman" w:hAnsi="Times New Roman"/>
                <w:sz w:val="22"/>
                <w:szCs w:val="22"/>
                <w:vertAlign w:val="subscript"/>
              </w:rPr>
              <w:t>H</w:t>
            </w:r>
          </w:p>
        </w:tc>
        <w:tc>
          <w:tcPr>
            <w:tcW w:w="3500" w:type="pct"/>
            <w:tcMar>
              <w:top w:w="57" w:type="dxa"/>
              <w:left w:w="85" w:type="dxa"/>
              <w:bottom w:w="85" w:type="dxa"/>
              <w:right w:w="85" w:type="dxa"/>
            </w:tcMar>
          </w:tcPr>
          <w:p w14:paraId="2CFFD63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smartTag w:uri="urn:schemas-microsoft-com:office:smarttags" w:element="time">
              <w:smartTagPr>
                <w:attr w:name="Hour" w:val="12"/>
                <w:attr w:name="Minute" w:val="0"/>
              </w:smartTagPr>
              <w:r w:rsidRPr="00630129">
                <w:rPr>
                  <w:rFonts w:ascii="Times New Roman" w:hAnsi="Times New Roman"/>
                  <w:sz w:val="22"/>
                  <w:szCs w:val="22"/>
                </w:rPr>
                <w:t>Noon</w:t>
              </w:r>
            </w:smartTag>
            <w:r w:rsidRPr="00630129">
              <w:rPr>
                <w:rFonts w:ascii="Times New Roman" w:hAnsi="Times New Roman"/>
                <w:sz w:val="22"/>
                <w:szCs w:val="22"/>
              </w:rPr>
              <w:t xml:space="preserve"> Effective Temperature</w:t>
            </w:r>
          </w:p>
        </w:tc>
      </w:tr>
      <w:tr w:rsidR="0099110B" w:rsidRPr="00630129" w14:paraId="7A13A2E8" w14:textId="77777777" w:rsidTr="00F248AA">
        <w:trPr>
          <w:cantSplit/>
        </w:trPr>
        <w:tc>
          <w:tcPr>
            <w:tcW w:w="1500" w:type="pct"/>
            <w:tcMar>
              <w:top w:w="57" w:type="dxa"/>
              <w:left w:w="85" w:type="dxa"/>
              <w:bottom w:w="85" w:type="dxa"/>
              <w:right w:w="85" w:type="dxa"/>
            </w:tcMar>
          </w:tcPr>
          <w:p w14:paraId="5CA7AD9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NF</w:t>
            </w:r>
            <w:r w:rsidRPr="00630129">
              <w:rPr>
                <w:rFonts w:ascii="Times New Roman" w:hAnsi="Times New Roman"/>
                <w:sz w:val="22"/>
                <w:szCs w:val="22"/>
                <w:vertAlign w:val="subscript"/>
              </w:rPr>
              <w:t>HPC</w:t>
            </w:r>
          </w:p>
        </w:tc>
        <w:tc>
          <w:tcPr>
            <w:tcW w:w="3500" w:type="pct"/>
            <w:tcMar>
              <w:top w:w="57" w:type="dxa"/>
              <w:left w:w="85" w:type="dxa"/>
              <w:bottom w:w="85" w:type="dxa"/>
              <w:right w:w="85" w:type="dxa"/>
            </w:tcMar>
          </w:tcPr>
          <w:p w14:paraId="27BC339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Normal Fraction</w:t>
            </w:r>
          </w:p>
        </w:tc>
      </w:tr>
      <w:tr w:rsidR="0099110B" w:rsidRPr="00630129" w14:paraId="4B84E373" w14:textId="77777777" w:rsidTr="00F248AA">
        <w:trPr>
          <w:cantSplit/>
        </w:trPr>
        <w:tc>
          <w:tcPr>
            <w:tcW w:w="1500" w:type="pct"/>
            <w:tcMar>
              <w:top w:w="57" w:type="dxa"/>
              <w:left w:w="85" w:type="dxa"/>
              <w:bottom w:w="85" w:type="dxa"/>
              <w:right w:w="85" w:type="dxa"/>
            </w:tcMar>
          </w:tcPr>
          <w:p w14:paraId="5E5D9EE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NHHSDT</w:t>
            </w:r>
            <w:r w:rsidRPr="00630129">
              <w:rPr>
                <w:rFonts w:ascii="Times New Roman" w:hAnsi="Times New Roman"/>
                <w:sz w:val="22"/>
                <w:szCs w:val="22"/>
                <w:vertAlign w:val="subscript"/>
              </w:rPr>
              <w:t>HZj</w:t>
            </w:r>
            <w:proofErr w:type="spellEnd"/>
          </w:p>
        </w:tc>
        <w:tc>
          <w:tcPr>
            <w:tcW w:w="3500" w:type="pct"/>
            <w:tcMar>
              <w:top w:w="57" w:type="dxa"/>
              <w:left w:w="85" w:type="dxa"/>
              <w:bottom w:w="85" w:type="dxa"/>
              <w:right w:w="85" w:type="dxa"/>
            </w:tcMar>
          </w:tcPr>
          <w:p w14:paraId="48A70C04"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Non Half Hourly Supplier Deemed Take</w:t>
            </w:r>
          </w:p>
        </w:tc>
      </w:tr>
      <w:tr w:rsidR="0099110B" w:rsidRPr="00630129" w14:paraId="67B9269B"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4167F21"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NMAD</w:t>
            </w:r>
            <w:r w:rsidRPr="00630129">
              <w:rPr>
                <w:rFonts w:ascii="Times New Roman" w:hAnsi="Times New Roman"/>
                <w:sz w:val="22"/>
                <w:szCs w:val="22"/>
                <w:vertAlign w:val="subscript"/>
              </w:rPr>
              <w:t>HZLPR</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2E17F25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Number Of Non Half Hourly Metering Systems Contributing To The Total Annualised Advance (Disconnected)</w:t>
            </w:r>
          </w:p>
        </w:tc>
      </w:tr>
      <w:tr w:rsidR="0099110B" w:rsidRPr="00630129" w14:paraId="3EFD201E" w14:textId="77777777" w:rsidTr="00F248AA">
        <w:trPr>
          <w:cantSplit/>
        </w:trPr>
        <w:tc>
          <w:tcPr>
            <w:tcW w:w="1500" w:type="pct"/>
            <w:tcMar>
              <w:top w:w="57" w:type="dxa"/>
              <w:left w:w="85" w:type="dxa"/>
              <w:bottom w:w="85" w:type="dxa"/>
              <w:right w:w="85" w:type="dxa"/>
            </w:tcMar>
          </w:tcPr>
          <w:p w14:paraId="450B0630"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NMA</w:t>
            </w:r>
            <w:r w:rsidRPr="00630129">
              <w:rPr>
                <w:rFonts w:ascii="Times New Roman" w:hAnsi="Times New Roman"/>
                <w:sz w:val="22"/>
                <w:szCs w:val="22"/>
                <w:vertAlign w:val="subscript"/>
              </w:rPr>
              <w:t>HZLPR</w:t>
            </w:r>
          </w:p>
        </w:tc>
        <w:tc>
          <w:tcPr>
            <w:tcW w:w="3500" w:type="pct"/>
            <w:tcMar>
              <w:top w:w="57" w:type="dxa"/>
              <w:left w:w="85" w:type="dxa"/>
              <w:bottom w:w="85" w:type="dxa"/>
              <w:right w:w="85" w:type="dxa"/>
            </w:tcMar>
          </w:tcPr>
          <w:p w14:paraId="52F93F4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Number Of Non Half Hourly Metering Systems Contributing To The Total Annualised Advance</w:t>
            </w:r>
          </w:p>
        </w:tc>
      </w:tr>
      <w:tr w:rsidR="0099110B" w:rsidRPr="00630129" w14:paraId="2A7AF02F"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FC607E0"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NMMDED</w:t>
            </w:r>
            <w:r w:rsidRPr="00630129">
              <w:rPr>
                <w:rFonts w:ascii="Times New Roman" w:hAnsi="Times New Roman"/>
                <w:sz w:val="22"/>
                <w:szCs w:val="22"/>
                <w:vertAlign w:val="subscript"/>
              </w:rPr>
              <w:t>HZLPR</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3B28E23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Number Of Non Half Hourly Metered Metering Systems Requiring A Default Estimated Annual Consumption (Disconnected)</w:t>
            </w:r>
          </w:p>
        </w:tc>
      </w:tr>
      <w:tr w:rsidR="0099110B" w:rsidRPr="00630129" w14:paraId="0874D315" w14:textId="77777777" w:rsidTr="00F248AA">
        <w:trPr>
          <w:cantSplit/>
        </w:trPr>
        <w:tc>
          <w:tcPr>
            <w:tcW w:w="1500" w:type="pct"/>
            <w:tcMar>
              <w:top w:w="57" w:type="dxa"/>
              <w:left w:w="85" w:type="dxa"/>
              <w:bottom w:w="85" w:type="dxa"/>
              <w:right w:w="85" w:type="dxa"/>
            </w:tcMar>
          </w:tcPr>
          <w:p w14:paraId="495D0840"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NMMDE</w:t>
            </w:r>
            <w:r w:rsidRPr="00630129">
              <w:rPr>
                <w:rFonts w:ascii="Times New Roman" w:hAnsi="Times New Roman"/>
                <w:sz w:val="22"/>
                <w:szCs w:val="22"/>
                <w:vertAlign w:val="subscript"/>
              </w:rPr>
              <w:t>HZLPR</w:t>
            </w:r>
          </w:p>
        </w:tc>
        <w:tc>
          <w:tcPr>
            <w:tcW w:w="3500" w:type="pct"/>
            <w:tcMar>
              <w:top w:w="57" w:type="dxa"/>
              <w:left w:w="85" w:type="dxa"/>
              <w:bottom w:w="85" w:type="dxa"/>
              <w:right w:w="85" w:type="dxa"/>
            </w:tcMar>
          </w:tcPr>
          <w:p w14:paraId="11125C8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Number Of Non Half Hourly Metered Metering Systems Requiring A Default Estimated Annual Consumption</w:t>
            </w:r>
          </w:p>
        </w:tc>
      </w:tr>
      <w:tr w:rsidR="0099110B" w:rsidRPr="00630129" w14:paraId="796DFE72"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4D281E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NMMED</w:t>
            </w:r>
            <w:r w:rsidRPr="00630129">
              <w:rPr>
                <w:rFonts w:ascii="Times New Roman" w:hAnsi="Times New Roman"/>
                <w:sz w:val="22"/>
                <w:szCs w:val="22"/>
                <w:vertAlign w:val="subscript"/>
              </w:rPr>
              <w:t>HZLPR</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ACE5A61"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Number Of Non Half Hourly Metering Systems Contributing To The Total Estimated Annual Consumption (Disconnected)</w:t>
            </w:r>
          </w:p>
        </w:tc>
      </w:tr>
      <w:tr w:rsidR="0099110B" w:rsidRPr="00630129" w14:paraId="2140A7C2" w14:textId="77777777" w:rsidTr="00F248AA">
        <w:trPr>
          <w:cantSplit/>
        </w:trPr>
        <w:tc>
          <w:tcPr>
            <w:tcW w:w="1500" w:type="pct"/>
            <w:tcMar>
              <w:top w:w="57" w:type="dxa"/>
              <w:left w:w="85" w:type="dxa"/>
              <w:bottom w:w="85" w:type="dxa"/>
              <w:right w:w="85" w:type="dxa"/>
            </w:tcMar>
          </w:tcPr>
          <w:p w14:paraId="0BC758F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NMME</w:t>
            </w:r>
            <w:r w:rsidRPr="00630129">
              <w:rPr>
                <w:rFonts w:ascii="Times New Roman" w:hAnsi="Times New Roman"/>
                <w:sz w:val="22"/>
                <w:szCs w:val="22"/>
                <w:vertAlign w:val="subscript"/>
              </w:rPr>
              <w:t>HZLPR</w:t>
            </w:r>
          </w:p>
        </w:tc>
        <w:tc>
          <w:tcPr>
            <w:tcW w:w="3500" w:type="pct"/>
            <w:tcMar>
              <w:top w:w="57" w:type="dxa"/>
              <w:left w:w="85" w:type="dxa"/>
              <w:bottom w:w="85" w:type="dxa"/>
              <w:right w:w="85" w:type="dxa"/>
            </w:tcMar>
          </w:tcPr>
          <w:p w14:paraId="79ADF29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Number Of Non Half Hourly Metering Systems Contributing To The Total Estimated Annual Consumption</w:t>
            </w:r>
          </w:p>
        </w:tc>
      </w:tr>
      <w:tr w:rsidR="0099110B" w:rsidRPr="00630129" w14:paraId="06297C56" w14:textId="77777777" w:rsidTr="00F248AA">
        <w:trPr>
          <w:cantSplit/>
        </w:trPr>
        <w:tc>
          <w:tcPr>
            <w:tcW w:w="1500" w:type="pct"/>
            <w:tcMar>
              <w:top w:w="57" w:type="dxa"/>
              <w:left w:w="85" w:type="dxa"/>
              <w:bottom w:w="85" w:type="dxa"/>
              <w:right w:w="85" w:type="dxa"/>
            </w:tcMar>
          </w:tcPr>
          <w:p w14:paraId="48707EBD"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NMSSCEDC</w:t>
            </w:r>
            <w:r w:rsidRPr="00630129">
              <w:rPr>
                <w:rFonts w:ascii="Times New Roman" w:hAnsi="Times New Roman"/>
                <w:sz w:val="22"/>
                <w:szCs w:val="22"/>
                <w:vertAlign w:val="subscript"/>
              </w:rPr>
              <w:t>HPCT</w:t>
            </w:r>
          </w:p>
        </w:tc>
        <w:tc>
          <w:tcPr>
            <w:tcW w:w="3500" w:type="pct"/>
            <w:tcMar>
              <w:top w:w="57" w:type="dxa"/>
              <w:left w:w="85" w:type="dxa"/>
              <w:bottom w:w="85" w:type="dxa"/>
              <w:right w:w="85" w:type="dxa"/>
            </w:tcMar>
          </w:tcPr>
          <w:p w14:paraId="1EBAFA8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Number of Metering Systems Contributing to the Standard Settlement Configuration Estimated Daily Consumption</w:t>
            </w:r>
          </w:p>
        </w:tc>
      </w:tr>
      <w:tr w:rsidR="0099110B" w:rsidRPr="00630129" w14:paraId="43BFCDAE"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093B5A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NMUDED</w:t>
            </w:r>
            <w:r w:rsidRPr="00630129">
              <w:rPr>
                <w:rFonts w:ascii="Times New Roman" w:hAnsi="Times New Roman"/>
                <w:sz w:val="22"/>
                <w:szCs w:val="22"/>
                <w:vertAlign w:val="subscript"/>
              </w:rPr>
              <w:t>HZLPR</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3DAD7DC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Number Of Non Half Hourly Unmetered Metering Systems Requiring A Default Estimated Annual Consumption (Disconnected)</w:t>
            </w:r>
          </w:p>
        </w:tc>
      </w:tr>
      <w:tr w:rsidR="0099110B" w:rsidRPr="00630129" w14:paraId="17BE21F4" w14:textId="77777777" w:rsidTr="00F248AA">
        <w:trPr>
          <w:cantSplit/>
        </w:trPr>
        <w:tc>
          <w:tcPr>
            <w:tcW w:w="1500" w:type="pct"/>
            <w:tcMar>
              <w:top w:w="57" w:type="dxa"/>
              <w:left w:w="85" w:type="dxa"/>
              <w:bottom w:w="85" w:type="dxa"/>
              <w:right w:w="85" w:type="dxa"/>
            </w:tcMar>
          </w:tcPr>
          <w:p w14:paraId="304277F6"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NMUDE</w:t>
            </w:r>
            <w:r w:rsidRPr="00630129">
              <w:rPr>
                <w:rFonts w:ascii="Times New Roman" w:hAnsi="Times New Roman"/>
                <w:sz w:val="22"/>
                <w:szCs w:val="22"/>
                <w:vertAlign w:val="subscript"/>
              </w:rPr>
              <w:t>HZLPR</w:t>
            </w:r>
          </w:p>
        </w:tc>
        <w:tc>
          <w:tcPr>
            <w:tcW w:w="3500" w:type="pct"/>
            <w:tcMar>
              <w:top w:w="57" w:type="dxa"/>
              <w:left w:w="85" w:type="dxa"/>
              <w:bottom w:w="85" w:type="dxa"/>
              <w:right w:w="85" w:type="dxa"/>
            </w:tcMar>
          </w:tcPr>
          <w:p w14:paraId="0100D37D"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Number Of Non Half Hourly Unmetered Metering Systems Requiring A Default Estimated Annual Consumption</w:t>
            </w:r>
          </w:p>
        </w:tc>
      </w:tr>
      <w:tr w:rsidR="0099110B" w:rsidRPr="00630129" w14:paraId="10CDADDE"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74294250"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NMUED</w:t>
            </w:r>
            <w:r w:rsidRPr="00630129">
              <w:rPr>
                <w:rFonts w:ascii="Times New Roman" w:hAnsi="Times New Roman"/>
                <w:sz w:val="22"/>
                <w:szCs w:val="22"/>
                <w:vertAlign w:val="subscript"/>
              </w:rPr>
              <w:t>HZLPR</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6DE1F700"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Number Of Non Half Hourly Unmetered Metering Systems Contributing To The Total Estimated Annual Consumption (Disconnected)</w:t>
            </w:r>
          </w:p>
        </w:tc>
      </w:tr>
      <w:tr w:rsidR="0099110B" w:rsidRPr="00630129" w14:paraId="4385296A" w14:textId="77777777" w:rsidTr="00F248AA">
        <w:trPr>
          <w:cantSplit/>
        </w:trPr>
        <w:tc>
          <w:tcPr>
            <w:tcW w:w="1500" w:type="pct"/>
            <w:tcMar>
              <w:top w:w="57" w:type="dxa"/>
              <w:left w:w="85" w:type="dxa"/>
              <w:bottom w:w="85" w:type="dxa"/>
              <w:right w:w="85" w:type="dxa"/>
            </w:tcMar>
          </w:tcPr>
          <w:p w14:paraId="3D93E2A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NMUE</w:t>
            </w:r>
            <w:r w:rsidRPr="00630129">
              <w:rPr>
                <w:rFonts w:ascii="Times New Roman" w:hAnsi="Times New Roman"/>
                <w:sz w:val="22"/>
                <w:szCs w:val="22"/>
                <w:vertAlign w:val="subscript"/>
              </w:rPr>
              <w:t>HZLPR</w:t>
            </w:r>
          </w:p>
        </w:tc>
        <w:tc>
          <w:tcPr>
            <w:tcW w:w="3500" w:type="pct"/>
            <w:tcMar>
              <w:top w:w="57" w:type="dxa"/>
              <w:left w:w="85" w:type="dxa"/>
              <w:bottom w:w="85" w:type="dxa"/>
              <w:right w:w="85" w:type="dxa"/>
            </w:tcMar>
          </w:tcPr>
          <w:p w14:paraId="6D6B2C0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Number Of Non Half Hourly Unmetered Metering Systems Contributing To The Total Estimated Annual Consumption</w:t>
            </w:r>
          </w:p>
        </w:tc>
      </w:tr>
      <w:tr w:rsidR="0099110B" w:rsidRPr="00630129" w14:paraId="4C47A1A1"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6692A0B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NM</w:t>
            </w:r>
            <w:r w:rsidRPr="00630129">
              <w:rPr>
                <w:rFonts w:ascii="Times New Roman" w:hAnsi="Times New Roman"/>
                <w:sz w:val="22"/>
                <w:szCs w:val="22"/>
                <w:vertAlign w:val="subscript"/>
              </w:rPr>
              <w:t>ZqG</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222DA60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Quarterly Metering Systems by Supplier</w:t>
            </w:r>
          </w:p>
        </w:tc>
      </w:tr>
      <w:tr w:rsidR="0099110B" w:rsidRPr="00630129" w14:paraId="01E4993A" w14:textId="77777777" w:rsidTr="00F248AA">
        <w:trPr>
          <w:cantSplit/>
        </w:trPr>
        <w:tc>
          <w:tcPr>
            <w:tcW w:w="1500" w:type="pct"/>
            <w:tcMar>
              <w:top w:w="57" w:type="dxa"/>
              <w:left w:w="85" w:type="dxa"/>
              <w:bottom w:w="85" w:type="dxa"/>
              <w:right w:w="85" w:type="dxa"/>
            </w:tcMar>
          </w:tcPr>
          <w:p w14:paraId="731068B7" w14:textId="77777777" w:rsidR="0099110B" w:rsidRPr="00630129" w:rsidRDefault="0099110B" w:rsidP="0099110B">
            <w:pPr>
              <w:jc w:val="both"/>
              <w:rPr>
                <w:sz w:val="22"/>
                <w:szCs w:val="22"/>
              </w:rPr>
            </w:pPr>
            <w:proofErr w:type="spellStart"/>
            <w:r w:rsidRPr="00630129">
              <w:rPr>
                <w:sz w:val="22"/>
                <w:szCs w:val="22"/>
              </w:rPr>
              <w:t>NRPC</w:t>
            </w:r>
            <w:r w:rsidRPr="00630129">
              <w:rPr>
                <w:sz w:val="22"/>
                <w:szCs w:val="22"/>
                <w:vertAlign w:val="subscript"/>
              </w:rPr>
              <w:t>HPCj</w:t>
            </w:r>
            <w:proofErr w:type="spellEnd"/>
          </w:p>
        </w:tc>
        <w:tc>
          <w:tcPr>
            <w:tcW w:w="3500" w:type="pct"/>
            <w:tcMar>
              <w:top w:w="57" w:type="dxa"/>
              <w:left w:w="85" w:type="dxa"/>
              <w:bottom w:w="85" w:type="dxa"/>
              <w:right w:w="85" w:type="dxa"/>
            </w:tcMar>
          </w:tcPr>
          <w:p w14:paraId="578E1C68" w14:textId="77777777" w:rsidR="0099110B" w:rsidRPr="00630129" w:rsidRDefault="0099110B" w:rsidP="0099110B">
            <w:pPr>
              <w:jc w:val="both"/>
              <w:rPr>
                <w:sz w:val="22"/>
                <w:szCs w:val="22"/>
              </w:rPr>
            </w:pPr>
            <w:r w:rsidRPr="00630129">
              <w:rPr>
                <w:sz w:val="22"/>
                <w:szCs w:val="22"/>
              </w:rPr>
              <w:t>Normal Register Profile Coefficient</w:t>
            </w:r>
          </w:p>
        </w:tc>
      </w:tr>
      <w:tr w:rsidR="0099110B" w:rsidRPr="00440E88" w14:paraId="47BB8E38" w14:textId="77777777" w:rsidTr="00756AD2">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39D6F893" w14:textId="77777777" w:rsidR="0099110B" w:rsidRPr="00756AD2" w:rsidRDefault="0099110B" w:rsidP="0099110B">
            <w:pPr>
              <w:jc w:val="both"/>
              <w:rPr>
                <w:sz w:val="22"/>
                <w:szCs w:val="22"/>
              </w:rPr>
            </w:pPr>
            <w:r w:rsidRPr="00756AD2">
              <w:rPr>
                <w:sz w:val="22"/>
                <w:szCs w:val="22"/>
              </w:rPr>
              <w:t>ORABSVDC</w:t>
            </w:r>
            <w:r w:rsidRPr="00FC0D03">
              <w:rPr>
                <w:sz w:val="22"/>
                <w:szCs w:val="22"/>
                <w:vertAlign w:val="subscript"/>
              </w:rPr>
              <w:t>i2Nj</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70AE338" w14:textId="77777777" w:rsidR="0099110B" w:rsidRPr="00756AD2" w:rsidRDefault="0099110B" w:rsidP="0099110B">
            <w:pPr>
              <w:jc w:val="both"/>
              <w:rPr>
                <w:sz w:val="22"/>
                <w:szCs w:val="22"/>
              </w:rPr>
            </w:pPr>
            <w:r w:rsidRPr="00756AD2">
              <w:rPr>
                <w:sz w:val="22"/>
                <w:szCs w:val="22"/>
              </w:rPr>
              <w:t>Corrected MSID ABSVD Component</w:t>
            </w:r>
          </w:p>
        </w:tc>
      </w:tr>
      <w:tr w:rsidR="0099110B" w:rsidRPr="00630129" w14:paraId="391E9415" w14:textId="77777777" w:rsidTr="00F248AA">
        <w:trPr>
          <w:cantSplit/>
        </w:trPr>
        <w:tc>
          <w:tcPr>
            <w:tcW w:w="1500" w:type="pct"/>
            <w:tcMar>
              <w:top w:w="57" w:type="dxa"/>
              <w:left w:w="85" w:type="dxa"/>
              <w:bottom w:w="85" w:type="dxa"/>
              <w:right w:w="85" w:type="dxa"/>
            </w:tcMar>
          </w:tcPr>
          <w:p w14:paraId="014BE100"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lastRenderedPageBreak/>
              <w:t>PCEDC</w:t>
            </w:r>
            <w:r w:rsidRPr="00630129">
              <w:rPr>
                <w:rFonts w:ascii="Times New Roman" w:hAnsi="Times New Roman"/>
                <w:sz w:val="22"/>
                <w:szCs w:val="22"/>
                <w:vertAlign w:val="subscript"/>
              </w:rPr>
              <w:t>HPT</w:t>
            </w:r>
          </w:p>
        </w:tc>
        <w:tc>
          <w:tcPr>
            <w:tcW w:w="3500" w:type="pct"/>
            <w:tcMar>
              <w:top w:w="57" w:type="dxa"/>
              <w:left w:w="85" w:type="dxa"/>
              <w:bottom w:w="85" w:type="dxa"/>
              <w:right w:w="85" w:type="dxa"/>
            </w:tcMar>
          </w:tcPr>
          <w:p w14:paraId="57036AA1"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Profile Class Estimated Daily Consumption</w:t>
            </w:r>
          </w:p>
        </w:tc>
      </w:tr>
      <w:tr w:rsidR="0099110B" w:rsidRPr="00630129" w14:paraId="2BB7E2CA" w14:textId="77777777" w:rsidTr="00F248AA">
        <w:trPr>
          <w:cantSplit/>
        </w:trPr>
        <w:tc>
          <w:tcPr>
            <w:tcW w:w="1500" w:type="pct"/>
            <w:tcMar>
              <w:top w:w="57" w:type="dxa"/>
              <w:left w:w="85" w:type="dxa"/>
              <w:bottom w:w="85" w:type="dxa"/>
              <w:right w:w="85" w:type="dxa"/>
            </w:tcMar>
          </w:tcPr>
          <w:p w14:paraId="6523B6A7"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PEAC</w:t>
            </w:r>
            <w:r w:rsidRPr="00630129">
              <w:rPr>
                <w:rFonts w:ascii="Times New Roman" w:hAnsi="Times New Roman"/>
                <w:sz w:val="22"/>
                <w:szCs w:val="22"/>
                <w:vertAlign w:val="subscript"/>
              </w:rPr>
              <w:t>KR</w:t>
            </w:r>
          </w:p>
        </w:tc>
        <w:tc>
          <w:tcPr>
            <w:tcW w:w="3500" w:type="pct"/>
            <w:tcMar>
              <w:top w:w="57" w:type="dxa"/>
              <w:left w:w="85" w:type="dxa"/>
              <w:bottom w:w="85" w:type="dxa"/>
              <w:right w:w="85" w:type="dxa"/>
            </w:tcMar>
          </w:tcPr>
          <w:p w14:paraId="26231A62"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Previous Estimated Annual Consumption</w:t>
            </w:r>
          </w:p>
        </w:tc>
      </w:tr>
      <w:tr w:rsidR="0099110B" w:rsidRPr="00630129" w14:paraId="3A455A19" w14:textId="77777777" w:rsidTr="00F248AA">
        <w:trPr>
          <w:cantSplit/>
        </w:trPr>
        <w:tc>
          <w:tcPr>
            <w:tcW w:w="1500" w:type="pct"/>
            <w:tcMar>
              <w:top w:w="57" w:type="dxa"/>
              <w:left w:w="85" w:type="dxa"/>
              <w:bottom w:w="85" w:type="dxa"/>
              <w:right w:w="85" w:type="dxa"/>
            </w:tcMar>
          </w:tcPr>
          <w:p w14:paraId="48843A4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P</w:t>
            </w:r>
            <w:r w:rsidRPr="00630129">
              <w:rPr>
                <w:rFonts w:ascii="Times New Roman" w:hAnsi="Times New Roman"/>
                <w:sz w:val="22"/>
                <w:szCs w:val="22"/>
                <w:vertAlign w:val="subscript"/>
              </w:rPr>
              <w:t>HQj</w:t>
            </w:r>
            <w:proofErr w:type="spellEnd"/>
          </w:p>
        </w:tc>
        <w:tc>
          <w:tcPr>
            <w:tcW w:w="3500" w:type="pct"/>
            <w:tcMar>
              <w:top w:w="57" w:type="dxa"/>
              <w:left w:w="85" w:type="dxa"/>
              <w:bottom w:w="85" w:type="dxa"/>
              <w:right w:w="85" w:type="dxa"/>
            </w:tcMar>
          </w:tcPr>
          <w:p w14:paraId="13BC4F92"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Basic Period Profile Coefficient</w:t>
            </w:r>
          </w:p>
        </w:tc>
      </w:tr>
      <w:tr w:rsidR="0099110B" w:rsidRPr="00630129" w14:paraId="6D207376" w14:textId="77777777" w:rsidTr="00F248AA">
        <w:trPr>
          <w:cantSplit/>
        </w:trPr>
        <w:tc>
          <w:tcPr>
            <w:tcW w:w="1500" w:type="pct"/>
            <w:tcMar>
              <w:top w:w="57" w:type="dxa"/>
              <w:left w:w="85" w:type="dxa"/>
              <w:bottom w:w="85" w:type="dxa"/>
              <w:right w:w="85" w:type="dxa"/>
            </w:tcMar>
          </w:tcPr>
          <w:p w14:paraId="119E448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PPCC</w:t>
            </w:r>
            <w:r w:rsidRPr="00630129">
              <w:rPr>
                <w:rFonts w:ascii="Times New Roman" w:hAnsi="Times New Roman"/>
                <w:sz w:val="22"/>
                <w:szCs w:val="22"/>
                <w:vertAlign w:val="subscript"/>
              </w:rPr>
              <w:t>HPRj</w:t>
            </w:r>
            <w:proofErr w:type="spellEnd"/>
          </w:p>
        </w:tc>
        <w:tc>
          <w:tcPr>
            <w:tcW w:w="3500" w:type="pct"/>
            <w:tcMar>
              <w:top w:w="57" w:type="dxa"/>
              <w:left w:w="85" w:type="dxa"/>
              <w:bottom w:w="85" w:type="dxa"/>
              <w:right w:w="85" w:type="dxa"/>
            </w:tcMar>
          </w:tcPr>
          <w:p w14:paraId="7FB8BC6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Period Profile Class Coefficient</w:t>
            </w:r>
          </w:p>
        </w:tc>
      </w:tr>
      <w:tr w:rsidR="0099110B" w:rsidRPr="00630129" w14:paraId="46EEC38C" w14:textId="77777777" w:rsidTr="00F248AA">
        <w:trPr>
          <w:cantSplit/>
          <w:ins w:id="108" w:author="Aditi Tulpule" w:date="2021-02-24T16:16:00Z"/>
        </w:trPr>
        <w:tc>
          <w:tcPr>
            <w:tcW w:w="1500" w:type="pct"/>
            <w:tcMar>
              <w:top w:w="57" w:type="dxa"/>
              <w:left w:w="85" w:type="dxa"/>
              <w:bottom w:w="85" w:type="dxa"/>
              <w:right w:w="85" w:type="dxa"/>
            </w:tcMar>
          </w:tcPr>
          <w:p w14:paraId="5BDE9566" w14:textId="521F6949"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109" w:author="Aditi Tulpule" w:date="2021-02-24T16:16:00Z"/>
                <w:rFonts w:ascii="Times New Roman" w:hAnsi="Times New Roman"/>
                <w:sz w:val="22"/>
                <w:szCs w:val="22"/>
              </w:rPr>
            </w:pPr>
            <w:ins w:id="110" w:author="Aditi Tulpule" w:date="2021-02-24T16:16:00Z">
              <w:r>
                <w:rPr>
                  <w:rFonts w:ascii="Times New Roman" w:hAnsi="Times New Roman"/>
                  <w:sz w:val="22"/>
                  <w:szCs w:val="22"/>
                </w:rPr>
                <w:t>[P376]</w:t>
              </w:r>
              <w:proofErr w:type="spellStart"/>
              <w:r>
                <w:rPr>
                  <w:rFonts w:ascii="Times New Roman" w:hAnsi="Times New Roman"/>
                  <w:sz w:val="22"/>
                  <w:szCs w:val="22"/>
                </w:rPr>
                <w:t>PSEV</w:t>
              </w:r>
              <w:r w:rsidRPr="00630129">
                <w:rPr>
                  <w:rFonts w:ascii="Times New Roman" w:hAnsi="Times New Roman"/>
                  <w:sz w:val="22"/>
                  <w:szCs w:val="22"/>
                  <w:vertAlign w:val="subscript"/>
                </w:rPr>
                <w:t>ji</w:t>
              </w:r>
              <w:proofErr w:type="spellEnd"/>
            </w:ins>
          </w:p>
        </w:tc>
        <w:tc>
          <w:tcPr>
            <w:tcW w:w="3500" w:type="pct"/>
            <w:tcMar>
              <w:top w:w="57" w:type="dxa"/>
              <w:left w:w="85" w:type="dxa"/>
              <w:bottom w:w="85" w:type="dxa"/>
              <w:right w:w="85" w:type="dxa"/>
            </w:tcMar>
          </w:tcPr>
          <w:p w14:paraId="0516635E" w14:textId="1A16EAA4"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111" w:author="Aditi Tulpule" w:date="2021-02-24T16:16:00Z"/>
                <w:rFonts w:ascii="Times New Roman" w:hAnsi="Times New Roman"/>
                <w:sz w:val="22"/>
                <w:szCs w:val="22"/>
              </w:rPr>
            </w:pPr>
            <w:ins w:id="112" w:author="Aditi Tulpule" w:date="2021-02-24T16:16:00Z">
              <w:r>
                <w:rPr>
                  <w:rFonts w:ascii="Times New Roman" w:hAnsi="Times New Roman"/>
                  <w:sz w:val="22"/>
                  <w:szCs w:val="22"/>
                </w:rPr>
                <w:t>Party Submitted Expected Volume</w:t>
              </w:r>
            </w:ins>
          </w:p>
        </w:tc>
      </w:tr>
      <w:tr w:rsidR="0099110B" w:rsidRPr="00630129" w14:paraId="3A634A50" w14:textId="77777777" w:rsidTr="00F248AA">
        <w:trPr>
          <w:cantSplit/>
        </w:trPr>
        <w:tc>
          <w:tcPr>
            <w:tcW w:w="1500" w:type="pct"/>
            <w:tcMar>
              <w:top w:w="57" w:type="dxa"/>
              <w:left w:w="85" w:type="dxa"/>
              <w:bottom w:w="85" w:type="dxa"/>
              <w:right w:w="85" w:type="dxa"/>
            </w:tcMar>
          </w:tcPr>
          <w:p w14:paraId="10FA70FA" w14:textId="77777777" w:rsidR="0099110B" w:rsidRPr="00630129" w:rsidRDefault="0099110B" w:rsidP="0099110B">
            <w:pPr>
              <w:pStyle w:val="BodyTextIndent2"/>
              <w:tabs>
                <w:tab w:val="clear" w:pos="142"/>
                <w:tab w:val="clear" w:pos="720"/>
                <w:tab w:val="clear" w:pos="1440"/>
                <w:tab w:val="clear" w:pos="2160"/>
                <w:tab w:val="clear" w:pos="2880"/>
              </w:tabs>
              <w:suppressAutoHyphens w:val="0"/>
              <w:ind w:left="0" w:firstLine="0"/>
              <w:rPr>
                <w:rFonts w:ascii="Times New Roman" w:hAnsi="Times New Roman"/>
                <w:sz w:val="22"/>
                <w:szCs w:val="22"/>
              </w:rPr>
            </w:pPr>
            <w:r w:rsidRPr="00630129">
              <w:rPr>
                <w:rFonts w:ascii="Times New Roman" w:hAnsi="Times New Roman"/>
                <w:sz w:val="22"/>
                <w:szCs w:val="22"/>
              </w:rPr>
              <w:t>PSMMC</w:t>
            </w:r>
            <w:r w:rsidRPr="00630129">
              <w:rPr>
                <w:rFonts w:ascii="Times New Roman" w:hAnsi="Times New Roman"/>
                <w:sz w:val="22"/>
                <w:szCs w:val="22"/>
                <w:vertAlign w:val="subscript"/>
              </w:rPr>
              <w:t>Z1a1.1K1.1j</w:t>
            </w:r>
          </w:p>
        </w:tc>
        <w:tc>
          <w:tcPr>
            <w:tcW w:w="3500" w:type="pct"/>
            <w:tcMar>
              <w:top w:w="57" w:type="dxa"/>
              <w:left w:w="85" w:type="dxa"/>
              <w:bottom w:w="85" w:type="dxa"/>
              <w:right w:w="85" w:type="dxa"/>
            </w:tcMar>
          </w:tcPr>
          <w:p w14:paraId="72CCEB14" w14:textId="77777777" w:rsidR="0099110B" w:rsidRPr="00630129" w:rsidRDefault="0099110B" w:rsidP="0099110B">
            <w:pPr>
              <w:pStyle w:val="BodyTextIndent2"/>
              <w:tabs>
                <w:tab w:val="clear" w:pos="142"/>
                <w:tab w:val="clear" w:pos="720"/>
                <w:tab w:val="clear" w:pos="1440"/>
                <w:tab w:val="clear" w:pos="2160"/>
                <w:tab w:val="clear" w:pos="2880"/>
              </w:tabs>
              <w:suppressAutoHyphens w:val="0"/>
              <w:ind w:left="0" w:firstLine="0"/>
              <w:rPr>
                <w:rFonts w:ascii="Times New Roman" w:hAnsi="Times New Roman"/>
                <w:sz w:val="22"/>
                <w:szCs w:val="22"/>
              </w:rPr>
            </w:pPr>
            <w:r w:rsidRPr="00630129">
              <w:rPr>
                <w:rFonts w:ascii="Times New Roman" w:hAnsi="Times New Roman"/>
                <w:sz w:val="22"/>
                <w:szCs w:val="22"/>
              </w:rPr>
              <w:t>Primary Supplier's Metering System Metered Consumption for Secondary SVA Metering System Number K1.1</w:t>
            </w:r>
          </w:p>
        </w:tc>
      </w:tr>
      <w:tr w:rsidR="0099110B" w:rsidRPr="00630129" w14:paraId="7E30612D" w14:textId="77777777" w:rsidTr="00F248AA">
        <w:trPr>
          <w:cantSplit/>
        </w:trPr>
        <w:tc>
          <w:tcPr>
            <w:tcW w:w="1500" w:type="pct"/>
            <w:tcMar>
              <w:top w:w="57" w:type="dxa"/>
              <w:left w:w="85" w:type="dxa"/>
              <w:bottom w:w="85" w:type="dxa"/>
              <w:right w:w="85" w:type="dxa"/>
            </w:tcMar>
          </w:tcPr>
          <w:p w14:paraId="0E26B63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PSMMC</w:t>
            </w:r>
            <w:r w:rsidRPr="00630129">
              <w:rPr>
                <w:rFonts w:ascii="Times New Roman" w:hAnsi="Times New Roman"/>
                <w:sz w:val="22"/>
                <w:szCs w:val="22"/>
                <w:vertAlign w:val="subscript"/>
              </w:rPr>
              <w:t>Z1a1K1j</w:t>
            </w:r>
          </w:p>
        </w:tc>
        <w:tc>
          <w:tcPr>
            <w:tcW w:w="3500" w:type="pct"/>
            <w:tcMar>
              <w:top w:w="57" w:type="dxa"/>
              <w:left w:w="85" w:type="dxa"/>
              <w:bottom w:w="85" w:type="dxa"/>
              <w:right w:w="85" w:type="dxa"/>
            </w:tcMar>
          </w:tcPr>
          <w:p w14:paraId="7E28CC3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Primary Supplier's Metering System Metered Consumption for Secondary SVA Metering System Number K1</w:t>
            </w:r>
          </w:p>
        </w:tc>
      </w:tr>
      <w:tr w:rsidR="0099110B" w:rsidRPr="00630129" w14:paraId="7AE8A7FC" w14:textId="77777777" w:rsidTr="00F248AA">
        <w:trPr>
          <w:cantSplit/>
        </w:trPr>
        <w:tc>
          <w:tcPr>
            <w:tcW w:w="1500" w:type="pct"/>
            <w:tcMar>
              <w:top w:w="57" w:type="dxa"/>
              <w:left w:w="85" w:type="dxa"/>
              <w:bottom w:w="85" w:type="dxa"/>
              <w:right w:w="85" w:type="dxa"/>
            </w:tcMar>
          </w:tcPr>
          <w:p w14:paraId="210D08E4"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Q</w:t>
            </w:r>
            <w:r w:rsidRPr="00630129">
              <w:rPr>
                <w:rFonts w:ascii="Times New Roman" w:hAnsi="Times New Roman"/>
                <w:sz w:val="22"/>
                <w:szCs w:val="22"/>
                <w:vertAlign w:val="subscript"/>
              </w:rPr>
              <w:t>Rj</w:t>
            </w:r>
            <w:proofErr w:type="spellEnd"/>
          </w:p>
        </w:tc>
        <w:tc>
          <w:tcPr>
            <w:tcW w:w="3500" w:type="pct"/>
            <w:tcMar>
              <w:top w:w="57" w:type="dxa"/>
              <w:left w:w="85" w:type="dxa"/>
              <w:bottom w:w="85" w:type="dxa"/>
              <w:right w:w="85" w:type="dxa"/>
            </w:tcMar>
          </w:tcPr>
          <w:p w14:paraId="0C1ACAF4"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Period Time Pattern State Indicator</w:t>
            </w:r>
          </w:p>
        </w:tc>
      </w:tr>
      <w:tr w:rsidR="0099110B" w:rsidRPr="00630129" w14:paraId="23B09F21" w14:textId="77777777" w:rsidTr="00F248AA">
        <w:trPr>
          <w:cantSplit/>
        </w:trPr>
        <w:tc>
          <w:tcPr>
            <w:tcW w:w="1500" w:type="pct"/>
            <w:tcMar>
              <w:top w:w="57" w:type="dxa"/>
              <w:left w:w="85" w:type="dxa"/>
              <w:bottom w:w="85" w:type="dxa"/>
              <w:right w:w="85" w:type="dxa"/>
            </w:tcMar>
          </w:tcPr>
          <w:p w14:paraId="4A817B56"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QVBMD</w:t>
            </w:r>
            <w:r w:rsidRPr="00630129">
              <w:rPr>
                <w:rFonts w:ascii="Times New Roman" w:hAnsi="Times New Roman"/>
                <w:sz w:val="22"/>
                <w:szCs w:val="22"/>
                <w:vertAlign w:val="subscript"/>
              </w:rPr>
              <w:t>i2NLKji</w:t>
            </w:r>
          </w:p>
        </w:tc>
        <w:tc>
          <w:tcPr>
            <w:tcW w:w="3500" w:type="pct"/>
            <w:tcMar>
              <w:top w:w="57" w:type="dxa"/>
              <w:left w:w="85" w:type="dxa"/>
              <w:bottom w:w="85" w:type="dxa"/>
              <w:right w:w="85" w:type="dxa"/>
            </w:tcMar>
          </w:tcPr>
          <w:p w14:paraId="646577C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Secondary BM Unit Delivered Volume</w:t>
            </w:r>
          </w:p>
        </w:tc>
      </w:tr>
      <w:tr w:rsidR="0099110B" w:rsidRPr="00630129" w14:paraId="74C13C67" w14:textId="77777777" w:rsidTr="00F248AA">
        <w:trPr>
          <w:cantSplit/>
        </w:trPr>
        <w:tc>
          <w:tcPr>
            <w:tcW w:w="1500" w:type="pct"/>
            <w:tcMar>
              <w:top w:w="57" w:type="dxa"/>
              <w:left w:w="85" w:type="dxa"/>
              <w:bottom w:w="85" w:type="dxa"/>
              <w:right w:w="85" w:type="dxa"/>
            </w:tcMar>
          </w:tcPr>
          <w:p w14:paraId="49D5714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QVMD</w:t>
            </w:r>
            <w:r w:rsidRPr="00630129">
              <w:rPr>
                <w:rFonts w:ascii="Times New Roman" w:hAnsi="Times New Roman"/>
                <w:sz w:val="22"/>
                <w:szCs w:val="22"/>
                <w:vertAlign w:val="subscript"/>
              </w:rPr>
              <w:t>Kj</w:t>
            </w:r>
            <w:proofErr w:type="spellEnd"/>
          </w:p>
        </w:tc>
        <w:tc>
          <w:tcPr>
            <w:tcW w:w="3500" w:type="pct"/>
            <w:tcMar>
              <w:top w:w="57" w:type="dxa"/>
              <w:left w:w="85" w:type="dxa"/>
              <w:bottom w:w="85" w:type="dxa"/>
              <w:right w:w="85" w:type="dxa"/>
            </w:tcMar>
          </w:tcPr>
          <w:p w14:paraId="1C689FA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Metering System Delivered Volume</w:t>
            </w:r>
          </w:p>
        </w:tc>
      </w:tr>
      <w:tr w:rsidR="0099110B" w:rsidRPr="00630129" w14:paraId="07AFA5E1" w14:textId="77777777" w:rsidTr="00F248AA">
        <w:trPr>
          <w:cantSplit/>
        </w:trPr>
        <w:tc>
          <w:tcPr>
            <w:tcW w:w="1500" w:type="pct"/>
            <w:tcMar>
              <w:top w:w="57" w:type="dxa"/>
              <w:left w:w="85" w:type="dxa"/>
              <w:bottom w:w="85" w:type="dxa"/>
              <w:right w:w="85" w:type="dxa"/>
            </w:tcMar>
          </w:tcPr>
          <w:p w14:paraId="343735D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RC</w:t>
            </w:r>
            <w:r w:rsidRPr="00630129">
              <w:rPr>
                <w:rFonts w:ascii="Times New Roman" w:hAnsi="Times New Roman"/>
                <w:sz w:val="22"/>
                <w:szCs w:val="22"/>
                <w:vertAlign w:val="subscript"/>
              </w:rPr>
              <w:t>HQ(</w:t>
            </w:r>
            <w:proofErr w:type="spellStart"/>
            <w:r w:rsidRPr="00630129">
              <w:rPr>
                <w:rFonts w:ascii="Times New Roman" w:hAnsi="Times New Roman"/>
                <w:sz w:val="22"/>
                <w:szCs w:val="22"/>
                <w:vertAlign w:val="subscript"/>
              </w:rPr>
              <w:t>nn</w:t>
            </w:r>
            <w:proofErr w:type="spellEnd"/>
            <w:r w:rsidRPr="00630129">
              <w:rPr>
                <w:rFonts w:ascii="Times New Roman" w:hAnsi="Times New Roman"/>
                <w:sz w:val="22"/>
                <w:szCs w:val="22"/>
                <w:vertAlign w:val="subscript"/>
              </w:rPr>
              <w:t>)j</w:t>
            </w:r>
          </w:p>
        </w:tc>
        <w:tc>
          <w:tcPr>
            <w:tcW w:w="3500" w:type="pct"/>
            <w:tcMar>
              <w:top w:w="57" w:type="dxa"/>
              <w:left w:w="85" w:type="dxa"/>
              <w:bottom w:w="85" w:type="dxa"/>
              <w:right w:w="85" w:type="dxa"/>
            </w:tcMar>
          </w:tcPr>
          <w:p w14:paraId="4519BE8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Regression Coefficients</w:t>
            </w:r>
          </w:p>
        </w:tc>
      </w:tr>
      <w:tr w:rsidR="0099110B" w:rsidRPr="00630129" w14:paraId="6FD87A25" w14:textId="77777777" w:rsidTr="00F248AA">
        <w:trPr>
          <w:cantSplit/>
        </w:trPr>
        <w:tc>
          <w:tcPr>
            <w:tcW w:w="1500" w:type="pct"/>
            <w:tcMar>
              <w:top w:w="57" w:type="dxa"/>
              <w:left w:w="85" w:type="dxa"/>
              <w:bottom w:w="85" w:type="dxa"/>
              <w:right w:w="85" w:type="dxa"/>
            </w:tcMar>
          </w:tcPr>
          <w:p w14:paraId="787B51DF" w14:textId="77777777" w:rsidR="0099110B" w:rsidRPr="00630129" w:rsidRDefault="0099110B" w:rsidP="0099110B">
            <w:pPr>
              <w:jc w:val="both"/>
              <w:rPr>
                <w:sz w:val="22"/>
                <w:szCs w:val="22"/>
              </w:rPr>
            </w:pPr>
            <w:r w:rsidRPr="00630129">
              <w:rPr>
                <w:sz w:val="22"/>
                <w:szCs w:val="22"/>
              </w:rPr>
              <w:t>RDD</w:t>
            </w:r>
            <w:r w:rsidRPr="00630129">
              <w:rPr>
                <w:sz w:val="22"/>
                <w:szCs w:val="22"/>
                <w:vertAlign w:val="subscript"/>
              </w:rPr>
              <w:t>R(</w:t>
            </w:r>
            <w:proofErr w:type="spellStart"/>
            <w:r w:rsidRPr="00630129">
              <w:rPr>
                <w:sz w:val="22"/>
                <w:szCs w:val="22"/>
                <w:vertAlign w:val="subscript"/>
              </w:rPr>
              <w:t>ai</w:t>
            </w:r>
            <w:proofErr w:type="spellEnd"/>
            <w:r w:rsidRPr="00630129">
              <w:rPr>
                <w:sz w:val="22"/>
                <w:szCs w:val="22"/>
                <w:vertAlign w:val="subscript"/>
              </w:rPr>
              <w:t>)</w:t>
            </w:r>
          </w:p>
        </w:tc>
        <w:tc>
          <w:tcPr>
            <w:tcW w:w="3500" w:type="pct"/>
            <w:tcMar>
              <w:top w:w="57" w:type="dxa"/>
              <w:left w:w="85" w:type="dxa"/>
              <w:bottom w:w="85" w:type="dxa"/>
              <w:right w:w="85" w:type="dxa"/>
            </w:tcMar>
          </w:tcPr>
          <w:p w14:paraId="2E00CD80" w14:textId="77777777" w:rsidR="0099110B" w:rsidRPr="00630129" w:rsidRDefault="0099110B" w:rsidP="0099110B">
            <w:pPr>
              <w:jc w:val="both"/>
              <w:rPr>
                <w:sz w:val="22"/>
                <w:szCs w:val="22"/>
              </w:rPr>
            </w:pPr>
            <w:r w:rsidRPr="00630129">
              <w:rPr>
                <w:sz w:val="22"/>
                <w:szCs w:val="22"/>
              </w:rPr>
              <w:t>Rounded-Down Duration</w:t>
            </w:r>
          </w:p>
        </w:tc>
      </w:tr>
      <w:tr w:rsidR="0099110B" w:rsidRPr="00630129" w14:paraId="1C906694" w14:textId="77777777" w:rsidTr="00F248AA">
        <w:trPr>
          <w:cantSplit/>
        </w:trPr>
        <w:tc>
          <w:tcPr>
            <w:tcW w:w="1500" w:type="pct"/>
            <w:tcMar>
              <w:top w:w="57" w:type="dxa"/>
              <w:left w:w="85" w:type="dxa"/>
              <w:bottom w:w="85" w:type="dxa"/>
              <w:right w:w="85" w:type="dxa"/>
            </w:tcMar>
          </w:tcPr>
          <w:p w14:paraId="5ED2C4B1" w14:textId="77777777" w:rsidR="0099110B" w:rsidRPr="00630129" w:rsidRDefault="0099110B" w:rsidP="0099110B">
            <w:pPr>
              <w:jc w:val="both"/>
              <w:rPr>
                <w:sz w:val="22"/>
                <w:szCs w:val="22"/>
              </w:rPr>
            </w:pPr>
            <w:r w:rsidRPr="00630129">
              <w:rPr>
                <w:sz w:val="22"/>
                <w:szCs w:val="22"/>
              </w:rPr>
              <w:t>RUD</w:t>
            </w:r>
            <w:r w:rsidRPr="00630129">
              <w:rPr>
                <w:sz w:val="22"/>
                <w:szCs w:val="22"/>
                <w:vertAlign w:val="subscript"/>
              </w:rPr>
              <w:t>R(</w:t>
            </w:r>
            <w:proofErr w:type="spellStart"/>
            <w:r w:rsidRPr="00630129">
              <w:rPr>
                <w:sz w:val="22"/>
                <w:szCs w:val="22"/>
                <w:vertAlign w:val="subscript"/>
              </w:rPr>
              <w:t>ai</w:t>
            </w:r>
            <w:proofErr w:type="spellEnd"/>
            <w:r w:rsidRPr="00630129">
              <w:rPr>
                <w:sz w:val="22"/>
                <w:szCs w:val="22"/>
                <w:vertAlign w:val="subscript"/>
              </w:rPr>
              <w:t>)</w:t>
            </w:r>
          </w:p>
        </w:tc>
        <w:tc>
          <w:tcPr>
            <w:tcW w:w="3500" w:type="pct"/>
            <w:tcMar>
              <w:top w:w="57" w:type="dxa"/>
              <w:left w:w="85" w:type="dxa"/>
              <w:bottom w:w="85" w:type="dxa"/>
              <w:right w:w="85" w:type="dxa"/>
            </w:tcMar>
          </w:tcPr>
          <w:p w14:paraId="56D09FD4" w14:textId="77777777" w:rsidR="0099110B" w:rsidRPr="00630129" w:rsidRDefault="0099110B" w:rsidP="0099110B">
            <w:pPr>
              <w:jc w:val="both"/>
              <w:rPr>
                <w:sz w:val="22"/>
                <w:szCs w:val="22"/>
              </w:rPr>
            </w:pPr>
            <w:r w:rsidRPr="00630129">
              <w:rPr>
                <w:sz w:val="22"/>
                <w:szCs w:val="22"/>
              </w:rPr>
              <w:t>Rounded-Up Duration</w:t>
            </w:r>
          </w:p>
        </w:tc>
      </w:tr>
      <w:tr w:rsidR="0099110B" w:rsidRPr="00630129" w14:paraId="6CBAF9A6" w14:textId="77777777" w:rsidTr="00F248AA">
        <w:trPr>
          <w:cantSplit/>
        </w:trPr>
        <w:tc>
          <w:tcPr>
            <w:tcW w:w="1500" w:type="pct"/>
            <w:tcMar>
              <w:top w:w="57" w:type="dxa"/>
              <w:left w:w="85" w:type="dxa"/>
              <w:bottom w:w="85" w:type="dxa"/>
              <w:right w:w="85" w:type="dxa"/>
            </w:tcMar>
          </w:tcPr>
          <w:p w14:paraId="6ABBF81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w:t>
            </w:r>
          </w:p>
        </w:tc>
        <w:tc>
          <w:tcPr>
            <w:tcW w:w="3500" w:type="pct"/>
            <w:tcMar>
              <w:top w:w="57" w:type="dxa"/>
              <w:left w:w="85" w:type="dxa"/>
              <w:bottom w:w="85" w:type="dxa"/>
              <w:right w:w="85" w:type="dxa"/>
            </w:tcMar>
          </w:tcPr>
          <w:p w14:paraId="48291FE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Sunset Variable</w:t>
            </w:r>
          </w:p>
        </w:tc>
      </w:tr>
      <w:tr w:rsidR="0099110B" w:rsidRPr="00630129" w14:paraId="6A56901A"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C084FB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SDD</w:t>
            </w:r>
            <w:r w:rsidRPr="00630129">
              <w:rPr>
                <w:rFonts w:ascii="Times New Roman" w:hAnsi="Times New Roman"/>
                <w:sz w:val="22"/>
                <w:szCs w:val="22"/>
                <w:vertAlign w:val="subscript"/>
              </w:rPr>
              <w:t>HZaNj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5E7D802"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Supplier’s Demand Disconnection Volume</w:t>
            </w:r>
          </w:p>
        </w:tc>
      </w:tr>
      <w:tr w:rsidR="0099110B" w:rsidRPr="00630129" w14:paraId="16BA254D"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5E32B4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SDDL</w:t>
            </w:r>
            <w:r w:rsidRPr="00630129">
              <w:rPr>
                <w:rFonts w:ascii="Times New Roman" w:hAnsi="Times New Roman"/>
                <w:sz w:val="22"/>
                <w:szCs w:val="22"/>
                <w:vertAlign w:val="subscript"/>
              </w:rPr>
              <w:t>HZaNj</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70144D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Supplier’s Demand Disconnection Volume (Losses)</w:t>
            </w:r>
          </w:p>
        </w:tc>
      </w:tr>
      <w:tr w:rsidR="0099110B" w:rsidRPr="00630129" w14:paraId="11CE76AC"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7E35BBD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SDM</w:t>
            </w:r>
            <w:r w:rsidRPr="00630129">
              <w:rPr>
                <w:rFonts w:ascii="Times New Roman" w:hAnsi="Times New Roman"/>
                <w:sz w:val="22"/>
                <w:szCs w:val="22"/>
                <w:vertAlign w:val="subscript"/>
              </w:rPr>
              <w:t>HZaLPR</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6E74CC4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Supplier Disconnection Matrix</w:t>
            </w:r>
          </w:p>
        </w:tc>
      </w:tr>
      <w:tr w:rsidR="0099110B" w:rsidRPr="00630129" w14:paraId="77686BD0" w14:textId="77777777" w:rsidTr="00F248AA">
        <w:trPr>
          <w:cantSplit/>
        </w:trPr>
        <w:tc>
          <w:tcPr>
            <w:tcW w:w="1500" w:type="pct"/>
            <w:tcMar>
              <w:top w:w="57" w:type="dxa"/>
              <w:left w:w="85" w:type="dxa"/>
              <w:bottom w:w="85" w:type="dxa"/>
              <w:right w:w="85" w:type="dxa"/>
            </w:tcMar>
          </w:tcPr>
          <w:p w14:paraId="38AB7016"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SDT</w:t>
            </w:r>
            <w:r w:rsidRPr="00630129">
              <w:rPr>
                <w:rFonts w:ascii="Times New Roman" w:hAnsi="Times New Roman"/>
                <w:sz w:val="22"/>
                <w:szCs w:val="22"/>
                <w:vertAlign w:val="subscript"/>
              </w:rPr>
              <w:t>HZj</w:t>
            </w:r>
            <w:proofErr w:type="spellEnd"/>
          </w:p>
        </w:tc>
        <w:tc>
          <w:tcPr>
            <w:tcW w:w="3500" w:type="pct"/>
            <w:tcMar>
              <w:top w:w="57" w:type="dxa"/>
              <w:left w:w="85" w:type="dxa"/>
              <w:bottom w:w="85" w:type="dxa"/>
              <w:right w:w="85" w:type="dxa"/>
            </w:tcMar>
          </w:tcPr>
          <w:p w14:paraId="23F7E066"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Supplier Deemed Take</w:t>
            </w:r>
          </w:p>
        </w:tc>
      </w:tr>
      <w:tr w:rsidR="0099110B" w:rsidRPr="00630129" w14:paraId="56878EC8" w14:textId="77777777" w:rsidTr="00F248AA">
        <w:trPr>
          <w:cantSplit/>
          <w:ins w:id="113" w:author="Aditi Tulpule" w:date="2021-02-24T16:16:00Z"/>
        </w:trPr>
        <w:tc>
          <w:tcPr>
            <w:tcW w:w="1500" w:type="pct"/>
            <w:tcMar>
              <w:top w:w="57" w:type="dxa"/>
              <w:left w:w="85" w:type="dxa"/>
              <w:bottom w:w="85" w:type="dxa"/>
              <w:right w:w="85" w:type="dxa"/>
            </w:tcMar>
          </w:tcPr>
          <w:p w14:paraId="73B60C0C" w14:textId="6E1A5311"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114" w:author="Aditi Tulpule" w:date="2021-02-24T16:16:00Z"/>
                <w:rFonts w:ascii="Times New Roman" w:hAnsi="Times New Roman"/>
                <w:sz w:val="22"/>
                <w:szCs w:val="22"/>
              </w:rPr>
            </w:pPr>
            <w:ins w:id="115" w:author="Aditi Tulpule" w:date="2021-02-24T16:16:00Z">
              <w:r>
                <w:rPr>
                  <w:rFonts w:ascii="Times New Roman" w:hAnsi="Times New Roman"/>
                  <w:sz w:val="22"/>
                  <w:szCs w:val="22"/>
                </w:rPr>
                <w:t>[P376]</w:t>
              </w:r>
              <w:proofErr w:type="spellStart"/>
              <w:r w:rsidRPr="0007356E">
                <w:rPr>
                  <w:rFonts w:ascii="Times New Roman" w:hAnsi="Times New Roman"/>
                  <w:sz w:val="22"/>
                  <w:szCs w:val="22"/>
                </w:rPr>
                <w:t>SEV</w:t>
              </w:r>
              <w:r w:rsidRPr="00630129">
                <w:rPr>
                  <w:rFonts w:ascii="Times New Roman" w:hAnsi="Times New Roman"/>
                  <w:sz w:val="22"/>
                  <w:szCs w:val="22"/>
                  <w:vertAlign w:val="subscript"/>
                </w:rPr>
                <w:t>ji</w:t>
              </w:r>
              <w:proofErr w:type="spellEnd"/>
            </w:ins>
          </w:p>
        </w:tc>
        <w:tc>
          <w:tcPr>
            <w:tcW w:w="3500" w:type="pct"/>
            <w:tcMar>
              <w:top w:w="57" w:type="dxa"/>
              <w:left w:w="85" w:type="dxa"/>
              <w:bottom w:w="85" w:type="dxa"/>
              <w:right w:w="85" w:type="dxa"/>
            </w:tcMar>
          </w:tcPr>
          <w:p w14:paraId="29F92830" w14:textId="02F1ADB0"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116" w:author="Aditi Tulpule" w:date="2021-02-24T16:16:00Z"/>
                <w:rFonts w:ascii="Times New Roman" w:hAnsi="Times New Roman"/>
                <w:sz w:val="22"/>
                <w:szCs w:val="22"/>
              </w:rPr>
            </w:pPr>
            <w:ins w:id="117" w:author="Aditi Tulpule" w:date="2021-02-24T16:16:00Z">
              <w:r>
                <w:rPr>
                  <w:rFonts w:ascii="Times New Roman" w:hAnsi="Times New Roman"/>
                  <w:sz w:val="22"/>
                  <w:szCs w:val="22"/>
                </w:rPr>
                <w:t xml:space="preserve">Settlement Expected Volume </w:t>
              </w:r>
            </w:ins>
          </w:p>
        </w:tc>
      </w:tr>
      <w:tr w:rsidR="0099110B" w:rsidRPr="00630129" w14:paraId="786EF36F" w14:textId="77777777" w:rsidTr="00F248AA">
        <w:trPr>
          <w:cantSplit/>
        </w:trPr>
        <w:tc>
          <w:tcPr>
            <w:tcW w:w="1500" w:type="pct"/>
            <w:tcMar>
              <w:top w:w="57" w:type="dxa"/>
              <w:left w:w="85" w:type="dxa"/>
              <w:bottom w:w="85" w:type="dxa"/>
              <w:right w:w="85" w:type="dxa"/>
            </w:tcMar>
          </w:tcPr>
          <w:p w14:paraId="7BFD04B1"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SHSMMC</w:t>
            </w:r>
            <w:r w:rsidRPr="00630129">
              <w:rPr>
                <w:rFonts w:ascii="Times New Roman" w:hAnsi="Times New Roman"/>
                <w:sz w:val="22"/>
                <w:szCs w:val="22"/>
                <w:vertAlign w:val="subscript"/>
              </w:rPr>
              <w:t>ZaKj</w:t>
            </w:r>
            <w:proofErr w:type="spellEnd"/>
          </w:p>
        </w:tc>
        <w:tc>
          <w:tcPr>
            <w:tcW w:w="3500" w:type="pct"/>
            <w:tcMar>
              <w:top w:w="57" w:type="dxa"/>
              <w:left w:w="85" w:type="dxa"/>
              <w:bottom w:w="85" w:type="dxa"/>
              <w:right w:w="85" w:type="dxa"/>
            </w:tcMar>
          </w:tcPr>
          <w:p w14:paraId="34A9FD80"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Shared Suppliers' Metering System Metered Consumption</w:t>
            </w:r>
          </w:p>
        </w:tc>
      </w:tr>
      <w:tr w:rsidR="0099110B" w:rsidRPr="00630129" w14:paraId="37F76FB8" w14:textId="77777777" w:rsidTr="00F248AA">
        <w:trPr>
          <w:cantSplit/>
        </w:trPr>
        <w:tc>
          <w:tcPr>
            <w:tcW w:w="1500" w:type="pct"/>
            <w:tcMar>
              <w:top w:w="57" w:type="dxa"/>
              <w:left w:w="85" w:type="dxa"/>
              <w:bottom w:w="85" w:type="dxa"/>
              <w:right w:w="85" w:type="dxa"/>
            </w:tcMar>
          </w:tcPr>
          <w:p w14:paraId="537DE4A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SIX_PM</w:t>
            </w:r>
          </w:p>
        </w:tc>
        <w:tc>
          <w:tcPr>
            <w:tcW w:w="3500" w:type="pct"/>
            <w:tcMar>
              <w:top w:w="57" w:type="dxa"/>
              <w:left w:w="85" w:type="dxa"/>
              <w:bottom w:w="85" w:type="dxa"/>
              <w:right w:w="85" w:type="dxa"/>
            </w:tcMar>
          </w:tcPr>
          <w:p w14:paraId="1FB9DA46"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
        </w:tc>
      </w:tr>
      <w:tr w:rsidR="0099110B" w:rsidRPr="00630129" w14:paraId="4C78FCCE" w14:textId="77777777" w:rsidTr="00F248AA">
        <w:trPr>
          <w:cantSplit/>
        </w:trPr>
        <w:tc>
          <w:tcPr>
            <w:tcW w:w="1500" w:type="pct"/>
            <w:tcMar>
              <w:top w:w="57" w:type="dxa"/>
              <w:left w:w="85" w:type="dxa"/>
              <w:bottom w:w="85" w:type="dxa"/>
              <w:right w:w="85" w:type="dxa"/>
            </w:tcMar>
          </w:tcPr>
          <w:p w14:paraId="2A85B9D7"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SLP</w:t>
            </w:r>
            <w:r w:rsidRPr="00630129">
              <w:rPr>
                <w:rFonts w:ascii="Times New Roman" w:hAnsi="Times New Roman"/>
                <w:sz w:val="22"/>
                <w:szCs w:val="22"/>
                <w:vertAlign w:val="subscript"/>
              </w:rPr>
              <w:t>HPCj</w:t>
            </w:r>
            <w:proofErr w:type="spellEnd"/>
          </w:p>
        </w:tc>
        <w:tc>
          <w:tcPr>
            <w:tcW w:w="3500" w:type="pct"/>
            <w:tcMar>
              <w:top w:w="57" w:type="dxa"/>
              <w:left w:w="85" w:type="dxa"/>
              <w:bottom w:w="85" w:type="dxa"/>
              <w:right w:w="85" w:type="dxa"/>
            </w:tcMar>
          </w:tcPr>
          <w:p w14:paraId="6737385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Switched Load Profile Coefficient</w:t>
            </w:r>
          </w:p>
        </w:tc>
      </w:tr>
      <w:tr w:rsidR="0099110B" w:rsidRPr="00630129" w14:paraId="1CBC8B51" w14:textId="77777777" w:rsidTr="00F248AA">
        <w:trPr>
          <w:cantSplit/>
        </w:trPr>
        <w:tc>
          <w:tcPr>
            <w:tcW w:w="1500" w:type="pct"/>
            <w:tcMar>
              <w:top w:w="57" w:type="dxa"/>
              <w:left w:w="85" w:type="dxa"/>
              <w:bottom w:w="85" w:type="dxa"/>
              <w:right w:w="85" w:type="dxa"/>
            </w:tcMar>
          </w:tcPr>
          <w:p w14:paraId="5887423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SMC</w:t>
            </w:r>
            <w:r w:rsidRPr="00630129">
              <w:rPr>
                <w:rFonts w:ascii="Times New Roman" w:hAnsi="Times New Roman"/>
                <w:sz w:val="22"/>
                <w:szCs w:val="22"/>
                <w:vertAlign w:val="subscript"/>
              </w:rPr>
              <w:t>HZaNLj</w:t>
            </w:r>
            <w:proofErr w:type="spellEnd"/>
          </w:p>
        </w:tc>
        <w:tc>
          <w:tcPr>
            <w:tcW w:w="3500" w:type="pct"/>
            <w:tcMar>
              <w:top w:w="57" w:type="dxa"/>
              <w:left w:w="85" w:type="dxa"/>
              <w:bottom w:w="85" w:type="dxa"/>
              <w:right w:w="85" w:type="dxa"/>
            </w:tcMar>
          </w:tcPr>
          <w:p w14:paraId="580396C9"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Supplier's Metered Consumption</w:t>
            </w:r>
          </w:p>
        </w:tc>
      </w:tr>
      <w:tr w:rsidR="0099110B" w:rsidRPr="00630129" w14:paraId="6E6CF540" w14:textId="77777777" w:rsidTr="00F248AA">
        <w:trPr>
          <w:cantSplit/>
        </w:trPr>
        <w:tc>
          <w:tcPr>
            <w:tcW w:w="1500" w:type="pct"/>
            <w:tcMar>
              <w:top w:w="57" w:type="dxa"/>
              <w:left w:w="85" w:type="dxa"/>
              <w:bottom w:w="85" w:type="dxa"/>
              <w:right w:w="85" w:type="dxa"/>
            </w:tcMar>
          </w:tcPr>
          <w:p w14:paraId="0839644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SMCL</w:t>
            </w:r>
            <w:r w:rsidRPr="00630129">
              <w:rPr>
                <w:rFonts w:ascii="Times New Roman" w:hAnsi="Times New Roman"/>
                <w:sz w:val="22"/>
                <w:szCs w:val="22"/>
                <w:vertAlign w:val="subscript"/>
              </w:rPr>
              <w:t>HZaNLj</w:t>
            </w:r>
            <w:proofErr w:type="spellEnd"/>
          </w:p>
        </w:tc>
        <w:tc>
          <w:tcPr>
            <w:tcW w:w="3500" w:type="pct"/>
            <w:tcMar>
              <w:top w:w="57" w:type="dxa"/>
              <w:left w:w="85" w:type="dxa"/>
              <w:bottom w:w="85" w:type="dxa"/>
              <w:right w:w="85" w:type="dxa"/>
            </w:tcMar>
          </w:tcPr>
          <w:p w14:paraId="1CC937C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Supplier’s Metered Consumption (Losses)</w:t>
            </w:r>
          </w:p>
        </w:tc>
      </w:tr>
      <w:tr w:rsidR="0099110B" w:rsidRPr="00630129" w14:paraId="6C3A4DE5" w14:textId="77777777" w:rsidTr="00F248AA">
        <w:trPr>
          <w:cantSplit/>
        </w:trPr>
        <w:tc>
          <w:tcPr>
            <w:tcW w:w="1500" w:type="pct"/>
            <w:tcMar>
              <w:top w:w="57" w:type="dxa"/>
              <w:left w:w="85" w:type="dxa"/>
              <w:bottom w:w="85" w:type="dxa"/>
              <w:right w:w="85" w:type="dxa"/>
            </w:tcMar>
          </w:tcPr>
          <w:p w14:paraId="6509880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SMMC</w:t>
            </w:r>
            <w:r w:rsidRPr="00630129">
              <w:rPr>
                <w:rFonts w:ascii="Times New Roman" w:hAnsi="Times New Roman"/>
                <w:sz w:val="22"/>
                <w:szCs w:val="22"/>
                <w:vertAlign w:val="subscript"/>
              </w:rPr>
              <w:t xml:space="preserve"> </w:t>
            </w:r>
            <w:proofErr w:type="spellStart"/>
            <w:r w:rsidRPr="00630129">
              <w:rPr>
                <w:rFonts w:ascii="Times New Roman" w:hAnsi="Times New Roman"/>
                <w:sz w:val="22"/>
                <w:szCs w:val="22"/>
                <w:vertAlign w:val="subscript"/>
              </w:rPr>
              <w:t>ZaKj</w:t>
            </w:r>
            <w:proofErr w:type="spellEnd"/>
          </w:p>
        </w:tc>
        <w:tc>
          <w:tcPr>
            <w:tcW w:w="3500" w:type="pct"/>
            <w:tcMar>
              <w:top w:w="57" w:type="dxa"/>
              <w:left w:w="85" w:type="dxa"/>
              <w:bottom w:w="85" w:type="dxa"/>
              <w:right w:w="85" w:type="dxa"/>
            </w:tcMar>
          </w:tcPr>
          <w:p w14:paraId="39B4E82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Supplier’s Metering System Metered Consumption</w:t>
            </w:r>
          </w:p>
        </w:tc>
      </w:tr>
      <w:tr w:rsidR="0099110B" w:rsidRPr="00630129" w14:paraId="1692EBC2" w14:textId="77777777" w:rsidTr="00F248AA">
        <w:trPr>
          <w:cantSplit/>
        </w:trPr>
        <w:tc>
          <w:tcPr>
            <w:tcW w:w="1500" w:type="pct"/>
            <w:tcMar>
              <w:top w:w="57" w:type="dxa"/>
              <w:left w:w="85" w:type="dxa"/>
              <w:bottom w:w="85" w:type="dxa"/>
              <w:right w:w="85" w:type="dxa"/>
            </w:tcMar>
          </w:tcPr>
          <w:p w14:paraId="13CB3977"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SMRC</w:t>
            </w:r>
            <w:r w:rsidRPr="00630129">
              <w:rPr>
                <w:rFonts w:ascii="Times New Roman" w:hAnsi="Times New Roman"/>
                <w:sz w:val="22"/>
                <w:szCs w:val="22"/>
                <w:vertAlign w:val="subscript"/>
              </w:rPr>
              <w:sym w:font="Symbol" w:char="F05A"/>
            </w:r>
            <w:proofErr w:type="spellStart"/>
            <w:r w:rsidRPr="00630129">
              <w:rPr>
                <w:rFonts w:ascii="Times New Roman" w:hAnsi="Times New Roman"/>
                <w:sz w:val="22"/>
                <w:szCs w:val="22"/>
                <w:vertAlign w:val="subscript"/>
              </w:rPr>
              <w:t>aKJj</w:t>
            </w:r>
            <w:proofErr w:type="spellEnd"/>
          </w:p>
        </w:tc>
        <w:tc>
          <w:tcPr>
            <w:tcW w:w="3500" w:type="pct"/>
            <w:tcMar>
              <w:top w:w="57" w:type="dxa"/>
              <w:left w:w="85" w:type="dxa"/>
              <w:bottom w:w="85" w:type="dxa"/>
              <w:right w:w="85" w:type="dxa"/>
            </w:tcMar>
          </w:tcPr>
          <w:p w14:paraId="766833A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Supplier’s Meter Register Consumption</w:t>
            </w:r>
          </w:p>
        </w:tc>
      </w:tr>
      <w:tr w:rsidR="0099110B" w:rsidRPr="00B81AA4" w14:paraId="4D31C705" w14:textId="77777777" w:rsidTr="00F248AA">
        <w:trPr>
          <w:cantSplit/>
        </w:trPr>
        <w:tc>
          <w:tcPr>
            <w:tcW w:w="1500" w:type="pct"/>
            <w:tcMar>
              <w:top w:w="57" w:type="dxa"/>
              <w:left w:w="85" w:type="dxa"/>
              <w:bottom w:w="85" w:type="dxa"/>
              <w:right w:w="85" w:type="dxa"/>
            </w:tcMar>
          </w:tcPr>
          <w:p w14:paraId="1D6B33A4" w14:textId="77777777" w:rsidR="0099110B" w:rsidRPr="00271EC3"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FC0D03">
              <w:rPr>
                <w:rFonts w:ascii="Times New Roman" w:hAnsi="Times New Roman"/>
                <w:sz w:val="22"/>
                <w:szCs w:val="22"/>
              </w:rPr>
              <w:t>SNBABSVD</w:t>
            </w:r>
            <w:r w:rsidRPr="00FC0D03">
              <w:rPr>
                <w:rFonts w:ascii="Times New Roman" w:hAnsi="Times New Roman"/>
                <w:sz w:val="22"/>
                <w:szCs w:val="22"/>
                <w:vertAlign w:val="subscript"/>
              </w:rPr>
              <w:t>ij</w:t>
            </w:r>
            <w:proofErr w:type="spellEnd"/>
          </w:p>
        </w:tc>
        <w:tc>
          <w:tcPr>
            <w:tcW w:w="3500" w:type="pct"/>
            <w:tcMar>
              <w:top w:w="57" w:type="dxa"/>
              <w:left w:w="85" w:type="dxa"/>
              <w:bottom w:w="85" w:type="dxa"/>
              <w:right w:w="85" w:type="dxa"/>
            </w:tcMar>
          </w:tcPr>
          <w:p w14:paraId="34A8DCF7" w14:textId="77777777" w:rsidR="0099110B" w:rsidRPr="00FA6F10"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FC0D03">
              <w:rPr>
                <w:rFonts w:ascii="Times New Roman" w:hAnsi="Times New Roman"/>
                <w:sz w:val="22"/>
                <w:szCs w:val="22"/>
              </w:rPr>
              <w:t>Supplier BM Unit Non BM ABSVD</w:t>
            </w:r>
          </w:p>
        </w:tc>
      </w:tr>
      <w:tr w:rsidR="0099110B" w:rsidRPr="00630129" w14:paraId="48D3948F" w14:textId="77777777" w:rsidTr="00F248AA">
        <w:trPr>
          <w:cantSplit/>
        </w:trPr>
        <w:tc>
          <w:tcPr>
            <w:tcW w:w="1500" w:type="pct"/>
            <w:tcMar>
              <w:top w:w="57" w:type="dxa"/>
              <w:left w:w="85" w:type="dxa"/>
              <w:bottom w:w="85" w:type="dxa"/>
              <w:right w:w="85" w:type="dxa"/>
            </w:tcMar>
          </w:tcPr>
          <w:p w14:paraId="09ACFC1D"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SPAR</w:t>
            </w:r>
          </w:p>
        </w:tc>
        <w:tc>
          <w:tcPr>
            <w:tcW w:w="3500" w:type="pct"/>
            <w:tcMar>
              <w:top w:w="57" w:type="dxa"/>
              <w:left w:w="85" w:type="dxa"/>
              <w:bottom w:w="85" w:type="dxa"/>
              <w:right w:w="85" w:type="dxa"/>
            </w:tcMar>
          </w:tcPr>
          <w:p w14:paraId="4C508A39"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Smoothing Parameter</w:t>
            </w:r>
          </w:p>
        </w:tc>
      </w:tr>
      <w:tr w:rsidR="0099110B" w:rsidRPr="00630129" w14:paraId="618ED240"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77F7025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SPD</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A21E659"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Settlement Period Duration</w:t>
            </w:r>
          </w:p>
        </w:tc>
      </w:tr>
      <w:tr w:rsidR="0099110B" w:rsidRPr="00630129" w14:paraId="04B148CE" w14:textId="77777777" w:rsidTr="00F248AA">
        <w:trPr>
          <w:cantSplit/>
        </w:trPr>
        <w:tc>
          <w:tcPr>
            <w:tcW w:w="1500" w:type="pct"/>
            <w:tcMar>
              <w:top w:w="57" w:type="dxa"/>
              <w:left w:w="85" w:type="dxa"/>
              <w:bottom w:w="85" w:type="dxa"/>
              <w:right w:w="85" w:type="dxa"/>
            </w:tcMar>
          </w:tcPr>
          <w:p w14:paraId="3F24CCF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SPM</w:t>
            </w:r>
            <w:r w:rsidRPr="00630129">
              <w:rPr>
                <w:rFonts w:ascii="Times New Roman" w:hAnsi="Times New Roman"/>
                <w:sz w:val="22"/>
                <w:szCs w:val="22"/>
                <w:vertAlign w:val="subscript"/>
              </w:rPr>
              <w:t>HZaLPR</w:t>
            </w:r>
            <w:proofErr w:type="spellEnd"/>
          </w:p>
        </w:tc>
        <w:tc>
          <w:tcPr>
            <w:tcW w:w="3500" w:type="pct"/>
            <w:tcMar>
              <w:top w:w="57" w:type="dxa"/>
              <w:left w:w="85" w:type="dxa"/>
              <w:bottom w:w="85" w:type="dxa"/>
              <w:right w:w="85" w:type="dxa"/>
            </w:tcMar>
          </w:tcPr>
          <w:p w14:paraId="01D9341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Supplier Purchase Matrix</w:t>
            </w:r>
          </w:p>
        </w:tc>
      </w:tr>
      <w:tr w:rsidR="0099110B" w:rsidRPr="00630129" w14:paraId="674EA042" w14:textId="77777777" w:rsidTr="00F248AA">
        <w:trPr>
          <w:cantSplit/>
        </w:trPr>
        <w:tc>
          <w:tcPr>
            <w:tcW w:w="1500" w:type="pct"/>
            <w:tcMar>
              <w:top w:w="57" w:type="dxa"/>
              <w:left w:w="85" w:type="dxa"/>
              <w:bottom w:w="85" w:type="dxa"/>
              <w:right w:w="85" w:type="dxa"/>
            </w:tcMar>
          </w:tcPr>
          <w:p w14:paraId="2042BB84"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SQ</w:t>
            </w:r>
            <w:r w:rsidRPr="00630129">
              <w:rPr>
                <w:rFonts w:ascii="Times New Roman" w:hAnsi="Times New Roman"/>
                <w:sz w:val="22"/>
                <w:szCs w:val="22"/>
                <w:vertAlign w:val="subscript"/>
              </w:rPr>
              <w:t>Cj</w:t>
            </w:r>
            <w:proofErr w:type="spellEnd"/>
          </w:p>
        </w:tc>
        <w:tc>
          <w:tcPr>
            <w:tcW w:w="3500" w:type="pct"/>
            <w:tcMar>
              <w:top w:w="57" w:type="dxa"/>
              <w:left w:w="85" w:type="dxa"/>
              <w:bottom w:w="85" w:type="dxa"/>
              <w:right w:w="85" w:type="dxa"/>
            </w:tcMar>
          </w:tcPr>
          <w:p w14:paraId="3B2075A9"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Switched Load State Indicator</w:t>
            </w:r>
          </w:p>
        </w:tc>
      </w:tr>
      <w:tr w:rsidR="0099110B" w:rsidRPr="00630129" w14:paraId="4E5449E7" w14:textId="77777777" w:rsidTr="00F248AA">
        <w:trPr>
          <w:cantSplit/>
        </w:trPr>
        <w:tc>
          <w:tcPr>
            <w:tcW w:w="1500" w:type="pct"/>
            <w:tcMar>
              <w:top w:w="57" w:type="dxa"/>
              <w:left w:w="85" w:type="dxa"/>
              <w:bottom w:w="85" w:type="dxa"/>
              <w:right w:w="85" w:type="dxa"/>
            </w:tcMar>
          </w:tcPr>
          <w:p w14:paraId="4E66EDA0" w14:textId="77777777" w:rsidR="0099110B" w:rsidRPr="00630129" w:rsidRDefault="0099110B" w:rsidP="0099110B">
            <w:pPr>
              <w:jc w:val="both"/>
              <w:rPr>
                <w:sz w:val="22"/>
                <w:szCs w:val="22"/>
              </w:rPr>
            </w:pPr>
            <w:r w:rsidRPr="00630129">
              <w:rPr>
                <w:sz w:val="22"/>
                <w:szCs w:val="22"/>
              </w:rPr>
              <w:lastRenderedPageBreak/>
              <w:t>SSCED</w:t>
            </w:r>
            <w:r w:rsidRPr="00630129">
              <w:rPr>
                <w:sz w:val="22"/>
                <w:szCs w:val="22"/>
                <w:vertAlign w:val="subscript"/>
              </w:rPr>
              <w:t>HPCT</w:t>
            </w:r>
          </w:p>
        </w:tc>
        <w:tc>
          <w:tcPr>
            <w:tcW w:w="3500" w:type="pct"/>
            <w:tcMar>
              <w:top w:w="57" w:type="dxa"/>
              <w:left w:w="85" w:type="dxa"/>
              <w:bottom w:w="85" w:type="dxa"/>
              <w:right w:w="85" w:type="dxa"/>
            </w:tcMar>
          </w:tcPr>
          <w:p w14:paraId="5DB6F14F" w14:textId="77777777" w:rsidR="0099110B" w:rsidRPr="00630129" w:rsidRDefault="0099110B" w:rsidP="0099110B">
            <w:pPr>
              <w:jc w:val="both"/>
              <w:rPr>
                <w:sz w:val="22"/>
                <w:szCs w:val="22"/>
              </w:rPr>
            </w:pPr>
            <w:r w:rsidRPr="00630129">
              <w:rPr>
                <w:sz w:val="22"/>
                <w:szCs w:val="22"/>
              </w:rPr>
              <w:t>Standard Settlement Configuration Estimated Daily Consumption</w:t>
            </w:r>
          </w:p>
        </w:tc>
      </w:tr>
      <w:tr w:rsidR="0099110B" w:rsidRPr="00630129" w14:paraId="7ED3F0C0" w14:textId="77777777" w:rsidTr="00F248AA">
        <w:trPr>
          <w:cantSplit/>
        </w:trPr>
        <w:tc>
          <w:tcPr>
            <w:tcW w:w="1500" w:type="pct"/>
            <w:tcMar>
              <w:top w:w="57" w:type="dxa"/>
              <w:left w:w="85" w:type="dxa"/>
              <w:bottom w:w="85" w:type="dxa"/>
              <w:right w:w="85" w:type="dxa"/>
            </w:tcMar>
          </w:tcPr>
          <w:p w14:paraId="12A3F378" w14:textId="77777777" w:rsidR="0099110B" w:rsidRPr="00630129" w:rsidRDefault="0099110B" w:rsidP="0099110B">
            <w:pPr>
              <w:rPr>
                <w:sz w:val="22"/>
                <w:szCs w:val="22"/>
              </w:rPr>
            </w:pPr>
            <w:r w:rsidRPr="00630129">
              <w:rPr>
                <w:sz w:val="22"/>
                <w:szCs w:val="22"/>
              </w:rPr>
              <w:t>SSMMC</w:t>
            </w:r>
            <w:r w:rsidRPr="00630129">
              <w:rPr>
                <w:sz w:val="22"/>
                <w:szCs w:val="22"/>
                <w:vertAlign w:val="subscript"/>
              </w:rPr>
              <w:t>Znan.1Kn.1j</w:t>
            </w:r>
          </w:p>
        </w:tc>
        <w:tc>
          <w:tcPr>
            <w:tcW w:w="3500" w:type="pct"/>
            <w:tcMar>
              <w:top w:w="57" w:type="dxa"/>
              <w:left w:w="85" w:type="dxa"/>
              <w:bottom w:w="85" w:type="dxa"/>
              <w:right w:w="85" w:type="dxa"/>
            </w:tcMar>
          </w:tcPr>
          <w:p w14:paraId="36C00030" w14:textId="77777777" w:rsidR="0099110B" w:rsidRPr="00630129" w:rsidRDefault="0099110B" w:rsidP="0099110B">
            <w:pPr>
              <w:rPr>
                <w:sz w:val="22"/>
                <w:szCs w:val="22"/>
              </w:rPr>
            </w:pPr>
            <w:r w:rsidRPr="00630129">
              <w:rPr>
                <w:sz w:val="22"/>
                <w:szCs w:val="22"/>
              </w:rPr>
              <w:t>Secondary Supplier's Metering System Metered Consumption for Secondary SVA Metering System Number Kn.1</w:t>
            </w:r>
          </w:p>
        </w:tc>
      </w:tr>
      <w:tr w:rsidR="0099110B" w:rsidRPr="00630129" w14:paraId="091F0436" w14:textId="77777777" w:rsidTr="00F248AA">
        <w:trPr>
          <w:cantSplit/>
        </w:trPr>
        <w:tc>
          <w:tcPr>
            <w:tcW w:w="1500" w:type="pct"/>
            <w:tcMar>
              <w:top w:w="57" w:type="dxa"/>
              <w:left w:w="85" w:type="dxa"/>
              <w:bottom w:w="85" w:type="dxa"/>
              <w:right w:w="85" w:type="dxa"/>
            </w:tcMar>
          </w:tcPr>
          <w:p w14:paraId="23C7E240" w14:textId="77777777" w:rsidR="0099110B" w:rsidRPr="00630129" w:rsidRDefault="0099110B" w:rsidP="0099110B">
            <w:pPr>
              <w:jc w:val="both"/>
              <w:rPr>
                <w:sz w:val="22"/>
                <w:szCs w:val="22"/>
              </w:rPr>
            </w:pPr>
            <w:proofErr w:type="spellStart"/>
            <w:r w:rsidRPr="00630129">
              <w:rPr>
                <w:sz w:val="22"/>
                <w:szCs w:val="22"/>
              </w:rPr>
              <w:t>SSMMC</w:t>
            </w:r>
            <w:r w:rsidRPr="00630129">
              <w:rPr>
                <w:sz w:val="22"/>
                <w:szCs w:val="22"/>
                <w:vertAlign w:val="subscript"/>
              </w:rPr>
              <w:t>ZnanKnj</w:t>
            </w:r>
            <w:proofErr w:type="spellEnd"/>
          </w:p>
        </w:tc>
        <w:tc>
          <w:tcPr>
            <w:tcW w:w="3500" w:type="pct"/>
            <w:tcMar>
              <w:top w:w="57" w:type="dxa"/>
              <w:left w:w="85" w:type="dxa"/>
              <w:bottom w:w="85" w:type="dxa"/>
              <w:right w:w="85" w:type="dxa"/>
            </w:tcMar>
          </w:tcPr>
          <w:p w14:paraId="463F6553" w14:textId="77777777" w:rsidR="0099110B" w:rsidRPr="00630129" w:rsidRDefault="0099110B" w:rsidP="0099110B">
            <w:pPr>
              <w:jc w:val="both"/>
              <w:rPr>
                <w:sz w:val="22"/>
                <w:szCs w:val="22"/>
              </w:rPr>
            </w:pPr>
            <w:r w:rsidRPr="00630129">
              <w:rPr>
                <w:sz w:val="22"/>
                <w:szCs w:val="22"/>
              </w:rPr>
              <w:t xml:space="preserve">Secondary Supplier's Metering System Metered Consumption for Secondary SVA Metering System Number </w:t>
            </w:r>
            <w:proofErr w:type="spellStart"/>
            <w:r w:rsidRPr="00630129">
              <w:rPr>
                <w:sz w:val="22"/>
                <w:szCs w:val="22"/>
              </w:rPr>
              <w:t>Kn</w:t>
            </w:r>
            <w:proofErr w:type="spellEnd"/>
          </w:p>
        </w:tc>
      </w:tr>
      <w:tr w:rsidR="0099110B" w:rsidRPr="00630129" w14:paraId="14E31B81" w14:textId="77777777" w:rsidTr="00F248AA">
        <w:trPr>
          <w:cantSplit/>
        </w:trPr>
        <w:tc>
          <w:tcPr>
            <w:tcW w:w="1500" w:type="pct"/>
            <w:tcMar>
              <w:top w:w="57" w:type="dxa"/>
              <w:left w:w="85" w:type="dxa"/>
              <w:bottom w:w="85" w:type="dxa"/>
              <w:right w:w="85" w:type="dxa"/>
            </w:tcMar>
          </w:tcPr>
          <w:p w14:paraId="05F1440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SUNT</w:t>
            </w:r>
          </w:p>
        </w:tc>
        <w:tc>
          <w:tcPr>
            <w:tcW w:w="3500" w:type="pct"/>
            <w:tcMar>
              <w:top w:w="57" w:type="dxa"/>
              <w:left w:w="85" w:type="dxa"/>
              <w:bottom w:w="85" w:type="dxa"/>
              <w:right w:w="85" w:type="dxa"/>
            </w:tcMar>
          </w:tcPr>
          <w:p w14:paraId="13CC04D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Sunset Time</w:t>
            </w:r>
          </w:p>
        </w:tc>
      </w:tr>
      <w:tr w:rsidR="0099110B" w:rsidRPr="00630129" w14:paraId="2CB63E0D" w14:textId="77777777" w:rsidTr="00F248AA">
        <w:trPr>
          <w:cantSplit/>
        </w:trPr>
        <w:tc>
          <w:tcPr>
            <w:tcW w:w="1500" w:type="pct"/>
            <w:tcMar>
              <w:top w:w="57" w:type="dxa"/>
              <w:left w:w="85" w:type="dxa"/>
              <w:bottom w:w="85" w:type="dxa"/>
              <w:right w:w="85" w:type="dxa"/>
            </w:tcMar>
          </w:tcPr>
          <w:p w14:paraId="67A2E47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SWF</w:t>
            </w:r>
            <w:r w:rsidRPr="00630129">
              <w:rPr>
                <w:rFonts w:ascii="Times New Roman" w:hAnsi="Times New Roman"/>
                <w:sz w:val="22"/>
                <w:szCs w:val="22"/>
                <w:vertAlign w:val="subscript"/>
              </w:rPr>
              <w:t>HPC</w:t>
            </w:r>
          </w:p>
        </w:tc>
        <w:tc>
          <w:tcPr>
            <w:tcW w:w="3500" w:type="pct"/>
            <w:tcMar>
              <w:top w:w="57" w:type="dxa"/>
              <w:left w:w="85" w:type="dxa"/>
              <w:bottom w:w="85" w:type="dxa"/>
              <w:right w:w="85" w:type="dxa"/>
            </w:tcMar>
          </w:tcPr>
          <w:p w14:paraId="6F22FFA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Switched Fraction</w:t>
            </w:r>
          </w:p>
        </w:tc>
      </w:tr>
      <w:tr w:rsidR="0099110B" w:rsidRPr="00630129" w14:paraId="574AF12C"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66773BC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TAAD</w:t>
            </w:r>
            <w:r w:rsidRPr="00630129">
              <w:rPr>
                <w:rFonts w:ascii="Times New Roman" w:hAnsi="Times New Roman"/>
                <w:sz w:val="22"/>
                <w:szCs w:val="22"/>
                <w:vertAlign w:val="subscript"/>
              </w:rPr>
              <w:t>HZLPR</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73D574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Total Annualised Advance (Disconnected)</w:t>
            </w:r>
          </w:p>
        </w:tc>
      </w:tr>
      <w:tr w:rsidR="0099110B" w:rsidRPr="00630129" w14:paraId="0DB4AA16" w14:textId="77777777" w:rsidTr="00F248AA">
        <w:trPr>
          <w:cantSplit/>
          <w:ins w:id="118" w:author="Aditi Tulpule" w:date="2021-02-24T16:16:00Z"/>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6AE2216" w14:textId="4D2C3787" w:rsidR="0099110B" w:rsidRPr="00630129" w:rsidRDefault="00A63BA8"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119" w:author="Aditi Tulpule" w:date="2021-02-24T16:16:00Z"/>
                <w:rFonts w:ascii="Times New Roman" w:hAnsi="Times New Roman"/>
                <w:sz w:val="22"/>
                <w:szCs w:val="22"/>
              </w:rPr>
            </w:pPr>
            <w:ins w:id="120" w:author="Aditi Tulpule" w:date="2021-02-24T16:20:00Z">
              <w:r>
                <w:rPr>
                  <w:rFonts w:ascii="Times New Roman" w:hAnsi="Times New Roman"/>
                  <w:sz w:val="22"/>
                  <w:szCs w:val="22"/>
                </w:rPr>
                <w:t>[P376]</w:t>
              </w:r>
            </w:ins>
            <w:proofErr w:type="spellStart"/>
            <w:ins w:id="121" w:author="Aditi Tulpule" w:date="2021-02-24T16:16:00Z">
              <w:r w:rsidR="0099110B">
                <w:rPr>
                  <w:rFonts w:ascii="Times New Roman" w:hAnsi="Times New Roman"/>
                  <w:sz w:val="22"/>
                  <w:szCs w:val="22"/>
                </w:rPr>
                <w:t>TAPDV</w:t>
              </w:r>
              <w:r w:rsidR="0099110B" w:rsidRPr="00F82C93">
                <w:rPr>
                  <w:rFonts w:ascii="Times New Roman" w:hAnsi="Times New Roman"/>
                  <w:sz w:val="22"/>
                  <w:szCs w:val="22"/>
                  <w:vertAlign w:val="subscript"/>
                </w:rPr>
                <w:t>j</w:t>
              </w:r>
              <w:proofErr w:type="spellEnd"/>
            </w:ins>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315E677B" w14:textId="384D0E6C"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122" w:author="Aditi Tulpule" w:date="2021-02-24T16:16:00Z"/>
                <w:rFonts w:ascii="Times New Roman" w:hAnsi="Times New Roman"/>
                <w:sz w:val="22"/>
                <w:szCs w:val="22"/>
              </w:rPr>
            </w:pPr>
            <w:ins w:id="123" w:author="Aditi Tulpule" w:date="2021-02-24T16:16:00Z">
              <w:r>
                <w:rPr>
                  <w:rFonts w:ascii="Times New Roman" w:hAnsi="Times New Roman"/>
                  <w:sz w:val="22"/>
                  <w:szCs w:val="22"/>
                </w:rPr>
                <w:t>Total AMSID Pair Delivered Volume</w:t>
              </w:r>
            </w:ins>
          </w:p>
        </w:tc>
      </w:tr>
      <w:tr w:rsidR="0099110B" w:rsidRPr="00630129" w14:paraId="0EE5B0D6" w14:textId="77777777" w:rsidTr="00F248AA">
        <w:trPr>
          <w:cantSplit/>
        </w:trPr>
        <w:tc>
          <w:tcPr>
            <w:tcW w:w="1500" w:type="pct"/>
            <w:tcMar>
              <w:top w:w="57" w:type="dxa"/>
              <w:left w:w="85" w:type="dxa"/>
              <w:bottom w:w="85" w:type="dxa"/>
              <w:right w:w="85" w:type="dxa"/>
            </w:tcMar>
          </w:tcPr>
          <w:p w14:paraId="71131AC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w:t>
            </w:r>
            <w:r w:rsidRPr="00630129">
              <w:rPr>
                <w:rFonts w:ascii="Times New Roman" w:hAnsi="Times New Roman"/>
                <w:sz w:val="22"/>
                <w:szCs w:val="22"/>
                <w:vertAlign w:val="subscript"/>
              </w:rPr>
              <w:t>HT</w:t>
            </w:r>
          </w:p>
        </w:tc>
        <w:tc>
          <w:tcPr>
            <w:tcW w:w="3500" w:type="pct"/>
            <w:tcMar>
              <w:top w:w="57" w:type="dxa"/>
              <w:left w:w="85" w:type="dxa"/>
              <w:bottom w:w="85" w:type="dxa"/>
              <w:right w:w="85" w:type="dxa"/>
            </w:tcMar>
          </w:tcPr>
          <w:p w14:paraId="04F6E617"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Grid Supply Point Group Measured Temperature</w:t>
            </w:r>
          </w:p>
        </w:tc>
      </w:tr>
      <w:tr w:rsidR="0099110B" w:rsidRPr="00630129" w14:paraId="45CA9EA6"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CBDC93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TMEACCD</w:t>
            </w:r>
            <w:r w:rsidRPr="00630129">
              <w:rPr>
                <w:rFonts w:ascii="Times New Roman" w:hAnsi="Times New Roman"/>
                <w:sz w:val="22"/>
                <w:szCs w:val="22"/>
                <w:vertAlign w:val="subscript"/>
              </w:rPr>
              <w:t>HZLPR</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37DD747D"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Total Number Of Metered Non Half Hourly Metering Systems Contributing To Total Metered Estimated Annual Consumption (Disconnected)</w:t>
            </w:r>
          </w:p>
        </w:tc>
      </w:tr>
      <w:tr w:rsidR="0099110B" w:rsidRPr="00630129" w14:paraId="30C9A1DF"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9352BD6"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TMEACD</w:t>
            </w:r>
            <w:r w:rsidRPr="00630129">
              <w:rPr>
                <w:rFonts w:ascii="Times New Roman" w:hAnsi="Times New Roman"/>
                <w:sz w:val="22"/>
                <w:szCs w:val="22"/>
                <w:vertAlign w:val="subscript"/>
              </w:rPr>
              <w:t>HZLPR</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7DF68F0"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Total Metered Estimated Annual Consumption (Disconnected)</w:t>
            </w:r>
          </w:p>
        </w:tc>
      </w:tr>
      <w:tr w:rsidR="0099110B" w:rsidRPr="00630129" w14:paraId="291BA79D" w14:textId="77777777" w:rsidTr="00F248AA">
        <w:trPr>
          <w:cantSplit/>
          <w:ins w:id="124" w:author="Aditi Tulpule" w:date="2021-02-24T16:16:00Z"/>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2F1EE0AE" w14:textId="61F885BB" w:rsidR="0099110B" w:rsidRPr="00630129" w:rsidRDefault="00A63BA8"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125" w:author="Aditi Tulpule" w:date="2021-02-24T16:16:00Z"/>
                <w:rFonts w:ascii="Times New Roman" w:hAnsi="Times New Roman"/>
                <w:sz w:val="22"/>
                <w:szCs w:val="22"/>
              </w:rPr>
            </w:pPr>
            <w:ins w:id="126" w:author="Aditi Tulpule" w:date="2021-02-24T16:20:00Z">
              <w:r>
                <w:rPr>
                  <w:rFonts w:ascii="Times New Roman" w:hAnsi="Times New Roman"/>
                  <w:sz w:val="22"/>
                  <w:szCs w:val="22"/>
                </w:rPr>
                <w:t>[P376]</w:t>
              </w:r>
            </w:ins>
            <w:proofErr w:type="spellStart"/>
            <w:ins w:id="127" w:author="Aditi Tulpule" w:date="2021-02-24T16:16:00Z">
              <w:r w:rsidR="0099110B">
                <w:rPr>
                  <w:rFonts w:ascii="Times New Roman" w:hAnsi="Times New Roman"/>
                  <w:sz w:val="22"/>
                  <w:szCs w:val="22"/>
                </w:rPr>
                <w:t>T</w:t>
              </w:r>
              <w:r w:rsidR="0099110B" w:rsidRPr="00630129">
                <w:rPr>
                  <w:rFonts w:ascii="Times New Roman" w:hAnsi="Times New Roman"/>
                  <w:sz w:val="22"/>
                  <w:szCs w:val="22"/>
                </w:rPr>
                <w:t>MPDV</w:t>
              </w:r>
              <w:r w:rsidR="0099110B" w:rsidRPr="00630129">
                <w:rPr>
                  <w:rFonts w:ascii="Times New Roman" w:hAnsi="Times New Roman"/>
                  <w:sz w:val="22"/>
                  <w:szCs w:val="22"/>
                  <w:vertAlign w:val="subscript"/>
                </w:rPr>
                <w:t>j</w:t>
              </w:r>
              <w:proofErr w:type="spellEnd"/>
            </w:ins>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E9E4721" w14:textId="1D8C4C14"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128" w:author="Aditi Tulpule" w:date="2021-02-24T16:16:00Z"/>
                <w:rFonts w:ascii="Times New Roman" w:hAnsi="Times New Roman"/>
                <w:sz w:val="22"/>
                <w:szCs w:val="22"/>
              </w:rPr>
            </w:pPr>
            <w:ins w:id="129" w:author="Aditi Tulpule" w:date="2021-02-24T16:16:00Z">
              <w:r>
                <w:rPr>
                  <w:rFonts w:ascii="Times New Roman" w:hAnsi="Times New Roman"/>
                  <w:sz w:val="22"/>
                  <w:szCs w:val="22"/>
                </w:rPr>
                <w:t xml:space="preserve">Total </w:t>
              </w:r>
              <w:r w:rsidRPr="00630129">
                <w:rPr>
                  <w:rFonts w:ascii="Times New Roman" w:hAnsi="Times New Roman"/>
                  <w:sz w:val="22"/>
                  <w:szCs w:val="22"/>
                </w:rPr>
                <w:t>MSID Pair Delivered Volume</w:t>
              </w:r>
            </w:ins>
          </w:p>
        </w:tc>
      </w:tr>
      <w:tr w:rsidR="0099110B" w:rsidRPr="00630129" w14:paraId="439CA8AA"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253A3F4"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TMUECD</w:t>
            </w:r>
            <w:r w:rsidRPr="00630129">
              <w:rPr>
                <w:rFonts w:ascii="Times New Roman" w:hAnsi="Times New Roman"/>
                <w:sz w:val="22"/>
                <w:szCs w:val="22"/>
                <w:vertAlign w:val="subscript"/>
              </w:rPr>
              <w:t>HZLPR</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DC5AD7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Total Number Of Non Half Hourly Unmetered Metering Systems Contributing To Total Unmetered Consumption (Disconnected)</w:t>
            </w:r>
          </w:p>
        </w:tc>
      </w:tr>
      <w:tr w:rsidR="0099110B" w:rsidRPr="00630129" w14:paraId="1E528143" w14:textId="77777777" w:rsidTr="00F248AA">
        <w:trPr>
          <w:cantSplit/>
          <w:ins w:id="130" w:author="Aditi Tulpule" w:date="2021-02-24T16:16:00Z"/>
        </w:trPr>
        <w:tc>
          <w:tcPr>
            <w:tcW w:w="1500" w:type="pct"/>
            <w:tcMar>
              <w:top w:w="57" w:type="dxa"/>
              <w:left w:w="85" w:type="dxa"/>
              <w:bottom w:w="85" w:type="dxa"/>
              <w:right w:w="85" w:type="dxa"/>
            </w:tcMar>
          </w:tcPr>
          <w:p w14:paraId="5729716C" w14:textId="5010CBFE" w:rsidR="0099110B" w:rsidRPr="00630129" w:rsidRDefault="00A63BA8"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131" w:author="Aditi Tulpule" w:date="2021-02-24T16:16:00Z"/>
                <w:rFonts w:ascii="Times New Roman" w:hAnsi="Times New Roman"/>
                <w:sz w:val="22"/>
                <w:szCs w:val="22"/>
              </w:rPr>
            </w:pPr>
            <w:ins w:id="132" w:author="Aditi Tulpule" w:date="2021-02-24T16:20:00Z">
              <w:r>
                <w:rPr>
                  <w:rFonts w:ascii="Times New Roman" w:hAnsi="Times New Roman"/>
                  <w:sz w:val="22"/>
                  <w:szCs w:val="22"/>
                </w:rPr>
                <w:t>[P376]</w:t>
              </w:r>
            </w:ins>
            <w:proofErr w:type="spellStart"/>
            <w:ins w:id="133" w:author="Aditi Tulpule" w:date="2021-02-24T16:16:00Z">
              <w:r w:rsidR="0099110B" w:rsidRPr="0096175B">
                <w:rPr>
                  <w:rFonts w:ascii="Times New Roman" w:hAnsi="Times New Roman"/>
                  <w:color w:val="1F497D"/>
                  <w:sz w:val="22"/>
                  <w:szCs w:val="22"/>
                </w:rPr>
                <w:t>TQVMD</w:t>
              </w:r>
              <w:r w:rsidR="0099110B" w:rsidRPr="0096175B">
                <w:rPr>
                  <w:rFonts w:ascii="Times New Roman" w:hAnsi="Times New Roman"/>
                  <w:color w:val="1F497D"/>
                  <w:sz w:val="22"/>
                  <w:szCs w:val="22"/>
                  <w:vertAlign w:val="subscript"/>
                </w:rPr>
                <w:t>Kj</w:t>
              </w:r>
              <w:proofErr w:type="spellEnd"/>
            </w:ins>
          </w:p>
        </w:tc>
        <w:tc>
          <w:tcPr>
            <w:tcW w:w="3500" w:type="pct"/>
            <w:tcMar>
              <w:top w:w="57" w:type="dxa"/>
              <w:left w:w="85" w:type="dxa"/>
              <w:bottom w:w="85" w:type="dxa"/>
              <w:right w:w="85" w:type="dxa"/>
            </w:tcMar>
          </w:tcPr>
          <w:p w14:paraId="6BF12CD9" w14:textId="49359D4B"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ins w:id="134" w:author="Aditi Tulpule" w:date="2021-02-24T16:16:00Z"/>
                <w:rFonts w:ascii="Times New Roman" w:hAnsi="Times New Roman"/>
                <w:sz w:val="22"/>
                <w:szCs w:val="22"/>
              </w:rPr>
            </w:pPr>
            <w:ins w:id="135" w:author="Aditi Tulpule" w:date="2021-02-24T16:16:00Z">
              <w:r>
                <w:rPr>
                  <w:rFonts w:ascii="Times New Roman" w:hAnsi="Times New Roman"/>
                  <w:sz w:val="22"/>
                  <w:szCs w:val="22"/>
                </w:rPr>
                <w:t xml:space="preserve">Total </w:t>
              </w:r>
              <w:r w:rsidRPr="00630129">
                <w:rPr>
                  <w:rFonts w:ascii="Times New Roman" w:hAnsi="Times New Roman"/>
                  <w:sz w:val="22"/>
                  <w:szCs w:val="22"/>
                </w:rPr>
                <w:t>Metering System Delivered Volume</w:t>
              </w:r>
            </w:ins>
          </w:p>
        </w:tc>
      </w:tr>
      <w:tr w:rsidR="0099110B" w:rsidRPr="00630129" w14:paraId="0C0C3C29" w14:textId="77777777" w:rsidTr="00F248AA">
        <w:trPr>
          <w:cantSplit/>
        </w:trPr>
        <w:tc>
          <w:tcPr>
            <w:tcW w:w="1500" w:type="pct"/>
            <w:tcMar>
              <w:top w:w="57" w:type="dxa"/>
              <w:left w:w="85" w:type="dxa"/>
              <w:bottom w:w="85" w:type="dxa"/>
              <w:right w:w="85" w:type="dxa"/>
            </w:tcMar>
          </w:tcPr>
          <w:p w14:paraId="6BFF53F4"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TPREAC</w:t>
            </w:r>
            <w:r w:rsidRPr="00630129">
              <w:rPr>
                <w:rFonts w:ascii="Times New Roman" w:hAnsi="Times New Roman"/>
                <w:sz w:val="22"/>
                <w:szCs w:val="22"/>
                <w:vertAlign w:val="subscript"/>
              </w:rPr>
              <w:t>HPR</w:t>
            </w:r>
          </w:p>
        </w:tc>
        <w:tc>
          <w:tcPr>
            <w:tcW w:w="3500" w:type="pct"/>
            <w:tcMar>
              <w:top w:w="57" w:type="dxa"/>
              <w:left w:w="85" w:type="dxa"/>
              <w:bottom w:w="85" w:type="dxa"/>
              <w:right w:w="85" w:type="dxa"/>
            </w:tcMar>
          </w:tcPr>
          <w:p w14:paraId="3D449B72"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Time Pattern Regime Estimated Annual Consumption</w:t>
            </w:r>
          </w:p>
        </w:tc>
      </w:tr>
      <w:tr w:rsidR="0099110B" w:rsidRPr="00630129" w14:paraId="22477532" w14:textId="77777777" w:rsidTr="00F248AA">
        <w:trPr>
          <w:cantSplit/>
        </w:trPr>
        <w:tc>
          <w:tcPr>
            <w:tcW w:w="1500" w:type="pct"/>
            <w:tcMar>
              <w:top w:w="57" w:type="dxa"/>
              <w:left w:w="85" w:type="dxa"/>
              <w:bottom w:w="85" w:type="dxa"/>
              <w:right w:w="85" w:type="dxa"/>
            </w:tcMar>
          </w:tcPr>
          <w:p w14:paraId="4C6C98E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TPREDC</w:t>
            </w:r>
            <w:r w:rsidRPr="00630129">
              <w:rPr>
                <w:rFonts w:ascii="Times New Roman" w:hAnsi="Times New Roman"/>
                <w:sz w:val="22"/>
                <w:szCs w:val="22"/>
                <w:vertAlign w:val="subscript"/>
              </w:rPr>
              <w:t>HPRT</w:t>
            </w:r>
          </w:p>
        </w:tc>
        <w:tc>
          <w:tcPr>
            <w:tcW w:w="3500" w:type="pct"/>
            <w:tcMar>
              <w:top w:w="57" w:type="dxa"/>
              <w:left w:w="85" w:type="dxa"/>
              <w:bottom w:w="85" w:type="dxa"/>
              <w:right w:w="85" w:type="dxa"/>
            </w:tcMar>
          </w:tcPr>
          <w:p w14:paraId="7D32D5F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Time Pattern Regime Estimated Daily Consumption</w:t>
            </w:r>
          </w:p>
        </w:tc>
      </w:tr>
      <w:tr w:rsidR="0099110B" w:rsidRPr="00630129" w14:paraId="7919E844"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2A67BA6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TUED</w:t>
            </w:r>
            <w:r w:rsidRPr="00630129">
              <w:rPr>
                <w:rFonts w:ascii="Times New Roman" w:hAnsi="Times New Roman"/>
                <w:sz w:val="22"/>
                <w:szCs w:val="22"/>
                <w:vertAlign w:val="subscript"/>
              </w:rPr>
              <w:t>HZLPR</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686801C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Total Unmetered Consumption (Disconnected)</w:t>
            </w:r>
          </w:p>
        </w:tc>
      </w:tr>
      <w:tr w:rsidR="0099110B" w:rsidRPr="00630129" w14:paraId="3F8FF52E" w14:textId="77777777" w:rsidTr="00F248AA">
        <w:trPr>
          <w:cantSplit/>
        </w:trPr>
        <w:tc>
          <w:tcPr>
            <w:tcW w:w="1500" w:type="pct"/>
            <w:tcMar>
              <w:top w:w="57" w:type="dxa"/>
              <w:left w:w="85" w:type="dxa"/>
              <w:bottom w:w="85" w:type="dxa"/>
              <w:right w:w="85" w:type="dxa"/>
            </w:tcMar>
          </w:tcPr>
          <w:p w14:paraId="71F06DE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UAFYC</w:t>
            </w:r>
            <w:r w:rsidRPr="00630129">
              <w:rPr>
                <w:rFonts w:ascii="Times New Roman" w:hAnsi="Times New Roman"/>
                <w:sz w:val="22"/>
                <w:szCs w:val="22"/>
                <w:vertAlign w:val="subscript"/>
              </w:rPr>
              <w:t>HPR</w:t>
            </w:r>
          </w:p>
        </w:tc>
        <w:tc>
          <w:tcPr>
            <w:tcW w:w="3500" w:type="pct"/>
            <w:tcMar>
              <w:top w:w="57" w:type="dxa"/>
              <w:left w:w="85" w:type="dxa"/>
              <w:bottom w:w="85" w:type="dxa"/>
              <w:right w:w="85" w:type="dxa"/>
            </w:tcMar>
          </w:tcPr>
          <w:p w14:paraId="2FB4A0F7"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Unadjusted Annual Fraction of Consumption</w:t>
            </w:r>
          </w:p>
        </w:tc>
      </w:tr>
      <w:tr w:rsidR="0099110B" w:rsidRPr="00630129" w14:paraId="780A28BD"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0BDAA3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UED</w:t>
            </w:r>
            <w:r w:rsidRPr="00630129">
              <w:rPr>
                <w:rFonts w:ascii="Times New Roman" w:hAnsi="Times New Roman"/>
                <w:sz w:val="22"/>
                <w:szCs w:val="22"/>
                <w:vertAlign w:val="subscript"/>
              </w:rPr>
              <w:t>HZLPR</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7371AC0"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Value Of Estimated Annual Consumption For Non Half Hourly Unmetered Metering Systems (Disconnected)</w:t>
            </w:r>
          </w:p>
        </w:tc>
      </w:tr>
      <w:tr w:rsidR="0099110B" w:rsidRPr="00630129" w14:paraId="1AB23A14"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38C9D791"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VBMMC</w:t>
            </w:r>
            <w:r w:rsidRPr="00630129">
              <w:rPr>
                <w:rFonts w:ascii="Times New Roman" w:hAnsi="Times New Roman"/>
                <w:sz w:val="22"/>
                <w:szCs w:val="22"/>
                <w:vertAlign w:val="subscript"/>
              </w:rPr>
              <w:t>i2aNLKji</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325FA7B9"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Secondary BM Unit Metered Consumption</w:t>
            </w:r>
          </w:p>
        </w:tc>
      </w:tr>
      <w:tr w:rsidR="0099110B" w:rsidRPr="00630129" w14:paraId="21393717"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26ACAE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VBMUDV</w:t>
            </w:r>
            <w:r w:rsidRPr="00630129">
              <w:rPr>
                <w:rFonts w:ascii="Times New Roman" w:hAnsi="Times New Roman"/>
                <w:sz w:val="22"/>
                <w:szCs w:val="22"/>
                <w:vertAlign w:val="subscript"/>
              </w:rPr>
              <w:t>i2j</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5F6341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Secondary BM Unit Demand Volume</w:t>
            </w:r>
          </w:p>
        </w:tc>
      </w:tr>
      <w:tr w:rsidR="0099110B" w:rsidRPr="00630129" w14:paraId="6A950F3B"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2B0333F1"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VBMUSDV</w:t>
            </w:r>
            <w:r w:rsidRPr="00630129">
              <w:rPr>
                <w:rFonts w:ascii="Times New Roman" w:hAnsi="Times New Roman"/>
                <w:sz w:val="22"/>
                <w:szCs w:val="22"/>
                <w:vertAlign w:val="subscript"/>
              </w:rPr>
              <w:t>i2ji</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34EC5C1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Secondary BM Unit Supplier Delivered Volume</w:t>
            </w:r>
          </w:p>
        </w:tc>
      </w:tr>
      <w:tr w:rsidR="0099110B" w:rsidRPr="00630129" w14:paraId="7F006B7C"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73762B77"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VCORC</w:t>
            </w:r>
            <w:r w:rsidRPr="00630129">
              <w:rPr>
                <w:rFonts w:ascii="Times New Roman" w:hAnsi="Times New Roman"/>
                <w:sz w:val="22"/>
                <w:szCs w:val="22"/>
                <w:vertAlign w:val="subscript"/>
              </w:rPr>
              <w:t>i2Nj</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176E56B0"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Secondary Corrected Component</w:t>
            </w:r>
          </w:p>
        </w:tc>
      </w:tr>
      <w:tr w:rsidR="0099110B" w:rsidRPr="00630129" w14:paraId="1EEA68FA"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E28742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VCORDC</w:t>
            </w:r>
            <w:r w:rsidRPr="00630129">
              <w:rPr>
                <w:rFonts w:ascii="Times New Roman" w:hAnsi="Times New Roman"/>
                <w:sz w:val="22"/>
                <w:szCs w:val="22"/>
                <w:vertAlign w:val="subscript"/>
              </w:rPr>
              <w:t>i2NKji</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0FDAD3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Secondary Corrected Delivered Component</w:t>
            </w:r>
          </w:p>
        </w:tc>
      </w:tr>
      <w:tr w:rsidR="0099110B" w:rsidRPr="00630129" w14:paraId="78433C3B"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21CA046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VD</w:t>
            </w:r>
            <w:r w:rsidRPr="00630129">
              <w:rPr>
                <w:rFonts w:ascii="Times New Roman" w:hAnsi="Times New Roman"/>
                <w:sz w:val="22"/>
                <w:szCs w:val="22"/>
                <w:vertAlign w:val="subscript"/>
              </w:rPr>
              <w:t>i2NKji</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E18CB7C"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Secondary Half Hourly Delivered (Non Losses)</w:t>
            </w:r>
          </w:p>
        </w:tc>
      </w:tr>
      <w:tr w:rsidR="0099110B" w:rsidRPr="00630129" w14:paraId="1028ACD0"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66AA668"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VDLOSS</w:t>
            </w:r>
            <w:r w:rsidRPr="00630129">
              <w:rPr>
                <w:rFonts w:ascii="Times New Roman" w:hAnsi="Times New Roman"/>
                <w:sz w:val="22"/>
                <w:szCs w:val="22"/>
                <w:vertAlign w:val="subscript"/>
              </w:rPr>
              <w:t>i2NKji</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47ED11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Secondary Half Hourly Delivered (Non Losses)</w:t>
            </w:r>
          </w:p>
        </w:tc>
      </w:tr>
      <w:tr w:rsidR="0099110B" w:rsidRPr="00630129" w14:paraId="70D2D271"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37A5D4A"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V</w:t>
            </w:r>
            <w:r w:rsidRPr="00630129">
              <w:rPr>
                <w:rFonts w:ascii="Times New Roman" w:hAnsi="Times New Roman"/>
                <w:sz w:val="22"/>
                <w:szCs w:val="22"/>
                <w:vertAlign w:val="subscript"/>
              </w:rPr>
              <w:t>i2Nj</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08599C6E"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Secondary Half Hourly Consumption (Non Losses)</w:t>
            </w:r>
          </w:p>
        </w:tc>
      </w:tr>
      <w:tr w:rsidR="0099110B" w:rsidRPr="00630129" w14:paraId="574B2C32"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62E038E0"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VLOSS</w:t>
            </w:r>
            <w:r w:rsidRPr="00630129">
              <w:rPr>
                <w:rFonts w:ascii="Times New Roman" w:hAnsi="Times New Roman"/>
                <w:sz w:val="22"/>
                <w:szCs w:val="22"/>
                <w:vertAlign w:val="subscript"/>
              </w:rPr>
              <w:t>i2Nj</w:t>
            </w:r>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4EF2E515"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Secondary Half Hourly Delivered (Losses)</w:t>
            </w:r>
          </w:p>
        </w:tc>
      </w:tr>
      <w:tr w:rsidR="0099110B" w:rsidRPr="00630129" w14:paraId="1F6D1263" w14:textId="77777777" w:rsidTr="00F248AA">
        <w:trPr>
          <w:cantSplit/>
        </w:trPr>
        <w:tc>
          <w:tcPr>
            <w:tcW w:w="1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79EB64A2"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t>VMMC</w:t>
            </w:r>
            <w:r w:rsidRPr="00630129">
              <w:rPr>
                <w:rFonts w:ascii="Times New Roman" w:hAnsi="Times New Roman"/>
                <w:sz w:val="22"/>
                <w:szCs w:val="22"/>
                <w:vertAlign w:val="subscript"/>
              </w:rPr>
              <w:t>HZaNLKji</w:t>
            </w:r>
            <w:proofErr w:type="spellEnd"/>
          </w:p>
        </w:tc>
        <w:tc>
          <w:tcPr>
            <w:tcW w:w="3500" w:type="pct"/>
            <w:tcBorders>
              <w:top w:val="single" w:sz="6" w:space="0" w:color="000000"/>
              <w:left w:val="single" w:sz="6" w:space="0" w:color="000000"/>
              <w:bottom w:val="single" w:sz="6" w:space="0" w:color="000000"/>
              <w:right w:val="single" w:sz="6" w:space="0" w:color="000000"/>
            </w:tcBorders>
            <w:tcMar>
              <w:top w:w="57" w:type="dxa"/>
              <w:left w:w="85" w:type="dxa"/>
              <w:bottom w:w="85" w:type="dxa"/>
              <w:right w:w="85" w:type="dxa"/>
            </w:tcMar>
          </w:tcPr>
          <w:p w14:paraId="56809F53"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Metering System Metered Consumption</w:t>
            </w:r>
          </w:p>
        </w:tc>
      </w:tr>
      <w:tr w:rsidR="0099110B" w:rsidRPr="00630129" w14:paraId="30457B29" w14:textId="77777777" w:rsidTr="00F248AA">
        <w:trPr>
          <w:cantSplit/>
        </w:trPr>
        <w:tc>
          <w:tcPr>
            <w:tcW w:w="1500" w:type="pct"/>
            <w:tcMar>
              <w:top w:w="57" w:type="dxa"/>
              <w:left w:w="85" w:type="dxa"/>
              <w:bottom w:w="85" w:type="dxa"/>
              <w:right w:w="85" w:type="dxa"/>
            </w:tcMar>
          </w:tcPr>
          <w:p w14:paraId="366734A2"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WT</w:t>
            </w:r>
            <w:r w:rsidRPr="00630129">
              <w:rPr>
                <w:rFonts w:ascii="Times New Roman" w:hAnsi="Times New Roman"/>
                <w:sz w:val="22"/>
                <w:szCs w:val="22"/>
                <w:vertAlign w:val="subscript"/>
              </w:rPr>
              <w:t>N</w:t>
            </w:r>
          </w:p>
        </w:tc>
        <w:tc>
          <w:tcPr>
            <w:tcW w:w="3500" w:type="pct"/>
            <w:tcMar>
              <w:top w:w="57" w:type="dxa"/>
              <w:left w:w="85" w:type="dxa"/>
              <w:bottom w:w="85" w:type="dxa"/>
              <w:right w:w="85" w:type="dxa"/>
            </w:tcMar>
          </w:tcPr>
          <w:p w14:paraId="305B0E6F"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GSP Group Correction Scaling Weight</w:t>
            </w:r>
          </w:p>
        </w:tc>
      </w:tr>
      <w:tr w:rsidR="0099110B" w:rsidRPr="00630129" w14:paraId="1DD3B853" w14:textId="77777777" w:rsidTr="00F248AA">
        <w:trPr>
          <w:cantSplit/>
        </w:trPr>
        <w:tc>
          <w:tcPr>
            <w:tcW w:w="1500" w:type="pct"/>
            <w:tcMar>
              <w:top w:w="57" w:type="dxa"/>
              <w:left w:w="85" w:type="dxa"/>
              <w:bottom w:w="85" w:type="dxa"/>
              <w:right w:w="85" w:type="dxa"/>
            </w:tcMar>
          </w:tcPr>
          <w:p w14:paraId="7492AEA1"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proofErr w:type="spellStart"/>
            <w:r w:rsidRPr="00630129">
              <w:rPr>
                <w:rFonts w:ascii="Times New Roman" w:hAnsi="Times New Roman"/>
                <w:sz w:val="22"/>
                <w:szCs w:val="22"/>
              </w:rPr>
              <w:lastRenderedPageBreak/>
              <w:t>y</w:t>
            </w:r>
            <w:r w:rsidRPr="00630129">
              <w:rPr>
                <w:rFonts w:ascii="Times New Roman" w:hAnsi="Times New Roman"/>
                <w:sz w:val="22"/>
                <w:szCs w:val="22"/>
                <w:vertAlign w:val="subscript"/>
              </w:rPr>
              <w:t>HQj</w:t>
            </w:r>
            <w:proofErr w:type="spellEnd"/>
          </w:p>
        </w:tc>
        <w:tc>
          <w:tcPr>
            <w:tcW w:w="3500" w:type="pct"/>
            <w:tcMar>
              <w:top w:w="57" w:type="dxa"/>
              <w:left w:w="85" w:type="dxa"/>
              <w:bottom w:w="85" w:type="dxa"/>
              <w:right w:w="85" w:type="dxa"/>
            </w:tcMar>
          </w:tcPr>
          <w:p w14:paraId="3A42556B" w14:textId="77777777" w:rsidR="0099110B" w:rsidRPr="00630129" w:rsidRDefault="0099110B" w:rsidP="0099110B">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rPr>
                <w:rFonts w:ascii="Times New Roman" w:hAnsi="Times New Roman"/>
                <w:sz w:val="22"/>
                <w:szCs w:val="22"/>
              </w:rPr>
            </w:pPr>
            <w:r w:rsidRPr="00630129">
              <w:rPr>
                <w:rFonts w:ascii="Times New Roman" w:hAnsi="Times New Roman"/>
                <w:sz w:val="22"/>
                <w:szCs w:val="22"/>
              </w:rPr>
              <w:t>Estimated Regional Average Demand Per Customer</w:t>
            </w:r>
          </w:p>
        </w:tc>
      </w:tr>
    </w:tbl>
    <w:p w14:paraId="5E530272" w14:textId="77777777" w:rsidR="002A68CF" w:rsidRPr="00630129" w:rsidRDefault="002A68CF">
      <w:pPr>
        <w:spacing w:after="220"/>
        <w:jc w:val="center"/>
        <w:rPr>
          <w:sz w:val="22"/>
          <w:szCs w:val="22"/>
        </w:rPr>
      </w:pPr>
    </w:p>
    <w:p w14:paraId="3191B565" w14:textId="77777777" w:rsidR="002A68CF" w:rsidRPr="00630129" w:rsidRDefault="002A68CF">
      <w:pPr>
        <w:spacing w:after="220"/>
        <w:jc w:val="center"/>
        <w:rPr>
          <w:sz w:val="22"/>
          <w:szCs w:val="22"/>
        </w:rPr>
      </w:pPr>
    </w:p>
    <w:p w14:paraId="3DE89F56" w14:textId="77777777" w:rsidR="002A68CF" w:rsidRPr="00630129" w:rsidRDefault="001C7564">
      <w:pPr>
        <w:pageBreakBefore/>
        <w:spacing w:after="220"/>
        <w:jc w:val="center"/>
        <w:rPr>
          <w:b/>
          <w:sz w:val="22"/>
          <w:szCs w:val="22"/>
        </w:rPr>
      </w:pPr>
      <w:r w:rsidRPr="00630129">
        <w:rPr>
          <w:b/>
          <w:sz w:val="22"/>
          <w:szCs w:val="22"/>
        </w:rPr>
        <w:lastRenderedPageBreak/>
        <w:t>Table X-8</w:t>
      </w:r>
    </w:p>
    <w:p w14:paraId="20357033" w14:textId="21194FBE" w:rsidR="002A68CF" w:rsidRPr="00630129" w:rsidRDefault="001C7564">
      <w:pPr>
        <w:spacing w:after="220"/>
        <w:jc w:val="center"/>
        <w:rPr>
          <w:b/>
          <w:sz w:val="22"/>
          <w:szCs w:val="22"/>
          <w:u w:val="single"/>
        </w:rPr>
      </w:pPr>
      <w:r w:rsidRPr="00630129">
        <w:rPr>
          <w:b/>
          <w:sz w:val="22"/>
          <w:szCs w:val="22"/>
        </w:rPr>
        <w:t>List of Valid Consumption Component Classes</w:t>
      </w:r>
    </w:p>
    <w:p w14:paraId="3D1E12B8" w14:textId="77777777" w:rsidR="002A68CF" w:rsidRPr="00630129" w:rsidRDefault="001C7564">
      <w:pPr>
        <w:spacing w:after="220"/>
        <w:jc w:val="both"/>
        <w:rPr>
          <w:sz w:val="22"/>
          <w:szCs w:val="22"/>
        </w:rPr>
      </w:pPr>
      <w:r w:rsidRPr="00630129">
        <w:rPr>
          <w:sz w:val="22"/>
          <w:szCs w:val="22"/>
        </w:rPr>
        <w:t xml:space="preserve">The following table shows a list of valid </w:t>
      </w:r>
      <w:r w:rsidR="0032597C">
        <w:rPr>
          <w:sz w:val="22"/>
          <w:szCs w:val="22"/>
        </w:rPr>
        <w:t xml:space="preserve">Consumption Component Classes. </w:t>
      </w:r>
      <w:r w:rsidRPr="00630129">
        <w:rPr>
          <w:sz w:val="22"/>
          <w:szCs w:val="22"/>
        </w:rPr>
        <w:t>The Panel may amend such list of valid Consumption Component Classes from time to time.</w:t>
      </w:r>
    </w:p>
    <w:tbl>
      <w:tblPr>
        <w:tblW w:w="51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1171"/>
        <w:gridCol w:w="1193"/>
        <w:gridCol w:w="1071"/>
        <w:gridCol w:w="971"/>
        <w:gridCol w:w="1171"/>
        <w:gridCol w:w="882"/>
        <w:gridCol w:w="815"/>
        <w:gridCol w:w="1171"/>
        <w:gridCol w:w="1193"/>
      </w:tblGrid>
      <w:tr w:rsidR="00630129" w:rsidRPr="00630129" w14:paraId="5DA0C3F0" w14:textId="77777777">
        <w:trPr>
          <w:cantSplit/>
          <w:tblHeader/>
        </w:trPr>
        <w:tc>
          <w:tcPr>
            <w:tcW w:w="609" w:type="pct"/>
          </w:tcPr>
          <w:p w14:paraId="45C0ED8B" w14:textId="77777777" w:rsidR="002A68CF" w:rsidRPr="00630129" w:rsidRDefault="001C7564">
            <w:pPr>
              <w:jc w:val="center"/>
              <w:rPr>
                <w:b/>
                <w:sz w:val="20"/>
              </w:rPr>
            </w:pPr>
            <w:r w:rsidRPr="00630129">
              <w:rPr>
                <w:b/>
                <w:sz w:val="20"/>
              </w:rPr>
              <w:t>Consumption Component Class Id</w:t>
            </w:r>
          </w:p>
        </w:tc>
        <w:tc>
          <w:tcPr>
            <w:tcW w:w="621" w:type="pct"/>
          </w:tcPr>
          <w:p w14:paraId="1565B907" w14:textId="046B3970" w:rsidR="002A68CF" w:rsidRPr="00630129" w:rsidRDefault="001C7564" w:rsidP="00196ADF">
            <w:pPr>
              <w:jc w:val="center"/>
              <w:rPr>
                <w:b/>
                <w:sz w:val="20"/>
              </w:rPr>
            </w:pPr>
            <w:r w:rsidRPr="00630129">
              <w:rPr>
                <w:b/>
                <w:sz w:val="20"/>
              </w:rPr>
              <w:t>Measurement Quantity I</w:t>
            </w:r>
            <w:r w:rsidR="00196ADF">
              <w:rPr>
                <w:b/>
                <w:sz w:val="20"/>
              </w:rPr>
              <w:t>D</w:t>
            </w:r>
          </w:p>
        </w:tc>
        <w:tc>
          <w:tcPr>
            <w:tcW w:w="553" w:type="pct"/>
          </w:tcPr>
          <w:p w14:paraId="7A77F89D" w14:textId="77777777" w:rsidR="002A68CF" w:rsidRPr="00630129" w:rsidRDefault="001C7564">
            <w:pPr>
              <w:jc w:val="center"/>
              <w:rPr>
                <w:b/>
                <w:sz w:val="20"/>
              </w:rPr>
            </w:pPr>
            <w:r w:rsidRPr="00630129">
              <w:rPr>
                <w:b/>
                <w:sz w:val="20"/>
              </w:rPr>
              <w:t>Data Aggregation Type</w:t>
            </w:r>
          </w:p>
        </w:tc>
        <w:tc>
          <w:tcPr>
            <w:tcW w:w="505" w:type="pct"/>
          </w:tcPr>
          <w:p w14:paraId="67898C47" w14:textId="77777777" w:rsidR="002A68CF" w:rsidRPr="00630129" w:rsidRDefault="001C7564">
            <w:pPr>
              <w:jc w:val="center"/>
              <w:rPr>
                <w:b/>
                <w:sz w:val="20"/>
              </w:rPr>
            </w:pPr>
            <w:r w:rsidRPr="00630129">
              <w:rPr>
                <w:b/>
                <w:sz w:val="20"/>
              </w:rPr>
              <w:t>Metered / Unmetered Indicator</w:t>
            </w:r>
          </w:p>
        </w:tc>
        <w:tc>
          <w:tcPr>
            <w:tcW w:w="608" w:type="pct"/>
          </w:tcPr>
          <w:p w14:paraId="22D779B4" w14:textId="77777777" w:rsidR="002A68CF" w:rsidRPr="00630129" w:rsidRDefault="001C7564">
            <w:pPr>
              <w:jc w:val="center"/>
              <w:rPr>
                <w:b/>
                <w:sz w:val="20"/>
              </w:rPr>
            </w:pPr>
            <w:r w:rsidRPr="00630129">
              <w:rPr>
                <w:b/>
                <w:sz w:val="20"/>
              </w:rPr>
              <w:t>Consumption Component Indicator</w:t>
            </w:r>
          </w:p>
        </w:tc>
        <w:tc>
          <w:tcPr>
            <w:tcW w:w="456" w:type="pct"/>
          </w:tcPr>
          <w:p w14:paraId="3F64B62C" w14:textId="77777777" w:rsidR="002A68CF" w:rsidRPr="00630129" w:rsidRDefault="001C7564">
            <w:pPr>
              <w:jc w:val="center"/>
              <w:rPr>
                <w:b/>
                <w:sz w:val="20"/>
              </w:rPr>
            </w:pPr>
            <w:r w:rsidRPr="00630129">
              <w:rPr>
                <w:b/>
                <w:sz w:val="20"/>
              </w:rPr>
              <w:t>Actual / Estimated Indicator</w:t>
            </w:r>
          </w:p>
        </w:tc>
        <w:tc>
          <w:tcPr>
            <w:tcW w:w="419" w:type="pct"/>
          </w:tcPr>
          <w:p w14:paraId="15AD9047" w14:textId="77777777" w:rsidR="002A68CF" w:rsidRPr="00630129" w:rsidRDefault="001C7564">
            <w:pPr>
              <w:jc w:val="center"/>
              <w:rPr>
                <w:b/>
                <w:sz w:val="20"/>
              </w:rPr>
            </w:pPr>
            <w:r w:rsidRPr="00630129">
              <w:rPr>
                <w:b/>
                <w:sz w:val="20"/>
              </w:rPr>
              <w:t>AA / EAC Indicator</w:t>
            </w:r>
          </w:p>
        </w:tc>
        <w:tc>
          <w:tcPr>
            <w:tcW w:w="608" w:type="pct"/>
          </w:tcPr>
          <w:p w14:paraId="3E84A28C" w14:textId="77777777" w:rsidR="002A68CF" w:rsidRPr="00630129" w:rsidRDefault="001C7564">
            <w:pPr>
              <w:jc w:val="center"/>
              <w:rPr>
                <w:b/>
                <w:sz w:val="20"/>
              </w:rPr>
            </w:pPr>
            <w:r w:rsidRPr="00630129">
              <w:rPr>
                <w:b/>
                <w:sz w:val="20"/>
              </w:rPr>
              <w:t>Consumption Level Indicator</w:t>
            </w:r>
          </w:p>
        </w:tc>
        <w:tc>
          <w:tcPr>
            <w:tcW w:w="621" w:type="pct"/>
          </w:tcPr>
          <w:p w14:paraId="015CBBE4" w14:textId="77777777" w:rsidR="002A68CF" w:rsidRPr="00630129" w:rsidRDefault="001C7564">
            <w:pPr>
              <w:jc w:val="center"/>
              <w:rPr>
                <w:b/>
                <w:sz w:val="20"/>
              </w:rPr>
            </w:pPr>
            <w:r w:rsidRPr="00630129">
              <w:rPr>
                <w:b/>
                <w:sz w:val="20"/>
              </w:rPr>
              <w:t>Measurement Class</w:t>
            </w:r>
          </w:p>
        </w:tc>
      </w:tr>
      <w:tr w:rsidR="00630129" w:rsidRPr="00630129" w14:paraId="4062B814" w14:textId="77777777">
        <w:trPr>
          <w:cantSplit/>
        </w:trPr>
        <w:tc>
          <w:tcPr>
            <w:tcW w:w="609" w:type="pct"/>
            <w:tcMar>
              <w:left w:w="28" w:type="dxa"/>
              <w:right w:w="28" w:type="dxa"/>
            </w:tcMar>
          </w:tcPr>
          <w:p w14:paraId="7B89AB2C" w14:textId="77777777" w:rsidR="002A68CF" w:rsidRPr="00630129" w:rsidRDefault="001C7564">
            <w:pPr>
              <w:rPr>
                <w:sz w:val="20"/>
              </w:rPr>
            </w:pPr>
            <w:r w:rsidRPr="00630129">
              <w:rPr>
                <w:sz w:val="20"/>
              </w:rPr>
              <w:t>1</w:t>
            </w:r>
          </w:p>
        </w:tc>
        <w:tc>
          <w:tcPr>
            <w:tcW w:w="621" w:type="pct"/>
            <w:tcMar>
              <w:left w:w="28" w:type="dxa"/>
              <w:right w:w="28" w:type="dxa"/>
            </w:tcMar>
          </w:tcPr>
          <w:p w14:paraId="6B78AC3F" w14:textId="77777777" w:rsidR="002A68CF" w:rsidRPr="00630129" w:rsidRDefault="001C7564">
            <w:pPr>
              <w:rPr>
                <w:sz w:val="20"/>
              </w:rPr>
            </w:pPr>
            <w:r w:rsidRPr="00630129">
              <w:rPr>
                <w:sz w:val="20"/>
              </w:rPr>
              <w:t>AI</w:t>
            </w:r>
          </w:p>
        </w:tc>
        <w:tc>
          <w:tcPr>
            <w:tcW w:w="553" w:type="pct"/>
            <w:tcMar>
              <w:left w:w="28" w:type="dxa"/>
              <w:right w:w="28" w:type="dxa"/>
            </w:tcMar>
          </w:tcPr>
          <w:p w14:paraId="0F74D112" w14:textId="77777777" w:rsidR="002A68CF" w:rsidRPr="00630129" w:rsidRDefault="001C7564">
            <w:pPr>
              <w:rPr>
                <w:sz w:val="20"/>
              </w:rPr>
            </w:pPr>
            <w:r w:rsidRPr="00630129">
              <w:rPr>
                <w:sz w:val="20"/>
              </w:rPr>
              <w:t>H</w:t>
            </w:r>
          </w:p>
        </w:tc>
        <w:tc>
          <w:tcPr>
            <w:tcW w:w="505" w:type="pct"/>
            <w:tcMar>
              <w:left w:w="28" w:type="dxa"/>
              <w:right w:w="28" w:type="dxa"/>
            </w:tcMar>
          </w:tcPr>
          <w:p w14:paraId="0F854D79" w14:textId="77777777" w:rsidR="002A68CF" w:rsidRPr="00630129" w:rsidRDefault="001C7564">
            <w:pPr>
              <w:rPr>
                <w:sz w:val="20"/>
              </w:rPr>
            </w:pPr>
            <w:r w:rsidRPr="00630129">
              <w:rPr>
                <w:sz w:val="20"/>
              </w:rPr>
              <w:t>M</w:t>
            </w:r>
          </w:p>
        </w:tc>
        <w:tc>
          <w:tcPr>
            <w:tcW w:w="608" w:type="pct"/>
            <w:tcMar>
              <w:left w:w="28" w:type="dxa"/>
              <w:right w:w="28" w:type="dxa"/>
            </w:tcMar>
          </w:tcPr>
          <w:p w14:paraId="07F9DBB3" w14:textId="77777777" w:rsidR="002A68CF" w:rsidRPr="00630129" w:rsidRDefault="001C7564">
            <w:pPr>
              <w:rPr>
                <w:sz w:val="20"/>
              </w:rPr>
            </w:pPr>
            <w:r w:rsidRPr="00630129">
              <w:rPr>
                <w:sz w:val="20"/>
              </w:rPr>
              <w:t>C</w:t>
            </w:r>
          </w:p>
        </w:tc>
        <w:tc>
          <w:tcPr>
            <w:tcW w:w="456" w:type="pct"/>
            <w:tcMar>
              <w:left w:w="28" w:type="dxa"/>
              <w:right w:w="28" w:type="dxa"/>
            </w:tcMar>
          </w:tcPr>
          <w:p w14:paraId="176E131C" w14:textId="77777777" w:rsidR="002A68CF" w:rsidRPr="00630129" w:rsidRDefault="001C7564">
            <w:pPr>
              <w:rPr>
                <w:sz w:val="20"/>
              </w:rPr>
            </w:pPr>
            <w:r w:rsidRPr="00630129">
              <w:rPr>
                <w:sz w:val="20"/>
              </w:rPr>
              <w:t>A</w:t>
            </w:r>
          </w:p>
        </w:tc>
        <w:tc>
          <w:tcPr>
            <w:tcW w:w="419" w:type="pct"/>
            <w:tcMar>
              <w:left w:w="28" w:type="dxa"/>
              <w:right w:w="28" w:type="dxa"/>
            </w:tcMar>
          </w:tcPr>
          <w:p w14:paraId="74DFCBAC" w14:textId="77777777" w:rsidR="002A68CF" w:rsidRPr="00630129" w:rsidRDefault="002A68CF">
            <w:pPr>
              <w:rPr>
                <w:sz w:val="20"/>
              </w:rPr>
            </w:pPr>
          </w:p>
        </w:tc>
        <w:tc>
          <w:tcPr>
            <w:tcW w:w="608" w:type="pct"/>
            <w:tcMar>
              <w:left w:w="28" w:type="dxa"/>
              <w:right w:w="28" w:type="dxa"/>
            </w:tcMar>
            <w:vAlign w:val="bottom"/>
          </w:tcPr>
          <w:p w14:paraId="48956FA8" w14:textId="77777777" w:rsidR="002A68CF" w:rsidRPr="00630129" w:rsidRDefault="001C7564">
            <w:pPr>
              <w:rPr>
                <w:sz w:val="20"/>
              </w:rPr>
            </w:pPr>
            <w:r w:rsidRPr="00630129">
              <w:rPr>
                <w:sz w:val="20"/>
              </w:rPr>
              <w:t>B</w:t>
            </w:r>
          </w:p>
        </w:tc>
        <w:tc>
          <w:tcPr>
            <w:tcW w:w="621" w:type="pct"/>
            <w:tcMar>
              <w:left w:w="28" w:type="dxa"/>
              <w:right w:w="28" w:type="dxa"/>
            </w:tcMar>
            <w:vAlign w:val="bottom"/>
          </w:tcPr>
          <w:p w14:paraId="27E968B5" w14:textId="77777777" w:rsidR="002A68CF" w:rsidRPr="00630129" w:rsidRDefault="001C7564">
            <w:pPr>
              <w:rPr>
                <w:sz w:val="20"/>
              </w:rPr>
            </w:pPr>
            <w:r w:rsidRPr="00630129">
              <w:rPr>
                <w:sz w:val="20"/>
              </w:rPr>
              <w:t>C</w:t>
            </w:r>
          </w:p>
        </w:tc>
      </w:tr>
      <w:tr w:rsidR="00630129" w:rsidRPr="00630129" w14:paraId="25C3928F" w14:textId="77777777">
        <w:trPr>
          <w:cantSplit/>
        </w:trPr>
        <w:tc>
          <w:tcPr>
            <w:tcW w:w="609" w:type="pct"/>
            <w:tcMar>
              <w:left w:w="28" w:type="dxa"/>
              <w:right w:w="28" w:type="dxa"/>
            </w:tcMar>
          </w:tcPr>
          <w:p w14:paraId="263CA651" w14:textId="77777777" w:rsidR="002A68CF" w:rsidRPr="00630129" w:rsidRDefault="001C7564">
            <w:pPr>
              <w:rPr>
                <w:sz w:val="20"/>
              </w:rPr>
            </w:pPr>
            <w:r w:rsidRPr="00630129">
              <w:rPr>
                <w:sz w:val="20"/>
              </w:rPr>
              <w:t>2</w:t>
            </w:r>
          </w:p>
        </w:tc>
        <w:tc>
          <w:tcPr>
            <w:tcW w:w="621" w:type="pct"/>
            <w:tcMar>
              <w:left w:w="28" w:type="dxa"/>
              <w:right w:w="28" w:type="dxa"/>
            </w:tcMar>
          </w:tcPr>
          <w:p w14:paraId="7FC53D1A" w14:textId="77777777" w:rsidR="002A68CF" w:rsidRPr="00630129" w:rsidRDefault="001C7564">
            <w:pPr>
              <w:rPr>
                <w:sz w:val="20"/>
              </w:rPr>
            </w:pPr>
            <w:r w:rsidRPr="00630129">
              <w:rPr>
                <w:sz w:val="20"/>
              </w:rPr>
              <w:t>AI</w:t>
            </w:r>
          </w:p>
        </w:tc>
        <w:tc>
          <w:tcPr>
            <w:tcW w:w="553" w:type="pct"/>
            <w:tcMar>
              <w:left w:w="28" w:type="dxa"/>
              <w:right w:w="28" w:type="dxa"/>
            </w:tcMar>
          </w:tcPr>
          <w:p w14:paraId="4CC5F9D1" w14:textId="77777777" w:rsidR="002A68CF" w:rsidRPr="00630129" w:rsidRDefault="001C7564">
            <w:pPr>
              <w:rPr>
                <w:sz w:val="20"/>
              </w:rPr>
            </w:pPr>
            <w:r w:rsidRPr="00630129">
              <w:rPr>
                <w:sz w:val="20"/>
              </w:rPr>
              <w:t>H</w:t>
            </w:r>
          </w:p>
        </w:tc>
        <w:tc>
          <w:tcPr>
            <w:tcW w:w="505" w:type="pct"/>
            <w:tcMar>
              <w:left w:w="28" w:type="dxa"/>
              <w:right w:w="28" w:type="dxa"/>
            </w:tcMar>
          </w:tcPr>
          <w:p w14:paraId="620DAC01" w14:textId="77777777" w:rsidR="002A68CF" w:rsidRPr="00630129" w:rsidRDefault="001C7564">
            <w:pPr>
              <w:rPr>
                <w:sz w:val="20"/>
              </w:rPr>
            </w:pPr>
            <w:r w:rsidRPr="00630129">
              <w:rPr>
                <w:sz w:val="20"/>
              </w:rPr>
              <w:t>U</w:t>
            </w:r>
          </w:p>
        </w:tc>
        <w:tc>
          <w:tcPr>
            <w:tcW w:w="608" w:type="pct"/>
            <w:tcMar>
              <w:left w:w="28" w:type="dxa"/>
              <w:right w:w="28" w:type="dxa"/>
            </w:tcMar>
          </w:tcPr>
          <w:p w14:paraId="418C7D7A" w14:textId="77777777" w:rsidR="002A68CF" w:rsidRPr="00630129" w:rsidRDefault="001C7564">
            <w:pPr>
              <w:rPr>
                <w:sz w:val="20"/>
              </w:rPr>
            </w:pPr>
            <w:r w:rsidRPr="00630129">
              <w:rPr>
                <w:sz w:val="20"/>
              </w:rPr>
              <w:t>C</w:t>
            </w:r>
          </w:p>
        </w:tc>
        <w:tc>
          <w:tcPr>
            <w:tcW w:w="456" w:type="pct"/>
            <w:tcMar>
              <w:left w:w="28" w:type="dxa"/>
              <w:right w:w="28" w:type="dxa"/>
            </w:tcMar>
          </w:tcPr>
          <w:p w14:paraId="45B6865D" w14:textId="77777777" w:rsidR="002A68CF" w:rsidRPr="00630129" w:rsidRDefault="001C7564">
            <w:pPr>
              <w:rPr>
                <w:sz w:val="20"/>
              </w:rPr>
            </w:pPr>
            <w:r w:rsidRPr="00630129">
              <w:rPr>
                <w:sz w:val="20"/>
              </w:rPr>
              <w:t>A</w:t>
            </w:r>
          </w:p>
        </w:tc>
        <w:tc>
          <w:tcPr>
            <w:tcW w:w="419" w:type="pct"/>
            <w:tcMar>
              <w:left w:w="28" w:type="dxa"/>
              <w:right w:w="28" w:type="dxa"/>
            </w:tcMar>
          </w:tcPr>
          <w:p w14:paraId="064D7DD9" w14:textId="77777777" w:rsidR="002A68CF" w:rsidRPr="00630129" w:rsidRDefault="002A68CF">
            <w:pPr>
              <w:rPr>
                <w:sz w:val="20"/>
              </w:rPr>
            </w:pPr>
          </w:p>
        </w:tc>
        <w:tc>
          <w:tcPr>
            <w:tcW w:w="608" w:type="pct"/>
            <w:tcMar>
              <w:left w:w="28" w:type="dxa"/>
              <w:right w:w="28" w:type="dxa"/>
            </w:tcMar>
            <w:vAlign w:val="bottom"/>
          </w:tcPr>
          <w:p w14:paraId="65E19C10"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1B2CEE6D" w14:textId="77777777" w:rsidR="002A68CF" w:rsidRPr="00630129" w:rsidRDefault="001C7564">
            <w:pPr>
              <w:rPr>
                <w:sz w:val="20"/>
              </w:rPr>
            </w:pPr>
            <w:r w:rsidRPr="00630129">
              <w:rPr>
                <w:sz w:val="20"/>
              </w:rPr>
              <w:t>D</w:t>
            </w:r>
          </w:p>
        </w:tc>
      </w:tr>
      <w:tr w:rsidR="00630129" w:rsidRPr="00630129" w14:paraId="43DFD83A" w14:textId="77777777">
        <w:trPr>
          <w:cantSplit/>
        </w:trPr>
        <w:tc>
          <w:tcPr>
            <w:tcW w:w="609" w:type="pct"/>
            <w:tcMar>
              <w:left w:w="28" w:type="dxa"/>
              <w:right w:w="28" w:type="dxa"/>
            </w:tcMar>
          </w:tcPr>
          <w:p w14:paraId="5ADA2BF3" w14:textId="77777777" w:rsidR="002A68CF" w:rsidRPr="00630129" w:rsidRDefault="001C7564">
            <w:pPr>
              <w:rPr>
                <w:sz w:val="20"/>
              </w:rPr>
            </w:pPr>
            <w:r w:rsidRPr="00630129">
              <w:rPr>
                <w:sz w:val="20"/>
              </w:rPr>
              <w:t>3</w:t>
            </w:r>
          </w:p>
        </w:tc>
        <w:tc>
          <w:tcPr>
            <w:tcW w:w="621" w:type="pct"/>
            <w:tcMar>
              <w:left w:w="28" w:type="dxa"/>
              <w:right w:w="28" w:type="dxa"/>
            </w:tcMar>
          </w:tcPr>
          <w:p w14:paraId="7ED4E55C" w14:textId="77777777" w:rsidR="002A68CF" w:rsidRPr="00630129" w:rsidRDefault="001C7564">
            <w:pPr>
              <w:rPr>
                <w:sz w:val="20"/>
              </w:rPr>
            </w:pPr>
            <w:r w:rsidRPr="00630129">
              <w:rPr>
                <w:sz w:val="20"/>
              </w:rPr>
              <w:t>AI</w:t>
            </w:r>
          </w:p>
        </w:tc>
        <w:tc>
          <w:tcPr>
            <w:tcW w:w="553" w:type="pct"/>
            <w:tcMar>
              <w:left w:w="28" w:type="dxa"/>
              <w:right w:w="28" w:type="dxa"/>
            </w:tcMar>
          </w:tcPr>
          <w:p w14:paraId="487003B1" w14:textId="77777777" w:rsidR="002A68CF" w:rsidRPr="00630129" w:rsidRDefault="001C7564">
            <w:pPr>
              <w:rPr>
                <w:sz w:val="20"/>
              </w:rPr>
            </w:pPr>
            <w:r w:rsidRPr="00630129">
              <w:rPr>
                <w:sz w:val="20"/>
              </w:rPr>
              <w:t>H</w:t>
            </w:r>
          </w:p>
        </w:tc>
        <w:tc>
          <w:tcPr>
            <w:tcW w:w="505" w:type="pct"/>
            <w:tcMar>
              <w:left w:w="28" w:type="dxa"/>
              <w:right w:w="28" w:type="dxa"/>
            </w:tcMar>
          </w:tcPr>
          <w:p w14:paraId="0C4A6E27" w14:textId="77777777" w:rsidR="002A68CF" w:rsidRPr="00630129" w:rsidRDefault="001C7564">
            <w:pPr>
              <w:rPr>
                <w:sz w:val="20"/>
              </w:rPr>
            </w:pPr>
            <w:r w:rsidRPr="00630129">
              <w:rPr>
                <w:sz w:val="20"/>
              </w:rPr>
              <w:t>M</w:t>
            </w:r>
          </w:p>
        </w:tc>
        <w:tc>
          <w:tcPr>
            <w:tcW w:w="608" w:type="pct"/>
            <w:tcMar>
              <w:left w:w="28" w:type="dxa"/>
              <w:right w:w="28" w:type="dxa"/>
            </w:tcMar>
          </w:tcPr>
          <w:p w14:paraId="1E708145" w14:textId="77777777" w:rsidR="002A68CF" w:rsidRPr="00630129" w:rsidRDefault="001C7564">
            <w:pPr>
              <w:rPr>
                <w:sz w:val="20"/>
              </w:rPr>
            </w:pPr>
            <w:r w:rsidRPr="00630129">
              <w:rPr>
                <w:sz w:val="20"/>
              </w:rPr>
              <w:t>M</w:t>
            </w:r>
          </w:p>
        </w:tc>
        <w:tc>
          <w:tcPr>
            <w:tcW w:w="456" w:type="pct"/>
            <w:tcMar>
              <w:left w:w="28" w:type="dxa"/>
              <w:right w:w="28" w:type="dxa"/>
            </w:tcMar>
          </w:tcPr>
          <w:p w14:paraId="5D1C0942" w14:textId="77777777" w:rsidR="002A68CF" w:rsidRPr="00630129" w:rsidRDefault="001C7564">
            <w:pPr>
              <w:rPr>
                <w:sz w:val="20"/>
              </w:rPr>
            </w:pPr>
            <w:r w:rsidRPr="00630129">
              <w:rPr>
                <w:sz w:val="20"/>
              </w:rPr>
              <w:t>A</w:t>
            </w:r>
          </w:p>
        </w:tc>
        <w:tc>
          <w:tcPr>
            <w:tcW w:w="419" w:type="pct"/>
            <w:tcMar>
              <w:left w:w="28" w:type="dxa"/>
              <w:right w:w="28" w:type="dxa"/>
            </w:tcMar>
          </w:tcPr>
          <w:p w14:paraId="179C16F9" w14:textId="77777777" w:rsidR="002A68CF" w:rsidRPr="00630129" w:rsidRDefault="002A68CF">
            <w:pPr>
              <w:rPr>
                <w:sz w:val="20"/>
              </w:rPr>
            </w:pPr>
          </w:p>
        </w:tc>
        <w:tc>
          <w:tcPr>
            <w:tcW w:w="608" w:type="pct"/>
            <w:tcMar>
              <w:left w:w="28" w:type="dxa"/>
              <w:right w:w="28" w:type="dxa"/>
            </w:tcMar>
            <w:vAlign w:val="bottom"/>
          </w:tcPr>
          <w:p w14:paraId="5A2A1ACF" w14:textId="77777777" w:rsidR="002A68CF" w:rsidRPr="00630129" w:rsidRDefault="001C7564">
            <w:pPr>
              <w:rPr>
                <w:sz w:val="20"/>
              </w:rPr>
            </w:pPr>
            <w:r w:rsidRPr="00630129">
              <w:rPr>
                <w:sz w:val="20"/>
              </w:rPr>
              <w:t>B</w:t>
            </w:r>
          </w:p>
        </w:tc>
        <w:tc>
          <w:tcPr>
            <w:tcW w:w="621" w:type="pct"/>
            <w:tcMar>
              <w:left w:w="28" w:type="dxa"/>
              <w:right w:w="28" w:type="dxa"/>
            </w:tcMar>
            <w:vAlign w:val="bottom"/>
          </w:tcPr>
          <w:p w14:paraId="1C535490" w14:textId="77777777" w:rsidR="002A68CF" w:rsidRPr="00630129" w:rsidRDefault="001C7564">
            <w:pPr>
              <w:rPr>
                <w:sz w:val="20"/>
              </w:rPr>
            </w:pPr>
            <w:r w:rsidRPr="00630129">
              <w:rPr>
                <w:sz w:val="20"/>
              </w:rPr>
              <w:t>C</w:t>
            </w:r>
          </w:p>
        </w:tc>
      </w:tr>
      <w:tr w:rsidR="00630129" w:rsidRPr="00630129" w14:paraId="3E2FC25F" w14:textId="77777777">
        <w:trPr>
          <w:cantSplit/>
        </w:trPr>
        <w:tc>
          <w:tcPr>
            <w:tcW w:w="609" w:type="pct"/>
            <w:tcMar>
              <w:left w:w="28" w:type="dxa"/>
              <w:right w:w="28" w:type="dxa"/>
            </w:tcMar>
          </w:tcPr>
          <w:p w14:paraId="7D770095" w14:textId="77777777" w:rsidR="002A68CF" w:rsidRPr="00630129" w:rsidRDefault="001C7564">
            <w:pPr>
              <w:rPr>
                <w:sz w:val="20"/>
              </w:rPr>
            </w:pPr>
            <w:r w:rsidRPr="00630129">
              <w:rPr>
                <w:sz w:val="20"/>
              </w:rPr>
              <w:t>4</w:t>
            </w:r>
          </w:p>
        </w:tc>
        <w:tc>
          <w:tcPr>
            <w:tcW w:w="621" w:type="pct"/>
            <w:tcMar>
              <w:left w:w="28" w:type="dxa"/>
              <w:right w:w="28" w:type="dxa"/>
            </w:tcMar>
          </w:tcPr>
          <w:p w14:paraId="595E5A53" w14:textId="77777777" w:rsidR="002A68CF" w:rsidRPr="00630129" w:rsidRDefault="001C7564">
            <w:pPr>
              <w:rPr>
                <w:sz w:val="20"/>
              </w:rPr>
            </w:pPr>
            <w:r w:rsidRPr="00630129">
              <w:rPr>
                <w:sz w:val="20"/>
              </w:rPr>
              <w:t>AI</w:t>
            </w:r>
          </w:p>
        </w:tc>
        <w:tc>
          <w:tcPr>
            <w:tcW w:w="553" w:type="pct"/>
            <w:tcMar>
              <w:left w:w="28" w:type="dxa"/>
              <w:right w:w="28" w:type="dxa"/>
            </w:tcMar>
          </w:tcPr>
          <w:p w14:paraId="13BC0848" w14:textId="77777777" w:rsidR="002A68CF" w:rsidRPr="00630129" w:rsidRDefault="001C7564">
            <w:pPr>
              <w:rPr>
                <w:sz w:val="20"/>
              </w:rPr>
            </w:pPr>
            <w:r w:rsidRPr="00630129">
              <w:rPr>
                <w:sz w:val="20"/>
              </w:rPr>
              <w:t>H</w:t>
            </w:r>
          </w:p>
        </w:tc>
        <w:tc>
          <w:tcPr>
            <w:tcW w:w="505" w:type="pct"/>
            <w:tcMar>
              <w:left w:w="28" w:type="dxa"/>
              <w:right w:w="28" w:type="dxa"/>
            </w:tcMar>
          </w:tcPr>
          <w:p w14:paraId="2F967BBD" w14:textId="77777777" w:rsidR="002A68CF" w:rsidRPr="00630129" w:rsidRDefault="001C7564">
            <w:pPr>
              <w:rPr>
                <w:sz w:val="20"/>
              </w:rPr>
            </w:pPr>
            <w:r w:rsidRPr="00630129">
              <w:rPr>
                <w:sz w:val="20"/>
              </w:rPr>
              <w:t>M</w:t>
            </w:r>
          </w:p>
        </w:tc>
        <w:tc>
          <w:tcPr>
            <w:tcW w:w="608" w:type="pct"/>
            <w:tcMar>
              <w:left w:w="28" w:type="dxa"/>
              <w:right w:w="28" w:type="dxa"/>
            </w:tcMar>
          </w:tcPr>
          <w:p w14:paraId="3B15C35F" w14:textId="77777777" w:rsidR="002A68CF" w:rsidRPr="00630129" w:rsidRDefault="001C7564">
            <w:pPr>
              <w:rPr>
                <w:sz w:val="20"/>
              </w:rPr>
            </w:pPr>
            <w:r w:rsidRPr="00630129">
              <w:rPr>
                <w:sz w:val="20"/>
              </w:rPr>
              <w:t>L</w:t>
            </w:r>
          </w:p>
        </w:tc>
        <w:tc>
          <w:tcPr>
            <w:tcW w:w="456" w:type="pct"/>
            <w:tcMar>
              <w:left w:w="28" w:type="dxa"/>
              <w:right w:w="28" w:type="dxa"/>
            </w:tcMar>
          </w:tcPr>
          <w:p w14:paraId="4CF4F8D0" w14:textId="77777777" w:rsidR="002A68CF" w:rsidRPr="00630129" w:rsidRDefault="001C7564">
            <w:pPr>
              <w:rPr>
                <w:sz w:val="20"/>
              </w:rPr>
            </w:pPr>
            <w:r w:rsidRPr="00630129">
              <w:rPr>
                <w:sz w:val="20"/>
              </w:rPr>
              <w:t>A</w:t>
            </w:r>
          </w:p>
        </w:tc>
        <w:tc>
          <w:tcPr>
            <w:tcW w:w="419" w:type="pct"/>
            <w:tcMar>
              <w:left w:w="28" w:type="dxa"/>
              <w:right w:w="28" w:type="dxa"/>
            </w:tcMar>
          </w:tcPr>
          <w:p w14:paraId="6CFA3394" w14:textId="77777777" w:rsidR="002A68CF" w:rsidRPr="00630129" w:rsidRDefault="002A68CF">
            <w:pPr>
              <w:rPr>
                <w:sz w:val="20"/>
              </w:rPr>
            </w:pPr>
          </w:p>
        </w:tc>
        <w:tc>
          <w:tcPr>
            <w:tcW w:w="608" w:type="pct"/>
            <w:tcMar>
              <w:left w:w="28" w:type="dxa"/>
              <w:right w:w="28" w:type="dxa"/>
            </w:tcMar>
            <w:vAlign w:val="bottom"/>
          </w:tcPr>
          <w:p w14:paraId="5599A3CF" w14:textId="77777777" w:rsidR="002A68CF" w:rsidRPr="00630129" w:rsidRDefault="001C7564">
            <w:pPr>
              <w:rPr>
                <w:sz w:val="20"/>
              </w:rPr>
            </w:pPr>
            <w:r w:rsidRPr="00630129">
              <w:rPr>
                <w:sz w:val="20"/>
              </w:rPr>
              <w:t>B</w:t>
            </w:r>
          </w:p>
        </w:tc>
        <w:tc>
          <w:tcPr>
            <w:tcW w:w="621" w:type="pct"/>
            <w:tcMar>
              <w:left w:w="28" w:type="dxa"/>
              <w:right w:w="28" w:type="dxa"/>
            </w:tcMar>
            <w:vAlign w:val="bottom"/>
          </w:tcPr>
          <w:p w14:paraId="022E1D89" w14:textId="77777777" w:rsidR="002A68CF" w:rsidRPr="00630129" w:rsidRDefault="001C7564">
            <w:pPr>
              <w:rPr>
                <w:sz w:val="20"/>
              </w:rPr>
            </w:pPr>
            <w:r w:rsidRPr="00630129">
              <w:rPr>
                <w:sz w:val="20"/>
              </w:rPr>
              <w:t>C</w:t>
            </w:r>
          </w:p>
        </w:tc>
      </w:tr>
      <w:tr w:rsidR="00630129" w:rsidRPr="00630129" w14:paraId="274E7875" w14:textId="77777777">
        <w:trPr>
          <w:cantSplit/>
        </w:trPr>
        <w:tc>
          <w:tcPr>
            <w:tcW w:w="609" w:type="pct"/>
            <w:tcMar>
              <w:left w:w="28" w:type="dxa"/>
              <w:right w:w="28" w:type="dxa"/>
            </w:tcMar>
          </w:tcPr>
          <w:p w14:paraId="494099CB" w14:textId="77777777" w:rsidR="002A68CF" w:rsidRPr="00630129" w:rsidRDefault="001C7564">
            <w:pPr>
              <w:rPr>
                <w:sz w:val="20"/>
              </w:rPr>
            </w:pPr>
            <w:r w:rsidRPr="00630129">
              <w:rPr>
                <w:sz w:val="20"/>
              </w:rPr>
              <w:t>5</w:t>
            </w:r>
          </w:p>
        </w:tc>
        <w:tc>
          <w:tcPr>
            <w:tcW w:w="621" w:type="pct"/>
            <w:tcMar>
              <w:left w:w="28" w:type="dxa"/>
              <w:right w:w="28" w:type="dxa"/>
            </w:tcMar>
          </w:tcPr>
          <w:p w14:paraId="4E58E513" w14:textId="77777777" w:rsidR="002A68CF" w:rsidRPr="00630129" w:rsidRDefault="001C7564">
            <w:pPr>
              <w:rPr>
                <w:sz w:val="20"/>
              </w:rPr>
            </w:pPr>
            <w:r w:rsidRPr="00630129">
              <w:rPr>
                <w:sz w:val="20"/>
              </w:rPr>
              <w:t>AI</w:t>
            </w:r>
          </w:p>
        </w:tc>
        <w:tc>
          <w:tcPr>
            <w:tcW w:w="553" w:type="pct"/>
            <w:tcMar>
              <w:left w:w="28" w:type="dxa"/>
              <w:right w:w="28" w:type="dxa"/>
            </w:tcMar>
          </w:tcPr>
          <w:p w14:paraId="4358EC0F" w14:textId="77777777" w:rsidR="002A68CF" w:rsidRPr="00630129" w:rsidRDefault="001C7564">
            <w:pPr>
              <w:rPr>
                <w:sz w:val="20"/>
              </w:rPr>
            </w:pPr>
            <w:r w:rsidRPr="00630129">
              <w:rPr>
                <w:sz w:val="20"/>
              </w:rPr>
              <w:t>H</w:t>
            </w:r>
          </w:p>
        </w:tc>
        <w:tc>
          <w:tcPr>
            <w:tcW w:w="505" w:type="pct"/>
            <w:tcMar>
              <w:left w:w="28" w:type="dxa"/>
              <w:right w:w="28" w:type="dxa"/>
            </w:tcMar>
          </w:tcPr>
          <w:p w14:paraId="4564D357" w14:textId="77777777" w:rsidR="002A68CF" w:rsidRPr="00630129" w:rsidRDefault="001C7564">
            <w:pPr>
              <w:rPr>
                <w:sz w:val="20"/>
              </w:rPr>
            </w:pPr>
            <w:r w:rsidRPr="00630129">
              <w:rPr>
                <w:sz w:val="20"/>
              </w:rPr>
              <w:t>U</w:t>
            </w:r>
          </w:p>
        </w:tc>
        <w:tc>
          <w:tcPr>
            <w:tcW w:w="608" w:type="pct"/>
            <w:tcMar>
              <w:left w:w="28" w:type="dxa"/>
              <w:right w:w="28" w:type="dxa"/>
            </w:tcMar>
          </w:tcPr>
          <w:p w14:paraId="480C8CEB" w14:textId="77777777" w:rsidR="002A68CF" w:rsidRPr="00630129" w:rsidRDefault="001C7564">
            <w:pPr>
              <w:rPr>
                <w:sz w:val="20"/>
              </w:rPr>
            </w:pPr>
            <w:r w:rsidRPr="00630129">
              <w:rPr>
                <w:sz w:val="20"/>
              </w:rPr>
              <w:t>L</w:t>
            </w:r>
          </w:p>
        </w:tc>
        <w:tc>
          <w:tcPr>
            <w:tcW w:w="456" w:type="pct"/>
            <w:tcMar>
              <w:left w:w="28" w:type="dxa"/>
              <w:right w:w="28" w:type="dxa"/>
            </w:tcMar>
          </w:tcPr>
          <w:p w14:paraId="2486E4D2" w14:textId="77777777" w:rsidR="002A68CF" w:rsidRPr="00630129" w:rsidRDefault="001C7564">
            <w:pPr>
              <w:rPr>
                <w:sz w:val="20"/>
              </w:rPr>
            </w:pPr>
            <w:r w:rsidRPr="00630129">
              <w:rPr>
                <w:sz w:val="20"/>
              </w:rPr>
              <w:t>A</w:t>
            </w:r>
          </w:p>
        </w:tc>
        <w:tc>
          <w:tcPr>
            <w:tcW w:w="419" w:type="pct"/>
            <w:tcMar>
              <w:left w:w="28" w:type="dxa"/>
              <w:right w:w="28" w:type="dxa"/>
            </w:tcMar>
          </w:tcPr>
          <w:p w14:paraId="660510C6" w14:textId="77777777" w:rsidR="002A68CF" w:rsidRPr="00630129" w:rsidRDefault="002A68CF">
            <w:pPr>
              <w:rPr>
                <w:sz w:val="20"/>
              </w:rPr>
            </w:pPr>
          </w:p>
        </w:tc>
        <w:tc>
          <w:tcPr>
            <w:tcW w:w="608" w:type="pct"/>
            <w:tcMar>
              <w:left w:w="28" w:type="dxa"/>
              <w:right w:w="28" w:type="dxa"/>
            </w:tcMar>
            <w:vAlign w:val="bottom"/>
          </w:tcPr>
          <w:p w14:paraId="6B615684"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1040F6F3" w14:textId="77777777" w:rsidR="002A68CF" w:rsidRPr="00630129" w:rsidRDefault="001C7564">
            <w:pPr>
              <w:rPr>
                <w:sz w:val="20"/>
              </w:rPr>
            </w:pPr>
            <w:r w:rsidRPr="00630129">
              <w:rPr>
                <w:sz w:val="20"/>
              </w:rPr>
              <w:t>D</w:t>
            </w:r>
          </w:p>
        </w:tc>
      </w:tr>
      <w:tr w:rsidR="00630129" w:rsidRPr="00630129" w14:paraId="3010F3BA" w14:textId="77777777">
        <w:trPr>
          <w:cantSplit/>
        </w:trPr>
        <w:tc>
          <w:tcPr>
            <w:tcW w:w="609" w:type="pct"/>
            <w:tcMar>
              <w:left w:w="28" w:type="dxa"/>
              <w:right w:w="28" w:type="dxa"/>
            </w:tcMar>
          </w:tcPr>
          <w:p w14:paraId="086FF27B" w14:textId="77777777" w:rsidR="002A68CF" w:rsidRPr="00630129" w:rsidRDefault="001C7564">
            <w:pPr>
              <w:rPr>
                <w:sz w:val="20"/>
              </w:rPr>
            </w:pPr>
            <w:r w:rsidRPr="00630129">
              <w:rPr>
                <w:sz w:val="20"/>
              </w:rPr>
              <w:t>6</w:t>
            </w:r>
          </w:p>
        </w:tc>
        <w:tc>
          <w:tcPr>
            <w:tcW w:w="621" w:type="pct"/>
            <w:tcMar>
              <w:left w:w="28" w:type="dxa"/>
              <w:right w:w="28" w:type="dxa"/>
            </w:tcMar>
          </w:tcPr>
          <w:p w14:paraId="49B60138" w14:textId="77777777" w:rsidR="002A68CF" w:rsidRPr="00630129" w:rsidRDefault="001C7564">
            <w:pPr>
              <w:rPr>
                <w:sz w:val="20"/>
              </w:rPr>
            </w:pPr>
            <w:r w:rsidRPr="00630129">
              <w:rPr>
                <w:sz w:val="20"/>
              </w:rPr>
              <w:t>AE</w:t>
            </w:r>
          </w:p>
        </w:tc>
        <w:tc>
          <w:tcPr>
            <w:tcW w:w="553" w:type="pct"/>
            <w:tcMar>
              <w:left w:w="28" w:type="dxa"/>
              <w:right w:w="28" w:type="dxa"/>
            </w:tcMar>
          </w:tcPr>
          <w:p w14:paraId="6659A572" w14:textId="77777777" w:rsidR="002A68CF" w:rsidRPr="00630129" w:rsidRDefault="001C7564">
            <w:pPr>
              <w:rPr>
                <w:sz w:val="20"/>
              </w:rPr>
            </w:pPr>
            <w:r w:rsidRPr="00630129">
              <w:rPr>
                <w:sz w:val="20"/>
              </w:rPr>
              <w:t>H</w:t>
            </w:r>
          </w:p>
        </w:tc>
        <w:tc>
          <w:tcPr>
            <w:tcW w:w="505" w:type="pct"/>
            <w:tcMar>
              <w:left w:w="28" w:type="dxa"/>
              <w:right w:w="28" w:type="dxa"/>
            </w:tcMar>
          </w:tcPr>
          <w:p w14:paraId="182CFA08" w14:textId="77777777" w:rsidR="002A68CF" w:rsidRPr="00630129" w:rsidRDefault="001C7564">
            <w:pPr>
              <w:rPr>
                <w:sz w:val="20"/>
              </w:rPr>
            </w:pPr>
            <w:r w:rsidRPr="00630129">
              <w:rPr>
                <w:sz w:val="20"/>
              </w:rPr>
              <w:t>M</w:t>
            </w:r>
          </w:p>
        </w:tc>
        <w:tc>
          <w:tcPr>
            <w:tcW w:w="608" w:type="pct"/>
            <w:tcMar>
              <w:left w:w="28" w:type="dxa"/>
              <w:right w:w="28" w:type="dxa"/>
            </w:tcMar>
          </w:tcPr>
          <w:p w14:paraId="1080C2CD" w14:textId="77777777" w:rsidR="002A68CF" w:rsidRPr="00630129" w:rsidRDefault="001C7564">
            <w:pPr>
              <w:rPr>
                <w:sz w:val="20"/>
              </w:rPr>
            </w:pPr>
            <w:r w:rsidRPr="00630129">
              <w:rPr>
                <w:sz w:val="20"/>
              </w:rPr>
              <w:t>C</w:t>
            </w:r>
          </w:p>
        </w:tc>
        <w:tc>
          <w:tcPr>
            <w:tcW w:w="456" w:type="pct"/>
            <w:tcMar>
              <w:left w:w="28" w:type="dxa"/>
              <w:right w:w="28" w:type="dxa"/>
            </w:tcMar>
          </w:tcPr>
          <w:p w14:paraId="36BDE74C" w14:textId="77777777" w:rsidR="002A68CF" w:rsidRPr="00630129" w:rsidRDefault="001C7564">
            <w:pPr>
              <w:rPr>
                <w:sz w:val="20"/>
              </w:rPr>
            </w:pPr>
            <w:r w:rsidRPr="00630129">
              <w:rPr>
                <w:sz w:val="20"/>
              </w:rPr>
              <w:t>A</w:t>
            </w:r>
          </w:p>
        </w:tc>
        <w:tc>
          <w:tcPr>
            <w:tcW w:w="419" w:type="pct"/>
            <w:tcMar>
              <w:left w:w="28" w:type="dxa"/>
              <w:right w:w="28" w:type="dxa"/>
            </w:tcMar>
          </w:tcPr>
          <w:p w14:paraId="2E5F2A9F" w14:textId="77777777" w:rsidR="002A68CF" w:rsidRPr="00630129" w:rsidRDefault="002A68CF">
            <w:pPr>
              <w:rPr>
                <w:sz w:val="20"/>
              </w:rPr>
            </w:pPr>
          </w:p>
        </w:tc>
        <w:tc>
          <w:tcPr>
            <w:tcW w:w="608" w:type="pct"/>
            <w:tcMar>
              <w:left w:w="28" w:type="dxa"/>
              <w:right w:w="28" w:type="dxa"/>
            </w:tcMar>
            <w:vAlign w:val="bottom"/>
          </w:tcPr>
          <w:p w14:paraId="13F2F1B4"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6A2F34FE" w14:textId="77777777" w:rsidR="002A68CF" w:rsidRPr="00630129" w:rsidRDefault="001C7564">
            <w:pPr>
              <w:rPr>
                <w:sz w:val="20"/>
              </w:rPr>
            </w:pPr>
            <w:r w:rsidRPr="00630129">
              <w:rPr>
                <w:sz w:val="20"/>
              </w:rPr>
              <w:t>C</w:t>
            </w:r>
          </w:p>
        </w:tc>
      </w:tr>
      <w:tr w:rsidR="00630129" w:rsidRPr="00630129" w14:paraId="0215E4D1" w14:textId="77777777">
        <w:trPr>
          <w:cantSplit/>
        </w:trPr>
        <w:tc>
          <w:tcPr>
            <w:tcW w:w="609" w:type="pct"/>
            <w:tcMar>
              <w:left w:w="28" w:type="dxa"/>
              <w:right w:w="28" w:type="dxa"/>
            </w:tcMar>
          </w:tcPr>
          <w:p w14:paraId="1562FF4A" w14:textId="77777777" w:rsidR="002A68CF" w:rsidRPr="00630129" w:rsidRDefault="001C7564">
            <w:pPr>
              <w:rPr>
                <w:sz w:val="20"/>
              </w:rPr>
            </w:pPr>
            <w:r w:rsidRPr="00630129">
              <w:rPr>
                <w:sz w:val="20"/>
              </w:rPr>
              <w:t>7</w:t>
            </w:r>
          </w:p>
        </w:tc>
        <w:tc>
          <w:tcPr>
            <w:tcW w:w="621" w:type="pct"/>
            <w:tcMar>
              <w:left w:w="28" w:type="dxa"/>
              <w:right w:w="28" w:type="dxa"/>
            </w:tcMar>
          </w:tcPr>
          <w:p w14:paraId="11E86FC2" w14:textId="77777777" w:rsidR="002A68CF" w:rsidRPr="00630129" w:rsidRDefault="001C7564">
            <w:pPr>
              <w:rPr>
                <w:sz w:val="20"/>
              </w:rPr>
            </w:pPr>
            <w:r w:rsidRPr="00630129">
              <w:rPr>
                <w:sz w:val="20"/>
              </w:rPr>
              <w:t>AE</w:t>
            </w:r>
          </w:p>
        </w:tc>
        <w:tc>
          <w:tcPr>
            <w:tcW w:w="553" w:type="pct"/>
            <w:tcMar>
              <w:left w:w="28" w:type="dxa"/>
              <w:right w:w="28" w:type="dxa"/>
            </w:tcMar>
          </w:tcPr>
          <w:p w14:paraId="1D142FF5" w14:textId="77777777" w:rsidR="002A68CF" w:rsidRPr="00630129" w:rsidRDefault="001C7564">
            <w:pPr>
              <w:rPr>
                <w:sz w:val="20"/>
              </w:rPr>
            </w:pPr>
            <w:r w:rsidRPr="00630129">
              <w:rPr>
                <w:sz w:val="20"/>
              </w:rPr>
              <w:t>H</w:t>
            </w:r>
          </w:p>
        </w:tc>
        <w:tc>
          <w:tcPr>
            <w:tcW w:w="505" w:type="pct"/>
            <w:tcMar>
              <w:left w:w="28" w:type="dxa"/>
              <w:right w:w="28" w:type="dxa"/>
            </w:tcMar>
          </w:tcPr>
          <w:p w14:paraId="2A80929C" w14:textId="77777777" w:rsidR="002A68CF" w:rsidRPr="00630129" w:rsidRDefault="001C7564">
            <w:pPr>
              <w:rPr>
                <w:sz w:val="20"/>
              </w:rPr>
            </w:pPr>
            <w:r w:rsidRPr="00630129">
              <w:rPr>
                <w:sz w:val="20"/>
              </w:rPr>
              <w:t>M</w:t>
            </w:r>
          </w:p>
        </w:tc>
        <w:tc>
          <w:tcPr>
            <w:tcW w:w="608" w:type="pct"/>
            <w:tcMar>
              <w:left w:w="28" w:type="dxa"/>
              <w:right w:w="28" w:type="dxa"/>
            </w:tcMar>
          </w:tcPr>
          <w:p w14:paraId="218544E3" w14:textId="77777777" w:rsidR="002A68CF" w:rsidRPr="00630129" w:rsidRDefault="001C7564">
            <w:pPr>
              <w:rPr>
                <w:sz w:val="20"/>
              </w:rPr>
            </w:pPr>
            <w:r w:rsidRPr="00630129">
              <w:rPr>
                <w:sz w:val="20"/>
              </w:rPr>
              <w:t>M</w:t>
            </w:r>
          </w:p>
        </w:tc>
        <w:tc>
          <w:tcPr>
            <w:tcW w:w="456" w:type="pct"/>
            <w:tcMar>
              <w:left w:w="28" w:type="dxa"/>
              <w:right w:w="28" w:type="dxa"/>
            </w:tcMar>
          </w:tcPr>
          <w:p w14:paraId="10B0869E" w14:textId="77777777" w:rsidR="002A68CF" w:rsidRPr="00630129" w:rsidRDefault="001C7564">
            <w:pPr>
              <w:rPr>
                <w:sz w:val="20"/>
              </w:rPr>
            </w:pPr>
            <w:r w:rsidRPr="00630129">
              <w:rPr>
                <w:sz w:val="20"/>
              </w:rPr>
              <w:t>A</w:t>
            </w:r>
          </w:p>
        </w:tc>
        <w:tc>
          <w:tcPr>
            <w:tcW w:w="419" w:type="pct"/>
            <w:tcMar>
              <w:left w:w="28" w:type="dxa"/>
              <w:right w:w="28" w:type="dxa"/>
            </w:tcMar>
          </w:tcPr>
          <w:p w14:paraId="5F29202E" w14:textId="77777777" w:rsidR="002A68CF" w:rsidRPr="00630129" w:rsidRDefault="002A68CF">
            <w:pPr>
              <w:rPr>
                <w:sz w:val="20"/>
              </w:rPr>
            </w:pPr>
          </w:p>
        </w:tc>
        <w:tc>
          <w:tcPr>
            <w:tcW w:w="608" w:type="pct"/>
            <w:tcMar>
              <w:left w:w="28" w:type="dxa"/>
              <w:right w:w="28" w:type="dxa"/>
            </w:tcMar>
            <w:vAlign w:val="bottom"/>
          </w:tcPr>
          <w:p w14:paraId="47C47B2C"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57B6277E" w14:textId="77777777" w:rsidR="002A68CF" w:rsidRPr="00630129" w:rsidRDefault="001C7564">
            <w:pPr>
              <w:rPr>
                <w:sz w:val="20"/>
              </w:rPr>
            </w:pPr>
            <w:r w:rsidRPr="00630129">
              <w:rPr>
                <w:sz w:val="20"/>
              </w:rPr>
              <w:t>C</w:t>
            </w:r>
          </w:p>
        </w:tc>
      </w:tr>
      <w:tr w:rsidR="00630129" w:rsidRPr="00630129" w14:paraId="6D6169B9" w14:textId="77777777">
        <w:trPr>
          <w:cantSplit/>
        </w:trPr>
        <w:tc>
          <w:tcPr>
            <w:tcW w:w="609" w:type="pct"/>
            <w:tcMar>
              <w:left w:w="28" w:type="dxa"/>
              <w:right w:w="28" w:type="dxa"/>
            </w:tcMar>
          </w:tcPr>
          <w:p w14:paraId="1CF7E9D0" w14:textId="77777777" w:rsidR="002A68CF" w:rsidRPr="00630129" w:rsidRDefault="001C7564">
            <w:pPr>
              <w:rPr>
                <w:sz w:val="20"/>
              </w:rPr>
            </w:pPr>
            <w:r w:rsidRPr="00630129">
              <w:rPr>
                <w:sz w:val="20"/>
              </w:rPr>
              <w:t>8</w:t>
            </w:r>
          </w:p>
        </w:tc>
        <w:tc>
          <w:tcPr>
            <w:tcW w:w="621" w:type="pct"/>
            <w:tcMar>
              <w:left w:w="28" w:type="dxa"/>
              <w:right w:w="28" w:type="dxa"/>
            </w:tcMar>
          </w:tcPr>
          <w:p w14:paraId="6DD199C4" w14:textId="77777777" w:rsidR="002A68CF" w:rsidRPr="00630129" w:rsidRDefault="001C7564">
            <w:pPr>
              <w:rPr>
                <w:sz w:val="20"/>
              </w:rPr>
            </w:pPr>
            <w:r w:rsidRPr="00630129">
              <w:rPr>
                <w:sz w:val="20"/>
              </w:rPr>
              <w:t>AE</w:t>
            </w:r>
          </w:p>
        </w:tc>
        <w:tc>
          <w:tcPr>
            <w:tcW w:w="553" w:type="pct"/>
            <w:tcMar>
              <w:left w:w="28" w:type="dxa"/>
              <w:right w:w="28" w:type="dxa"/>
            </w:tcMar>
          </w:tcPr>
          <w:p w14:paraId="1D04F6CE" w14:textId="77777777" w:rsidR="002A68CF" w:rsidRPr="00630129" w:rsidRDefault="001C7564">
            <w:pPr>
              <w:rPr>
                <w:sz w:val="20"/>
              </w:rPr>
            </w:pPr>
            <w:r w:rsidRPr="00630129">
              <w:rPr>
                <w:sz w:val="20"/>
              </w:rPr>
              <w:t>H</w:t>
            </w:r>
          </w:p>
        </w:tc>
        <w:tc>
          <w:tcPr>
            <w:tcW w:w="505" w:type="pct"/>
            <w:tcMar>
              <w:left w:w="28" w:type="dxa"/>
              <w:right w:w="28" w:type="dxa"/>
            </w:tcMar>
          </w:tcPr>
          <w:p w14:paraId="627D0763" w14:textId="77777777" w:rsidR="002A68CF" w:rsidRPr="00630129" w:rsidRDefault="001C7564">
            <w:pPr>
              <w:rPr>
                <w:sz w:val="20"/>
              </w:rPr>
            </w:pPr>
            <w:r w:rsidRPr="00630129">
              <w:rPr>
                <w:sz w:val="20"/>
              </w:rPr>
              <w:t>M</w:t>
            </w:r>
          </w:p>
        </w:tc>
        <w:tc>
          <w:tcPr>
            <w:tcW w:w="608" w:type="pct"/>
            <w:tcMar>
              <w:left w:w="28" w:type="dxa"/>
              <w:right w:w="28" w:type="dxa"/>
            </w:tcMar>
          </w:tcPr>
          <w:p w14:paraId="719156E6" w14:textId="77777777" w:rsidR="002A68CF" w:rsidRPr="00630129" w:rsidRDefault="001C7564">
            <w:pPr>
              <w:rPr>
                <w:sz w:val="20"/>
              </w:rPr>
            </w:pPr>
            <w:r w:rsidRPr="00630129">
              <w:rPr>
                <w:sz w:val="20"/>
              </w:rPr>
              <w:t>L</w:t>
            </w:r>
          </w:p>
        </w:tc>
        <w:tc>
          <w:tcPr>
            <w:tcW w:w="456" w:type="pct"/>
            <w:tcMar>
              <w:left w:w="28" w:type="dxa"/>
              <w:right w:w="28" w:type="dxa"/>
            </w:tcMar>
          </w:tcPr>
          <w:p w14:paraId="6FBFB202" w14:textId="77777777" w:rsidR="002A68CF" w:rsidRPr="00630129" w:rsidRDefault="001C7564">
            <w:pPr>
              <w:rPr>
                <w:sz w:val="20"/>
              </w:rPr>
            </w:pPr>
            <w:r w:rsidRPr="00630129">
              <w:rPr>
                <w:sz w:val="20"/>
              </w:rPr>
              <w:t>A</w:t>
            </w:r>
          </w:p>
        </w:tc>
        <w:tc>
          <w:tcPr>
            <w:tcW w:w="419" w:type="pct"/>
            <w:tcMar>
              <w:left w:w="28" w:type="dxa"/>
              <w:right w:w="28" w:type="dxa"/>
            </w:tcMar>
          </w:tcPr>
          <w:p w14:paraId="281CEBB1" w14:textId="77777777" w:rsidR="002A68CF" w:rsidRPr="00630129" w:rsidRDefault="002A68CF">
            <w:pPr>
              <w:rPr>
                <w:sz w:val="20"/>
              </w:rPr>
            </w:pPr>
          </w:p>
        </w:tc>
        <w:tc>
          <w:tcPr>
            <w:tcW w:w="608" w:type="pct"/>
            <w:tcMar>
              <w:left w:w="28" w:type="dxa"/>
              <w:right w:w="28" w:type="dxa"/>
            </w:tcMar>
            <w:vAlign w:val="bottom"/>
          </w:tcPr>
          <w:p w14:paraId="788AAD9A"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7B32F802" w14:textId="77777777" w:rsidR="002A68CF" w:rsidRPr="00630129" w:rsidRDefault="001C7564">
            <w:pPr>
              <w:rPr>
                <w:sz w:val="20"/>
              </w:rPr>
            </w:pPr>
            <w:r w:rsidRPr="00630129">
              <w:rPr>
                <w:sz w:val="20"/>
              </w:rPr>
              <w:t>C</w:t>
            </w:r>
          </w:p>
        </w:tc>
      </w:tr>
      <w:tr w:rsidR="00630129" w:rsidRPr="00630129" w14:paraId="44C56CFE" w14:textId="77777777">
        <w:trPr>
          <w:cantSplit/>
        </w:trPr>
        <w:tc>
          <w:tcPr>
            <w:tcW w:w="609" w:type="pct"/>
            <w:tcMar>
              <w:left w:w="28" w:type="dxa"/>
              <w:right w:w="28" w:type="dxa"/>
            </w:tcMar>
          </w:tcPr>
          <w:p w14:paraId="4D21C7EE" w14:textId="77777777" w:rsidR="002A68CF" w:rsidRPr="00630129" w:rsidRDefault="001C7564">
            <w:pPr>
              <w:rPr>
                <w:sz w:val="20"/>
              </w:rPr>
            </w:pPr>
            <w:r w:rsidRPr="00630129">
              <w:rPr>
                <w:sz w:val="20"/>
              </w:rPr>
              <w:t>9</w:t>
            </w:r>
          </w:p>
        </w:tc>
        <w:tc>
          <w:tcPr>
            <w:tcW w:w="621" w:type="pct"/>
            <w:tcMar>
              <w:left w:w="28" w:type="dxa"/>
              <w:right w:w="28" w:type="dxa"/>
            </w:tcMar>
          </w:tcPr>
          <w:p w14:paraId="23FFDAB1" w14:textId="77777777" w:rsidR="002A68CF" w:rsidRPr="00630129" w:rsidRDefault="001C7564">
            <w:pPr>
              <w:rPr>
                <w:sz w:val="20"/>
              </w:rPr>
            </w:pPr>
            <w:r w:rsidRPr="00630129">
              <w:rPr>
                <w:sz w:val="20"/>
              </w:rPr>
              <w:t>AI</w:t>
            </w:r>
          </w:p>
        </w:tc>
        <w:tc>
          <w:tcPr>
            <w:tcW w:w="553" w:type="pct"/>
            <w:tcMar>
              <w:left w:w="28" w:type="dxa"/>
              <w:right w:w="28" w:type="dxa"/>
            </w:tcMar>
          </w:tcPr>
          <w:p w14:paraId="29757AFD" w14:textId="77777777" w:rsidR="002A68CF" w:rsidRPr="00630129" w:rsidRDefault="001C7564">
            <w:pPr>
              <w:rPr>
                <w:sz w:val="20"/>
              </w:rPr>
            </w:pPr>
            <w:r w:rsidRPr="00630129">
              <w:rPr>
                <w:sz w:val="20"/>
              </w:rPr>
              <w:t>H</w:t>
            </w:r>
          </w:p>
        </w:tc>
        <w:tc>
          <w:tcPr>
            <w:tcW w:w="505" w:type="pct"/>
            <w:tcMar>
              <w:left w:w="28" w:type="dxa"/>
              <w:right w:w="28" w:type="dxa"/>
            </w:tcMar>
          </w:tcPr>
          <w:p w14:paraId="1AFC08B7" w14:textId="77777777" w:rsidR="002A68CF" w:rsidRPr="00630129" w:rsidRDefault="001C7564">
            <w:pPr>
              <w:rPr>
                <w:sz w:val="20"/>
              </w:rPr>
            </w:pPr>
            <w:r w:rsidRPr="00630129">
              <w:rPr>
                <w:sz w:val="20"/>
              </w:rPr>
              <w:t>M</w:t>
            </w:r>
          </w:p>
        </w:tc>
        <w:tc>
          <w:tcPr>
            <w:tcW w:w="608" w:type="pct"/>
            <w:tcMar>
              <w:left w:w="28" w:type="dxa"/>
              <w:right w:w="28" w:type="dxa"/>
            </w:tcMar>
          </w:tcPr>
          <w:p w14:paraId="51E70EEC" w14:textId="77777777" w:rsidR="002A68CF" w:rsidRPr="00630129" w:rsidRDefault="001C7564">
            <w:pPr>
              <w:rPr>
                <w:sz w:val="20"/>
              </w:rPr>
            </w:pPr>
            <w:r w:rsidRPr="00630129">
              <w:rPr>
                <w:sz w:val="20"/>
              </w:rPr>
              <w:t>C</w:t>
            </w:r>
          </w:p>
        </w:tc>
        <w:tc>
          <w:tcPr>
            <w:tcW w:w="456" w:type="pct"/>
            <w:tcMar>
              <w:left w:w="28" w:type="dxa"/>
              <w:right w:w="28" w:type="dxa"/>
            </w:tcMar>
          </w:tcPr>
          <w:p w14:paraId="283467A6" w14:textId="77777777" w:rsidR="002A68CF" w:rsidRPr="00630129" w:rsidRDefault="001C7564">
            <w:pPr>
              <w:rPr>
                <w:sz w:val="20"/>
              </w:rPr>
            </w:pPr>
            <w:r w:rsidRPr="00630129">
              <w:rPr>
                <w:sz w:val="20"/>
              </w:rPr>
              <w:t>E</w:t>
            </w:r>
          </w:p>
        </w:tc>
        <w:tc>
          <w:tcPr>
            <w:tcW w:w="419" w:type="pct"/>
            <w:tcMar>
              <w:left w:w="28" w:type="dxa"/>
              <w:right w:w="28" w:type="dxa"/>
            </w:tcMar>
          </w:tcPr>
          <w:p w14:paraId="7D792511" w14:textId="77777777" w:rsidR="002A68CF" w:rsidRPr="00630129" w:rsidRDefault="002A68CF">
            <w:pPr>
              <w:rPr>
                <w:sz w:val="20"/>
              </w:rPr>
            </w:pPr>
          </w:p>
        </w:tc>
        <w:tc>
          <w:tcPr>
            <w:tcW w:w="608" w:type="pct"/>
            <w:tcMar>
              <w:left w:w="28" w:type="dxa"/>
              <w:right w:w="28" w:type="dxa"/>
            </w:tcMar>
            <w:vAlign w:val="bottom"/>
          </w:tcPr>
          <w:p w14:paraId="2B8FEE3F" w14:textId="77777777" w:rsidR="002A68CF" w:rsidRPr="00630129" w:rsidRDefault="001C7564">
            <w:pPr>
              <w:rPr>
                <w:sz w:val="20"/>
              </w:rPr>
            </w:pPr>
            <w:r w:rsidRPr="00630129">
              <w:rPr>
                <w:sz w:val="20"/>
              </w:rPr>
              <w:t>B</w:t>
            </w:r>
          </w:p>
        </w:tc>
        <w:tc>
          <w:tcPr>
            <w:tcW w:w="621" w:type="pct"/>
            <w:tcMar>
              <w:left w:w="28" w:type="dxa"/>
              <w:right w:w="28" w:type="dxa"/>
            </w:tcMar>
            <w:vAlign w:val="bottom"/>
          </w:tcPr>
          <w:p w14:paraId="4BB39E1C" w14:textId="77777777" w:rsidR="002A68CF" w:rsidRPr="00630129" w:rsidRDefault="001C7564">
            <w:pPr>
              <w:rPr>
                <w:sz w:val="20"/>
              </w:rPr>
            </w:pPr>
            <w:r w:rsidRPr="00630129">
              <w:rPr>
                <w:sz w:val="20"/>
              </w:rPr>
              <w:t>C</w:t>
            </w:r>
          </w:p>
        </w:tc>
      </w:tr>
      <w:tr w:rsidR="00630129" w:rsidRPr="00630129" w14:paraId="112F9BA9" w14:textId="77777777">
        <w:trPr>
          <w:cantSplit/>
        </w:trPr>
        <w:tc>
          <w:tcPr>
            <w:tcW w:w="609" w:type="pct"/>
            <w:tcMar>
              <w:left w:w="28" w:type="dxa"/>
              <w:right w:w="28" w:type="dxa"/>
            </w:tcMar>
          </w:tcPr>
          <w:p w14:paraId="64F3176D" w14:textId="77777777" w:rsidR="002A68CF" w:rsidRPr="00630129" w:rsidRDefault="001C7564">
            <w:pPr>
              <w:rPr>
                <w:sz w:val="20"/>
              </w:rPr>
            </w:pPr>
            <w:r w:rsidRPr="00630129">
              <w:rPr>
                <w:sz w:val="20"/>
              </w:rPr>
              <w:t>10</w:t>
            </w:r>
          </w:p>
        </w:tc>
        <w:tc>
          <w:tcPr>
            <w:tcW w:w="621" w:type="pct"/>
            <w:tcMar>
              <w:left w:w="28" w:type="dxa"/>
              <w:right w:w="28" w:type="dxa"/>
            </w:tcMar>
          </w:tcPr>
          <w:p w14:paraId="5CD6918E" w14:textId="77777777" w:rsidR="002A68CF" w:rsidRPr="00630129" w:rsidRDefault="001C7564">
            <w:pPr>
              <w:rPr>
                <w:sz w:val="20"/>
              </w:rPr>
            </w:pPr>
            <w:r w:rsidRPr="00630129">
              <w:rPr>
                <w:sz w:val="20"/>
              </w:rPr>
              <w:t>AI</w:t>
            </w:r>
          </w:p>
        </w:tc>
        <w:tc>
          <w:tcPr>
            <w:tcW w:w="553" w:type="pct"/>
            <w:tcMar>
              <w:left w:w="28" w:type="dxa"/>
              <w:right w:w="28" w:type="dxa"/>
            </w:tcMar>
          </w:tcPr>
          <w:p w14:paraId="2E9AD013" w14:textId="77777777" w:rsidR="002A68CF" w:rsidRPr="00630129" w:rsidRDefault="001C7564">
            <w:pPr>
              <w:rPr>
                <w:sz w:val="20"/>
              </w:rPr>
            </w:pPr>
            <w:r w:rsidRPr="00630129">
              <w:rPr>
                <w:sz w:val="20"/>
              </w:rPr>
              <w:t>H</w:t>
            </w:r>
          </w:p>
        </w:tc>
        <w:tc>
          <w:tcPr>
            <w:tcW w:w="505" w:type="pct"/>
            <w:tcMar>
              <w:left w:w="28" w:type="dxa"/>
              <w:right w:w="28" w:type="dxa"/>
            </w:tcMar>
          </w:tcPr>
          <w:p w14:paraId="042D3A6E" w14:textId="77777777" w:rsidR="002A68CF" w:rsidRPr="00630129" w:rsidRDefault="001C7564">
            <w:pPr>
              <w:rPr>
                <w:sz w:val="20"/>
              </w:rPr>
            </w:pPr>
            <w:r w:rsidRPr="00630129">
              <w:rPr>
                <w:sz w:val="20"/>
              </w:rPr>
              <w:t>U</w:t>
            </w:r>
          </w:p>
        </w:tc>
        <w:tc>
          <w:tcPr>
            <w:tcW w:w="608" w:type="pct"/>
            <w:tcMar>
              <w:left w:w="28" w:type="dxa"/>
              <w:right w:w="28" w:type="dxa"/>
            </w:tcMar>
          </w:tcPr>
          <w:p w14:paraId="5627330D" w14:textId="77777777" w:rsidR="002A68CF" w:rsidRPr="00630129" w:rsidRDefault="001C7564">
            <w:pPr>
              <w:rPr>
                <w:sz w:val="20"/>
              </w:rPr>
            </w:pPr>
            <w:r w:rsidRPr="00630129">
              <w:rPr>
                <w:sz w:val="20"/>
              </w:rPr>
              <w:t>C</w:t>
            </w:r>
          </w:p>
        </w:tc>
        <w:tc>
          <w:tcPr>
            <w:tcW w:w="456" w:type="pct"/>
            <w:tcMar>
              <w:left w:w="28" w:type="dxa"/>
              <w:right w:w="28" w:type="dxa"/>
            </w:tcMar>
          </w:tcPr>
          <w:p w14:paraId="38DE5031" w14:textId="77777777" w:rsidR="002A68CF" w:rsidRPr="00630129" w:rsidRDefault="001C7564">
            <w:pPr>
              <w:rPr>
                <w:sz w:val="20"/>
              </w:rPr>
            </w:pPr>
            <w:r w:rsidRPr="00630129">
              <w:rPr>
                <w:sz w:val="20"/>
              </w:rPr>
              <w:t>E</w:t>
            </w:r>
          </w:p>
        </w:tc>
        <w:tc>
          <w:tcPr>
            <w:tcW w:w="419" w:type="pct"/>
            <w:tcMar>
              <w:left w:w="28" w:type="dxa"/>
              <w:right w:w="28" w:type="dxa"/>
            </w:tcMar>
          </w:tcPr>
          <w:p w14:paraId="43B732CE" w14:textId="77777777" w:rsidR="002A68CF" w:rsidRPr="00630129" w:rsidRDefault="002A68CF">
            <w:pPr>
              <w:rPr>
                <w:sz w:val="20"/>
              </w:rPr>
            </w:pPr>
          </w:p>
        </w:tc>
        <w:tc>
          <w:tcPr>
            <w:tcW w:w="608" w:type="pct"/>
            <w:tcMar>
              <w:left w:w="28" w:type="dxa"/>
              <w:right w:w="28" w:type="dxa"/>
            </w:tcMar>
            <w:vAlign w:val="bottom"/>
          </w:tcPr>
          <w:p w14:paraId="6624DBDB"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2F13444A" w14:textId="77777777" w:rsidR="002A68CF" w:rsidRPr="00630129" w:rsidRDefault="001C7564">
            <w:pPr>
              <w:rPr>
                <w:sz w:val="20"/>
              </w:rPr>
            </w:pPr>
            <w:r w:rsidRPr="00630129">
              <w:rPr>
                <w:sz w:val="20"/>
              </w:rPr>
              <w:t>D</w:t>
            </w:r>
          </w:p>
        </w:tc>
      </w:tr>
      <w:tr w:rsidR="00630129" w:rsidRPr="00630129" w14:paraId="32098B8C" w14:textId="77777777">
        <w:trPr>
          <w:cantSplit/>
        </w:trPr>
        <w:tc>
          <w:tcPr>
            <w:tcW w:w="609" w:type="pct"/>
            <w:tcMar>
              <w:left w:w="28" w:type="dxa"/>
              <w:right w:w="28" w:type="dxa"/>
            </w:tcMar>
          </w:tcPr>
          <w:p w14:paraId="6A734E86" w14:textId="77777777" w:rsidR="002A68CF" w:rsidRPr="00630129" w:rsidRDefault="001C7564">
            <w:pPr>
              <w:rPr>
                <w:sz w:val="20"/>
              </w:rPr>
            </w:pPr>
            <w:r w:rsidRPr="00630129">
              <w:rPr>
                <w:sz w:val="20"/>
              </w:rPr>
              <w:t>11</w:t>
            </w:r>
          </w:p>
        </w:tc>
        <w:tc>
          <w:tcPr>
            <w:tcW w:w="621" w:type="pct"/>
            <w:tcMar>
              <w:left w:w="28" w:type="dxa"/>
              <w:right w:w="28" w:type="dxa"/>
            </w:tcMar>
          </w:tcPr>
          <w:p w14:paraId="64986A5B" w14:textId="77777777" w:rsidR="002A68CF" w:rsidRPr="00630129" w:rsidRDefault="001C7564">
            <w:pPr>
              <w:rPr>
                <w:sz w:val="20"/>
              </w:rPr>
            </w:pPr>
            <w:r w:rsidRPr="00630129">
              <w:rPr>
                <w:sz w:val="20"/>
              </w:rPr>
              <w:t>AI</w:t>
            </w:r>
          </w:p>
        </w:tc>
        <w:tc>
          <w:tcPr>
            <w:tcW w:w="553" w:type="pct"/>
            <w:tcMar>
              <w:left w:w="28" w:type="dxa"/>
              <w:right w:w="28" w:type="dxa"/>
            </w:tcMar>
          </w:tcPr>
          <w:p w14:paraId="463512AE" w14:textId="77777777" w:rsidR="002A68CF" w:rsidRPr="00630129" w:rsidRDefault="001C7564">
            <w:pPr>
              <w:rPr>
                <w:sz w:val="20"/>
              </w:rPr>
            </w:pPr>
            <w:r w:rsidRPr="00630129">
              <w:rPr>
                <w:sz w:val="20"/>
              </w:rPr>
              <w:t>H</w:t>
            </w:r>
          </w:p>
        </w:tc>
        <w:tc>
          <w:tcPr>
            <w:tcW w:w="505" w:type="pct"/>
            <w:tcMar>
              <w:left w:w="28" w:type="dxa"/>
              <w:right w:w="28" w:type="dxa"/>
            </w:tcMar>
          </w:tcPr>
          <w:p w14:paraId="7D1A6D15" w14:textId="77777777" w:rsidR="002A68CF" w:rsidRPr="00630129" w:rsidRDefault="001C7564">
            <w:pPr>
              <w:rPr>
                <w:sz w:val="20"/>
              </w:rPr>
            </w:pPr>
            <w:r w:rsidRPr="00630129">
              <w:rPr>
                <w:sz w:val="20"/>
              </w:rPr>
              <w:t>M</w:t>
            </w:r>
          </w:p>
        </w:tc>
        <w:tc>
          <w:tcPr>
            <w:tcW w:w="608" w:type="pct"/>
            <w:tcMar>
              <w:left w:w="28" w:type="dxa"/>
              <w:right w:w="28" w:type="dxa"/>
            </w:tcMar>
          </w:tcPr>
          <w:p w14:paraId="79D7B097" w14:textId="77777777" w:rsidR="002A68CF" w:rsidRPr="00630129" w:rsidRDefault="001C7564">
            <w:pPr>
              <w:rPr>
                <w:sz w:val="20"/>
              </w:rPr>
            </w:pPr>
            <w:r w:rsidRPr="00630129">
              <w:rPr>
                <w:sz w:val="20"/>
              </w:rPr>
              <w:t>M</w:t>
            </w:r>
          </w:p>
        </w:tc>
        <w:tc>
          <w:tcPr>
            <w:tcW w:w="456" w:type="pct"/>
            <w:tcMar>
              <w:left w:w="28" w:type="dxa"/>
              <w:right w:w="28" w:type="dxa"/>
            </w:tcMar>
          </w:tcPr>
          <w:p w14:paraId="629E9BB2" w14:textId="77777777" w:rsidR="002A68CF" w:rsidRPr="00630129" w:rsidRDefault="001C7564">
            <w:pPr>
              <w:rPr>
                <w:sz w:val="20"/>
              </w:rPr>
            </w:pPr>
            <w:r w:rsidRPr="00630129">
              <w:rPr>
                <w:sz w:val="20"/>
              </w:rPr>
              <w:t>E</w:t>
            </w:r>
          </w:p>
        </w:tc>
        <w:tc>
          <w:tcPr>
            <w:tcW w:w="419" w:type="pct"/>
            <w:tcMar>
              <w:left w:w="28" w:type="dxa"/>
              <w:right w:w="28" w:type="dxa"/>
            </w:tcMar>
          </w:tcPr>
          <w:p w14:paraId="79C7EBD4" w14:textId="77777777" w:rsidR="002A68CF" w:rsidRPr="00630129" w:rsidRDefault="002A68CF">
            <w:pPr>
              <w:rPr>
                <w:sz w:val="20"/>
              </w:rPr>
            </w:pPr>
          </w:p>
        </w:tc>
        <w:tc>
          <w:tcPr>
            <w:tcW w:w="608" w:type="pct"/>
            <w:tcMar>
              <w:left w:w="28" w:type="dxa"/>
              <w:right w:w="28" w:type="dxa"/>
            </w:tcMar>
            <w:vAlign w:val="bottom"/>
          </w:tcPr>
          <w:p w14:paraId="05AF2100" w14:textId="77777777" w:rsidR="002A68CF" w:rsidRPr="00630129" w:rsidRDefault="001C7564">
            <w:pPr>
              <w:rPr>
                <w:sz w:val="20"/>
              </w:rPr>
            </w:pPr>
            <w:r w:rsidRPr="00630129">
              <w:rPr>
                <w:sz w:val="20"/>
              </w:rPr>
              <w:t>B</w:t>
            </w:r>
          </w:p>
        </w:tc>
        <w:tc>
          <w:tcPr>
            <w:tcW w:w="621" w:type="pct"/>
            <w:tcMar>
              <w:left w:w="28" w:type="dxa"/>
              <w:right w:w="28" w:type="dxa"/>
            </w:tcMar>
            <w:vAlign w:val="bottom"/>
          </w:tcPr>
          <w:p w14:paraId="2A91AF94" w14:textId="77777777" w:rsidR="002A68CF" w:rsidRPr="00630129" w:rsidRDefault="001C7564">
            <w:pPr>
              <w:rPr>
                <w:sz w:val="20"/>
              </w:rPr>
            </w:pPr>
            <w:r w:rsidRPr="00630129">
              <w:rPr>
                <w:sz w:val="20"/>
              </w:rPr>
              <w:t>C</w:t>
            </w:r>
          </w:p>
        </w:tc>
      </w:tr>
      <w:tr w:rsidR="00630129" w:rsidRPr="00630129" w14:paraId="6D14725C" w14:textId="77777777">
        <w:trPr>
          <w:cantSplit/>
        </w:trPr>
        <w:tc>
          <w:tcPr>
            <w:tcW w:w="609" w:type="pct"/>
            <w:tcMar>
              <w:left w:w="28" w:type="dxa"/>
              <w:right w:w="28" w:type="dxa"/>
            </w:tcMar>
          </w:tcPr>
          <w:p w14:paraId="333B37FA" w14:textId="77777777" w:rsidR="002A68CF" w:rsidRPr="00630129" w:rsidRDefault="001C7564">
            <w:pPr>
              <w:rPr>
                <w:sz w:val="20"/>
              </w:rPr>
            </w:pPr>
            <w:r w:rsidRPr="00630129">
              <w:rPr>
                <w:sz w:val="20"/>
              </w:rPr>
              <w:t>12</w:t>
            </w:r>
          </w:p>
        </w:tc>
        <w:tc>
          <w:tcPr>
            <w:tcW w:w="621" w:type="pct"/>
            <w:tcMar>
              <w:left w:w="28" w:type="dxa"/>
              <w:right w:w="28" w:type="dxa"/>
            </w:tcMar>
          </w:tcPr>
          <w:p w14:paraId="01DF3B8E" w14:textId="77777777" w:rsidR="002A68CF" w:rsidRPr="00630129" w:rsidRDefault="001C7564">
            <w:pPr>
              <w:rPr>
                <w:sz w:val="20"/>
              </w:rPr>
            </w:pPr>
            <w:r w:rsidRPr="00630129">
              <w:rPr>
                <w:sz w:val="20"/>
              </w:rPr>
              <w:t>AI</w:t>
            </w:r>
          </w:p>
        </w:tc>
        <w:tc>
          <w:tcPr>
            <w:tcW w:w="553" w:type="pct"/>
            <w:tcMar>
              <w:left w:w="28" w:type="dxa"/>
              <w:right w:w="28" w:type="dxa"/>
            </w:tcMar>
          </w:tcPr>
          <w:p w14:paraId="6BFC5FDE" w14:textId="77777777" w:rsidR="002A68CF" w:rsidRPr="00630129" w:rsidRDefault="001C7564">
            <w:pPr>
              <w:rPr>
                <w:sz w:val="20"/>
              </w:rPr>
            </w:pPr>
            <w:r w:rsidRPr="00630129">
              <w:rPr>
                <w:sz w:val="20"/>
              </w:rPr>
              <w:t>H</w:t>
            </w:r>
          </w:p>
        </w:tc>
        <w:tc>
          <w:tcPr>
            <w:tcW w:w="505" w:type="pct"/>
            <w:tcMar>
              <w:left w:w="28" w:type="dxa"/>
              <w:right w:w="28" w:type="dxa"/>
            </w:tcMar>
          </w:tcPr>
          <w:p w14:paraId="4BF6CB13" w14:textId="77777777" w:rsidR="002A68CF" w:rsidRPr="00630129" w:rsidRDefault="001C7564">
            <w:pPr>
              <w:rPr>
                <w:sz w:val="20"/>
              </w:rPr>
            </w:pPr>
            <w:r w:rsidRPr="00630129">
              <w:rPr>
                <w:sz w:val="20"/>
              </w:rPr>
              <w:t>M</w:t>
            </w:r>
          </w:p>
        </w:tc>
        <w:tc>
          <w:tcPr>
            <w:tcW w:w="608" w:type="pct"/>
            <w:tcMar>
              <w:left w:w="28" w:type="dxa"/>
              <w:right w:w="28" w:type="dxa"/>
            </w:tcMar>
          </w:tcPr>
          <w:p w14:paraId="55D97962" w14:textId="77777777" w:rsidR="002A68CF" w:rsidRPr="00630129" w:rsidRDefault="001C7564">
            <w:pPr>
              <w:rPr>
                <w:sz w:val="20"/>
              </w:rPr>
            </w:pPr>
            <w:r w:rsidRPr="00630129">
              <w:rPr>
                <w:sz w:val="20"/>
              </w:rPr>
              <w:t>L</w:t>
            </w:r>
          </w:p>
        </w:tc>
        <w:tc>
          <w:tcPr>
            <w:tcW w:w="456" w:type="pct"/>
            <w:tcMar>
              <w:left w:w="28" w:type="dxa"/>
              <w:right w:w="28" w:type="dxa"/>
            </w:tcMar>
          </w:tcPr>
          <w:p w14:paraId="13128A82" w14:textId="77777777" w:rsidR="002A68CF" w:rsidRPr="00630129" w:rsidRDefault="001C7564">
            <w:pPr>
              <w:rPr>
                <w:sz w:val="20"/>
              </w:rPr>
            </w:pPr>
            <w:r w:rsidRPr="00630129">
              <w:rPr>
                <w:sz w:val="20"/>
              </w:rPr>
              <w:t>E</w:t>
            </w:r>
          </w:p>
        </w:tc>
        <w:tc>
          <w:tcPr>
            <w:tcW w:w="419" w:type="pct"/>
            <w:tcMar>
              <w:left w:w="28" w:type="dxa"/>
              <w:right w:w="28" w:type="dxa"/>
            </w:tcMar>
          </w:tcPr>
          <w:p w14:paraId="495851E7" w14:textId="77777777" w:rsidR="002A68CF" w:rsidRPr="00630129" w:rsidRDefault="002A68CF">
            <w:pPr>
              <w:rPr>
                <w:sz w:val="20"/>
              </w:rPr>
            </w:pPr>
          </w:p>
        </w:tc>
        <w:tc>
          <w:tcPr>
            <w:tcW w:w="608" w:type="pct"/>
            <w:tcMar>
              <w:left w:w="28" w:type="dxa"/>
              <w:right w:w="28" w:type="dxa"/>
            </w:tcMar>
            <w:vAlign w:val="bottom"/>
          </w:tcPr>
          <w:p w14:paraId="5C4AD8FE" w14:textId="77777777" w:rsidR="002A68CF" w:rsidRPr="00630129" w:rsidRDefault="001C7564">
            <w:pPr>
              <w:rPr>
                <w:sz w:val="20"/>
              </w:rPr>
            </w:pPr>
            <w:r w:rsidRPr="00630129">
              <w:rPr>
                <w:sz w:val="20"/>
              </w:rPr>
              <w:t>B</w:t>
            </w:r>
          </w:p>
        </w:tc>
        <w:tc>
          <w:tcPr>
            <w:tcW w:w="621" w:type="pct"/>
            <w:tcMar>
              <w:left w:w="28" w:type="dxa"/>
              <w:right w:w="28" w:type="dxa"/>
            </w:tcMar>
            <w:vAlign w:val="bottom"/>
          </w:tcPr>
          <w:p w14:paraId="3E736C74" w14:textId="77777777" w:rsidR="002A68CF" w:rsidRPr="00630129" w:rsidRDefault="001C7564">
            <w:pPr>
              <w:rPr>
                <w:sz w:val="20"/>
              </w:rPr>
            </w:pPr>
            <w:r w:rsidRPr="00630129">
              <w:rPr>
                <w:sz w:val="20"/>
              </w:rPr>
              <w:t>C</w:t>
            </w:r>
          </w:p>
        </w:tc>
      </w:tr>
      <w:tr w:rsidR="00630129" w:rsidRPr="00630129" w14:paraId="5191E453" w14:textId="77777777">
        <w:trPr>
          <w:cantSplit/>
        </w:trPr>
        <w:tc>
          <w:tcPr>
            <w:tcW w:w="609" w:type="pct"/>
            <w:tcMar>
              <w:left w:w="28" w:type="dxa"/>
              <w:right w:w="28" w:type="dxa"/>
            </w:tcMar>
          </w:tcPr>
          <w:p w14:paraId="4474138E" w14:textId="77777777" w:rsidR="002A68CF" w:rsidRPr="00630129" w:rsidRDefault="001C7564">
            <w:pPr>
              <w:rPr>
                <w:sz w:val="20"/>
              </w:rPr>
            </w:pPr>
            <w:r w:rsidRPr="00630129">
              <w:rPr>
                <w:sz w:val="20"/>
              </w:rPr>
              <w:t>13</w:t>
            </w:r>
          </w:p>
        </w:tc>
        <w:tc>
          <w:tcPr>
            <w:tcW w:w="621" w:type="pct"/>
            <w:tcMar>
              <w:left w:w="28" w:type="dxa"/>
              <w:right w:w="28" w:type="dxa"/>
            </w:tcMar>
          </w:tcPr>
          <w:p w14:paraId="341F0A39" w14:textId="77777777" w:rsidR="002A68CF" w:rsidRPr="00630129" w:rsidRDefault="001C7564">
            <w:pPr>
              <w:rPr>
                <w:sz w:val="20"/>
              </w:rPr>
            </w:pPr>
            <w:r w:rsidRPr="00630129">
              <w:rPr>
                <w:sz w:val="20"/>
              </w:rPr>
              <w:t>AI</w:t>
            </w:r>
          </w:p>
        </w:tc>
        <w:tc>
          <w:tcPr>
            <w:tcW w:w="553" w:type="pct"/>
            <w:tcMar>
              <w:left w:w="28" w:type="dxa"/>
              <w:right w:w="28" w:type="dxa"/>
            </w:tcMar>
          </w:tcPr>
          <w:p w14:paraId="25D80C2B" w14:textId="77777777" w:rsidR="002A68CF" w:rsidRPr="00630129" w:rsidRDefault="001C7564">
            <w:pPr>
              <w:rPr>
                <w:sz w:val="20"/>
              </w:rPr>
            </w:pPr>
            <w:r w:rsidRPr="00630129">
              <w:rPr>
                <w:sz w:val="20"/>
              </w:rPr>
              <w:t>H</w:t>
            </w:r>
          </w:p>
        </w:tc>
        <w:tc>
          <w:tcPr>
            <w:tcW w:w="505" w:type="pct"/>
            <w:tcMar>
              <w:left w:w="28" w:type="dxa"/>
              <w:right w:w="28" w:type="dxa"/>
            </w:tcMar>
          </w:tcPr>
          <w:p w14:paraId="6C5790D4" w14:textId="77777777" w:rsidR="002A68CF" w:rsidRPr="00630129" w:rsidRDefault="001C7564">
            <w:pPr>
              <w:rPr>
                <w:sz w:val="20"/>
              </w:rPr>
            </w:pPr>
            <w:r w:rsidRPr="00630129">
              <w:rPr>
                <w:sz w:val="20"/>
              </w:rPr>
              <w:t>U</w:t>
            </w:r>
          </w:p>
        </w:tc>
        <w:tc>
          <w:tcPr>
            <w:tcW w:w="608" w:type="pct"/>
            <w:tcMar>
              <w:left w:w="28" w:type="dxa"/>
              <w:right w:w="28" w:type="dxa"/>
            </w:tcMar>
          </w:tcPr>
          <w:p w14:paraId="765C1298" w14:textId="77777777" w:rsidR="002A68CF" w:rsidRPr="00630129" w:rsidRDefault="001C7564">
            <w:pPr>
              <w:rPr>
                <w:sz w:val="20"/>
              </w:rPr>
            </w:pPr>
            <w:r w:rsidRPr="00630129">
              <w:rPr>
                <w:sz w:val="20"/>
              </w:rPr>
              <w:t>L</w:t>
            </w:r>
          </w:p>
        </w:tc>
        <w:tc>
          <w:tcPr>
            <w:tcW w:w="456" w:type="pct"/>
            <w:tcMar>
              <w:left w:w="28" w:type="dxa"/>
              <w:right w:w="28" w:type="dxa"/>
            </w:tcMar>
          </w:tcPr>
          <w:p w14:paraId="45423B8B" w14:textId="77777777" w:rsidR="002A68CF" w:rsidRPr="00630129" w:rsidRDefault="001C7564">
            <w:pPr>
              <w:rPr>
                <w:sz w:val="20"/>
              </w:rPr>
            </w:pPr>
            <w:r w:rsidRPr="00630129">
              <w:rPr>
                <w:sz w:val="20"/>
              </w:rPr>
              <w:t>E</w:t>
            </w:r>
          </w:p>
        </w:tc>
        <w:tc>
          <w:tcPr>
            <w:tcW w:w="419" w:type="pct"/>
            <w:tcMar>
              <w:left w:w="28" w:type="dxa"/>
              <w:right w:w="28" w:type="dxa"/>
            </w:tcMar>
          </w:tcPr>
          <w:p w14:paraId="18F313BF" w14:textId="77777777" w:rsidR="002A68CF" w:rsidRPr="00630129" w:rsidRDefault="002A68CF">
            <w:pPr>
              <w:rPr>
                <w:sz w:val="20"/>
              </w:rPr>
            </w:pPr>
          </w:p>
        </w:tc>
        <w:tc>
          <w:tcPr>
            <w:tcW w:w="608" w:type="pct"/>
            <w:tcMar>
              <w:left w:w="28" w:type="dxa"/>
              <w:right w:w="28" w:type="dxa"/>
            </w:tcMar>
            <w:vAlign w:val="bottom"/>
          </w:tcPr>
          <w:p w14:paraId="40494E78"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57542164" w14:textId="77777777" w:rsidR="002A68CF" w:rsidRPr="00630129" w:rsidRDefault="001C7564">
            <w:pPr>
              <w:rPr>
                <w:sz w:val="20"/>
              </w:rPr>
            </w:pPr>
            <w:r w:rsidRPr="00630129">
              <w:rPr>
                <w:sz w:val="20"/>
              </w:rPr>
              <w:t>D</w:t>
            </w:r>
          </w:p>
        </w:tc>
      </w:tr>
      <w:tr w:rsidR="00630129" w:rsidRPr="00630129" w14:paraId="6C5B56E1" w14:textId="77777777">
        <w:trPr>
          <w:cantSplit/>
        </w:trPr>
        <w:tc>
          <w:tcPr>
            <w:tcW w:w="609" w:type="pct"/>
            <w:tcMar>
              <w:left w:w="28" w:type="dxa"/>
              <w:right w:w="28" w:type="dxa"/>
            </w:tcMar>
          </w:tcPr>
          <w:p w14:paraId="64F12CAD" w14:textId="77777777" w:rsidR="002A68CF" w:rsidRPr="00630129" w:rsidRDefault="001C7564">
            <w:pPr>
              <w:rPr>
                <w:sz w:val="20"/>
              </w:rPr>
            </w:pPr>
            <w:r w:rsidRPr="00630129">
              <w:rPr>
                <w:sz w:val="20"/>
              </w:rPr>
              <w:t>14</w:t>
            </w:r>
          </w:p>
        </w:tc>
        <w:tc>
          <w:tcPr>
            <w:tcW w:w="621" w:type="pct"/>
            <w:tcMar>
              <w:left w:w="28" w:type="dxa"/>
              <w:right w:w="28" w:type="dxa"/>
            </w:tcMar>
          </w:tcPr>
          <w:p w14:paraId="134BD19A" w14:textId="77777777" w:rsidR="002A68CF" w:rsidRPr="00630129" w:rsidRDefault="001C7564">
            <w:pPr>
              <w:rPr>
                <w:sz w:val="20"/>
              </w:rPr>
            </w:pPr>
            <w:r w:rsidRPr="00630129">
              <w:rPr>
                <w:sz w:val="20"/>
              </w:rPr>
              <w:t>AE</w:t>
            </w:r>
          </w:p>
        </w:tc>
        <w:tc>
          <w:tcPr>
            <w:tcW w:w="553" w:type="pct"/>
            <w:tcMar>
              <w:left w:w="28" w:type="dxa"/>
              <w:right w:w="28" w:type="dxa"/>
            </w:tcMar>
          </w:tcPr>
          <w:p w14:paraId="5EB4B1DF" w14:textId="77777777" w:rsidR="002A68CF" w:rsidRPr="00630129" w:rsidRDefault="001C7564">
            <w:pPr>
              <w:rPr>
                <w:sz w:val="20"/>
              </w:rPr>
            </w:pPr>
            <w:r w:rsidRPr="00630129">
              <w:rPr>
                <w:sz w:val="20"/>
              </w:rPr>
              <w:t>H</w:t>
            </w:r>
          </w:p>
        </w:tc>
        <w:tc>
          <w:tcPr>
            <w:tcW w:w="505" w:type="pct"/>
            <w:tcMar>
              <w:left w:w="28" w:type="dxa"/>
              <w:right w:w="28" w:type="dxa"/>
            </w:tcMar>
          </w:tcPr>
          <w:p w14:paraId="5518A94D" w14:textId="77777777" w:rsidR="002A68CF" w:rsidRPr="00630129" w:rsidRDefault="001C7564">
            <w:pPr>
              <w:rPr>
                <w:sz w:val="20"/>
              </w:rPr>
            </w:pPr>
            <w:r w:rsidRPr="00630129">
              <w:rPr>
                <w:sz w:val="20"/>
              </w:rPr>
              <w:t>M</w:t>
            </w:r>
          </w:p>
        </w:tc>
        <w:tc>
          <w:tcPr>
            <w:tcW w:w="608" w:type="pct"/>
            <w:tcMar>
              <w:left w:w="28" w:type="dxa"/>
              <w:right w:w="28" w:type="dxa"/>
            </w:tcMar>
          </w:tcPr>
          <w:p w14:paraId="2E23E164" w14:textId="77777777" w:rsidR="002A68CF" w:rsidRPr="00630129" w:rsidRDefault="001C7564">
            <w:pPr>
              <w:rPr>
                <w:sz w:val="20"/>
              </w:rPr>
            </w:pPr>
            <w:r w:rsidRPr="00630129">
              <w:rPr>
                <w:sz w:val="20"/>
              </w:rPr>
              <w:t>C</w:t>
            </w:r>
          </w:p>
        </w:tc>
        <w:tc>
          <w:tcPr>
            <w:tcW w:w="456" w:type="pct"/>
            <w:tcMar>
              <w:left w:w="28" w:type="dxa"/>
              <w:right w:w="28" w:type="dxa"/>
            </w:tcMar>
          </w:tcPr>
          <w:p w14:paraId="318A7AD1" w14:textId="77777777" w:rsidR="002A68CF" w:rsidRPr="00630129" w:rsidRDefault="001C7564">
            <w:pPr>
              <w:rPr>
                <w:sz w:val="20"/>
              </w:rPr>
            </w:pPr>
            <w:r w:rsidRPr="00630129">
              <w:rPr>
                <w:sz w:val="20"/>
              </w:rPr>
              <w:t>E</w:t>
            </w:r>
          </w:p>
        </w:tc>
        <w:tc>
          <w:tcPr>
            <w:tcW w:w="419" w:type="pct"/>
            <w:tcMar>
              <w:left w:w="28" w:type="dxa"/>
              <w:right w:w="28" w:type="dxa"/>
            </w:tcMar>
          </w:tcPr>
          <w:p w14:paraId="28967453" w14:textId="77777777" w:rsidR="002A68CF" w:rsidRPr="00630129" w:rsidRDefault="002A68CF">
            <w:pPr>
              <w:rPr>
                <w:sz w:val="20"/>
              </w:rPr>
            </w:pPr>
          </w:p>
        </w:tc>
        <w:tc>
          <w:tcPr>
            <w:tcW w:w="608" w:type="pct"/>
            <w:tcMar>
              <w:left w:w="28" w:type="dxa"/>
              <w:right w:w="28" w:type="dxa"/>
            </w:tcMar>
            <w:vAlign w:val="bottom"/>
          </w:tcPr>
          <w:p w14:paraId="2EF96A2C"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316AE18B" w14:textId="77777777" w:rsidR="002A68CF" w:rsidRPr="00630129" w:rsidRDefault="001C7564">
            <w:pPr>
              <w:rPr>
                <w:sz w:val="20"/>
              </w:rPr>
            </w:pPr>
            <w:r w:rsidRPr="00630129">
              <w:rPr>
                <w:sz w:val="20"/>
              </w:rPr>
              <w:t>C</w:t>
            </w:r>
          </w:p>
        </w:tc>
      </w:tr>
      <w:tr w:rsidR="00630129" w:rsidRPr="00630129" w14:paraId="14AFEE62" w14:textId="77777777">
        <w:trPr>
          <w:cantSplit/>
        </w:trPr>
        <w:tc>
          <w:tcPr>
            <w:tcW w:w="609" w:type="pct"/>
            <w:tcMar>
              <w:left w:w="28" w:type="dxa"/>
              <w:right w:w="28" w:type="dxa"/>
            </w:tcMar>
          </w:tcPr>
          <w:p w14:paraId="0720D739" w14:textId="77777777" w:rsidR="002A68CF" w:rsidRPr="00630129" w:rsidRDefault="001C7564">
            <w:pPr>
              <w:rPr>
                <w:sz w:val="20"/>
              </w:rPr>
            </w:pPr>
            <w:r w:rsidRPr="00630129">
              <w:rPr>
                <w:sz w:val="20"/>
              </w:rPr>
              <w:t>15</w:t>
            </w:r>
          </w:p>
        </w:tc>
        <w:tc>
          <w:tcPr>
            <w:tcW w:w="621" w:type="pct"/>
            <w:tcMar>
              <w:left w:w="28" w:type="dxa"/>
              <w:right w:w="28" w:type="dxa"/>
            </w:tcMar>
          </w:tcPr>
          <w:p w14:paraId="11ED6553" w14:textId="77777777" w:rsidR="002A68CF" w:rsidRPr="00630129" w:rsidRDefault="001C7564">
            <w:pPr>
              <w:rPr>
                <w:sz w:val="20"/>
              </w:rPr>
            </w:pPr>
            <w:r w:rsidRPr="00630129">
              <w:rPr>
                <w:sz w:val="20"/>
              </w:rPr>
              <w:t>AE</w:t>
            </w:r>
          </w:p>
        </w:tc>
        <w:tc>
          <w:tcPr>
            <w:tcW w:w="553" w:type="pct"/>
            <w:tcMar>
              <w:left w:w="28" w:type="dxa"/>
              <w:right w:w="28" w:type="dxa"/>
            </w:tcMar>
          </w:tcPr>
          <w:p w14:paraId="5B54DCCB" w14:textId="77777777" w:rsidR="002A68CF" w:rsidRPr="00630129" w:rsidRDefault="001C7564">
            <w:pPr>
              <w:rPr>
                <w:sz w:val="20"/>
              </w:rPr>
            </w:pPr>
            <w:r w:rsidRPr="00630129">
              <w:rPr>
                <w:sz w:val="20"/>
              </w:rPr>
              <w:t>H</w:t>
            </w:r>
          </w:p>
        </w:tc>
        <w:tc>
          <w:tcPr>
            <w:tcW w:w="505" w:type="pct"/>
            <w:tcMar>
              <w:left w:w="28" w:type="dxa"/>
              <w:right w:w="28" w:type="dxa"/>
            </w:tcMar>
          </w:tcPr>
          <w:p w14:paraId="61A74810" w14:textId="77777777" w:rsidR="002A68CF" w:rsidRPr="00630129" w:rsidRDefault="001C7564">
            <w:pPr>
              <w:rPr>
                <w:sz w:val="20"/>
              </w:rPr>
            </w:pPr>
            <w:r w:rsidRPr="00630129">
              <w:rPr>
                <w:sz w:val="20"/>
              </w:rPr>
              <w:t>M</w:t>
            </w:r>
          </w:p>
        </w:tc>
        <w:tc>
          <w:tcPr>
            <w:tcW w:w="608" w:type="pct"/>
            <w:tcMar>
              <w:left w:w="28" w:type="dxa"/>
              <w:right w:w="28" w:type="dxa"/>
            </w:tcMar>
          </w:tcPr>
          <w:p w14:paraId="6984725D" w14:textId="77777777" w:rsidR="002A68CF" w:rsidRPr="00630129" w:rsidRDefault="001C7564">
            <w:pPr>
              <w:rPr>
                <w:sz w:val="20"/>
              </w:rPr>
            </w:pPr>
            <w:r w:rsidRPr="00630129">
              <w:rPr>
                <w:sz w:val="20"/>
              </w:rPr>
              <w:t>M</w:t>
            </w:r>
          </w:p>
        </w:tc>
        <w:tc>
          <w:tcPr>
            <w:tcW w:w="456" w:type="pct"/>
            <w:tcMar>
              <w:left w:w="28" w:type="dxa"/>
              <w:right w:w="28" w:type="dxa"/>
            </w:tcMar>
          </w:tcPr>
          <w:p w14:paraId="192450D9" w14:textId="77777777" w:rsidR="002A68CF" w:rsidRPr="00630129" w:rsidRDefault="001C7564">
            <w:pPr>
              <w:rPr>
                <w:sz w:val="20"/>
              </w:rPr>
            </w:pPr>
            <w:r w:rsidRPr="00630129">
              <w:rPr>
                <w:sz w:val="20"/>
              </w:rPr>
              <w:t>E</w:t>
            </w:r>
          </w:p>
        </w:tc>
        <w:tc>
          <w:tcPr>
            <w:tcW w:w="419" w:type="pct"/>
            <w:tcMar>
              <w:left w:w="28" w:type="dxa"/>
              <w:right w:w="28" w:type="dxa"/>
            </w:tcMar>
          </w:tcPr>
          <w:p w14:paraId="213E605D" w14:textId="77777777" w:rsidR="002A68CF" w:rsidRPr="00630129" w:rsidRDefault="002A68CF">
            <w:pPr>
              <w:rPr>
                <w:sz w:val="20"/>
              </w:rPr>
            </w:pPr>
          </w:p>
        </w:tc>
        <w:tc>
          <w:tcPr>
            <w:tcW w:w="608" w:type="pct"/>
            <w:tcMar>
              <w:left w:w="28" w:type="dxa"/>
              <w:right w:w="28" w:type="dxa"/>
            </w:tcMar>
            <w:vAlign w:val="bottom"/>
          </w:tcPr>
          <w:p w14:paraId="710386DB"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2F596CCE" w14:textId="77777777" w:rsidR="002A68CF" w:rsidRPr="00630129" w:rsidRDefault="001C7564">
            <w:pPr>
              <w:rPr>
                <w:sz w:val="20"/>
              </w:rPr>
            </w:pPr>
            <w:r w:rsidRPr="00630129">
              <w:rPr>
                <w:sz w:val="20"/>
              </w:rPr>
              <w:t>C</w:t>
            </w:r>
          </w:p>
        </w:tc>
      </w:tr>
      <w:tr w:rsidR="00630129" w:rsidRPr="00630129" w14:paraId="72EDA86D" w14:textId="77777777">
        <w:trPr>
          <w:cantSplit/>
        </w:trPr>
        <w:tc>
          <w:tcPr>
            <w:tcW w:w="609" w:type="pct"/>
            <w:tcMar>
              <w:left w:w="28" w:type="dxa"/>
              <w:right w:w="28" w:type="dxa"/>
            </w:tcMar>
          </w:tcPr>
          <w:p w14:paraId="3C58ED62" w14:textId="77777777" w:rsidR="002A68CF" w:rsidRPr="00630129" w:rsidRDefault="001C7564">
            <w:pPr>
              <w:rPr>
                <w:sz w:val="20"/>
              </w:rPr>
            </w:pPr>
            <w:r w:rsidRPr="00630129">
              <w:rPr>
                <w:sz w:val="20"/>
              </w:rPr>
              <w:t>16</w:t>
            </w:r>
          </w:p>
        </w:tc>
        <w:tc>
          <w:tcPr>
            <w:tcW w:w="621" w:type="pct"/>
            <w:tcMar>
              <w:left w:w="28" w:type="dxa"/>
              <w:right w:w="28" w:type="dxa"/>
            </w:tcMar>
          </w:tcPr>
          <w:p w14:paraId="3A97A2E4" w14:textId="77777777" w:rsidR="002A68CF" w:rsidRPr="00630129" w:rsidRDefault="001C7564">
            <w:pPr>
              <w:rPr>
                <w:sz w:val="20"/>
              </w:rPr>
            </w:pPr>
            <w:r w:rsidRPr="00630129">
              <w:rPr>
                <w:sz w:val="20"/>
              </w:rPr>
              <w:t>AE</w:t>
            </w:r>
          </w:p>
        </w:tc>
        <w:tc>
          <w:tcPr>
            <w:tcW w:w="553" w:type="pct"/>
            <w:tcMar>
              <w:left w:w="28" w:type="dxa"/>
              <w:right w:w="28" w:type="dxa"/>
            </w:tcMar>
          </w:tcPr>
          <w:p w14:paraId="6650D9F2" w14:textId="77777777" w:rsidR="002A68CF" w:rsidRPr="00630129" w:rsidRDefault="001C7564">
            <w:pPr>
              <w:rPr>
                <w:sz w:val="20"/>
              </w:rPr>
            </w:pPr>
            <w:r w:rsidRPr="00630129">
              <w:rPr>
                <w:sz w:val="20"/>
              </w:rPr>
              <w:t>H</w:t>
            </w:r>
          </w:p>
        </w:tc>
        <w:tc>
          <w:tcPr>
            <w:tcW w:w="505" w:type="pct"/>
            <w:tcMar>
              <w:left w:w="28" w:type="dxa"/>
              <w:right w:w="28" w:type="dxa"/>
            </w:tcMar>
          </w:tcPr>
          <w:p w14:paraId="46C5FFF1" w14:textId="77777777" w:rsidR="002A68CF" w:rsidRPr="00630129" w:rsidRDefault="001C7564">
            <w:pPr>
              <w:rPr>
                <w:sz w:val="20"/>
              </w:rPr>
            </w:pPr>
            <w:r w:rsidRPr="00630129">
              <w:rPr>
                <w:sz w:val="20"/>
              </w:rPr>
              <w:t>M</w:t>
            </w:r>
          </w:p>
        </w:tc>
        <w:tc>
          <w:tcPr>
            <w:tcW w:w="608" w:type="pct"/>
            <w:tcMar>
              <w:left w:w="28" w:type="dxa"/>
              <w:right w:w="28" w:type="dxa"/>
            </w:tcMar>
          </w:tcPr>
          <w:p w14:paraId="34F89106" w14:textId="77777777" w:rsidR="002A68CF" w:rsidRPr="00630129" w:rsidRDefault="001C7564">
            <w:pPr>
              <w:rPr>
                <w:sz w:val="20"/>
              </w:rPr>
            </w:pPr>
            <w:r w:rsidRPr="00630129">
              <w:rPr>
                <w:sz w:val="20"/>
              </w:rPr>
              <w:t>L</w:t>
            </w:r>
          </w:p>
        </w:tc>
        <w:tc>
          <w:tcPr>
            <w:tcW w:w="456" w:type="pct"/>
            <w:tcMar>
              <w:left w:w="28" w:type="dxa"/>
              <w:right w:w="28" w:type="dxa"/>
            </w:tcMar>
          </w:tcPr>
          <w:p w14:paraId="3EE0702B" w14:textId="77777777" w:rsidR="002A68CF" w:rsidRPr="00630129" w:rsidRDefault="001C7564">
            <w:pPr>
              <w:rPr>
                <w:sz w:val="20"/>
              </w:rPr>
            </w:pPr>
            <w:r w:rsidRPr="00630129">
              <w:rPr>
                <w:sz w:val="20"/>
              </w:rPr>
              <w:t>E</w:t>
            </w:r>
          </w:p>
        </w:tc>
        <w:tc>
          <w:tcPr>
            <w:tcW w:w="419" w:type="pct"/>
            <w:tcMar>
              <w:left w:w="28" w:type="dxa"/>
              <w:right w:w="28" w:type="dxa"/>
            </w:tcMar>
          </w:tcPr>
          <w:p w14:paraId="433BE50F" w14:textId="77777777" w:rsidR="002A68CF" w:rsidRPr="00630129" w:rsidRDefault="002A68CF">
            <w:pPr>
              <w:rPr>
                <w:sz w:val="20"/>
              </w:rPr>
            </w:pPr>
          </w:p>
        </w:tc>
        <w:tc>
          <w:tcPr>
            <w:tcW w:w="608" w:type="pct"/>
            <w:tcMar>
              <w:left w:w="28" w:type="dxa"/>
              <w:right w:w="28" w:type="dxa"/>
            </w:tcMar>
            <w:vAlign w:val="bottom"/>
          </w:tcPr>
          <w:p w14:paraId="6BCF3635"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075F6D38" w14:textId="77777777" w:rsidR="002A68CF" w:rsidRPr="00630129" w:rsidRDefault="001C7564">
            <w:pPr>
              <w:rPr>
                <w:sz w:val="20"/>
              </w:rPr>
            </w:pPr>
            <w:r w:rsidRPr="00630129">
              <w:rPr>
                <w:sz w:val="20"/>
              </w:rPr>
              <w:t>C</w:t>
            </w:r>
          </w:p>
        </w:tc>
      </w:tr>
      <w:tr w:rsidR="00630129" w:rsidRPr="00630129" w14:paraId="2077D5D0" w14:textId="77777777">
        <w:trPr>
          <w:cantSplit/>
        </w:trPr>
        <w:tc>
          <w:tcPr>
            <w:tcW w:w="609" w:type="pct"/>
            <w:tcMar>
              <w:left w:w="28" w:type="dxa"/>
              <w:right w:w="28" w:type="dxa"/>
            </w:tcMar>
          </w:tcPr>
          <w:p w14:paraId="22634873" w14:textId="77777777" w:rsidR="002A68CF" w:rsidRPr="00630129" w:rsidRDefault="001C7564">
            <w:pPr>
              <w:rPr>
                <w:sz w:val="20"/>
              </w:rPr>
            </w:pPr>
            <w:r w:rsidRPr="00630129">
              <w:rPr>
                <w:sz w:val="20"/>
              </w:rPr>
              <w:t>17</w:t>
            </w:r>
          </w:p>
        </w:tc>
        <w:tc>
          <w:tcPr>
            <w:tcW w:w="621" w:type="pct"/>
            <w:tcMar>
              <w:left w:w="28" w:type="dxa"/>
              <w:right w:w="28" w:type="dxa"/>
            </w:tcMar>
          </w:tcPr>
          <w:p w14:paraId="55DF1827" w14:textId="77777777" w:rsidR="002A68CF" w:rsidRPr="00630129" w:rsidRDefault="001C7564">
            <w:pPr>
              <w:rPr>
                <w:sz w:val="20"/>
              </w:rPr>
            </w:pPr>
            <w:r w:rsidRPr="00630129">
              <w:rPr>
                <w:sz w:val="20"/>
              </w:rPr>
              <w:t>AI</w:t>
            </w:r>
          </w:p>
        </w:tc>
        <w:tc>
          <w:tcPr>
            <w:tcW w:w="553" w:type="pct"/>
            <w:tcMar>
              <w:left w:w="28" w:type="dxa"/>
              <w:right w:w="28" w:type="dxa"/>
            </w:tcMar>
          </w:tcPr>
          <w:p w14:paraId="6AAE68BB" w14:textId="77777777" w:rsidR="002A68CF" w:rsidRPr="00630129" w:rsidRDefault="001C7564">
            <w:pPr>
              <w:rPr>
                <w:sz w:val="20"/>
              </w:rPr>
            </w:pPr>
            <w:r w:rsidRPr="00630129">
              <w:rPr>
                <w:sz w:val="20"/>
              </w:rPr>
              <w:t>N</w:t>
            </w:r>
          </w:p>
        </w:tc>
        <w:tc>
          <w:tcPr>
            <w:tcW w:w="505" w:type="pct"/>
            <w:tcMar>
              <w:left w:w="28" w:type="dxa"/>
              <w:right w:w="28" w:type="dxa"/>
            </w:tcMar>
          </w:tcPr>
          <w:p w14:paraId="3FF4C299" w14:textId="77777777" w:rsidR="002A68CF" w:rsidRPr="00630129" w:rsidRDefault="001C7564">
            <w:pPr>
              <w:rPr>
                <w:sz w:val="20"/>
              </w:rPr>
            </w:pPr>
            <w:r w:rsidRPr="00630129">
              <w:rPr>
                <w:sz w:val="20"/>
              </w:rPr>
              <w:t>M</w:t>
            </w:r>
          </w:p>
        </w:tc>
        <w:tc>
          <w:tcPr>
            <w:tcW w:w="608" w:type="pct"/>
            <w:tcMar>
              <w:left w:w="28" w:type="dxa"/>
              <w:right w:w="28" w:type="dxa"/>
            </w:tcMar>
          </w:tcPr>
          <w:p w14:paraId="2BDA3A4E" w14:textId="77777777" w:rsidR="002A68CF" w:rsidRPr="00630129" w:rsidRDefault="001C7564">
            <w:pPr>
              <w:rPr>
                <w:sz w:val="20"/>
              </w:rPr>
            </w:pPr>
            <w:r w:rsidRPr="00630129">
              <w:rPr>
                <w:sz w:val="20"/>
              </w:rPr>
              <w:t>C</w:t>
            </w:r>
          </w:p>
        </w:tc>
        <w:tc>
          <w:tcPr>
            <w:tcW w:w="456" w:type="pct"/>
            <w:tcMar>
              <w:left w:w="28" w:type="dxa"/>
              <w:right w:w="28" w:type="dxa"/>
            </w:tcMar>
          </w:tcPr>
          <w:p w14:paraId="6DFB8A31" w14:textId="77777777" w:rsidR="002A68CF" w:rsidRPr="00630129" w:rsidRDefault="002A68CF">
            <w:pPr>
              <w:rPr>
                <w:sz w:val="20"/>
              </w:rPr>
            </w:pPr>
          </w:p>
        </w:tc>
        <w:tc>
          <w:tcPr>
            <w:tcW w:w="419" w:type="pct"/>
            <w:tcMar>
              <w:left w:w="28" w:type="dxa"/>
              <w:right w:w="28" w:type="dxa"/>
            </w:tcMar>
          </w:tcPr>
          <w:p w14:paraId="65F15B0E" w14:textId="77777777" w:rsidR="002A68CF" w:rsidRPr="00630129" w:rsidRDefault="001C7564">
            <w:pPr>
              <w:rPr>
                <w:sz w:val="20"/>
              </w:rPr>
            </w:pPr>
            <w:r w:rsidRPr="00630129">
              <w:rPr>
                <w:sz w:val="20"/>
              </w:rPr>
              <w:t>E</w:t>
            </w:r>
          </w:p>
        </w:tc>
        <w:tc>
          <w:tcPr>
            <w:tcW w:w="608" w:type="pct"/>
            <w:tcMar>
              <w:left w:w="28" w:type="dxa"/>
              <w:right w:w="28" w:type="dxa"/>
            </w:tcMar>
            <w:vAlign w:val="bottom"/>
          </w:tcPr>
          <w:p w14:paraId="773F1F98"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4BABFF8E" w14:textId="77777777" w:rsidR="002A68CF" w:rsidRPr="00630129" w:rsidRDefault="001C7564">
            <w:pPr>
              <w:rPr>
                <w:sz w:val="20"/>
              </w:rPr>
            </w:pPr>
            <w:r w:rsidRPr="00630129">
              <w:rPr>
                <w:sz w:val="20"/>
              </w:rPr>
              <w:t>A</w:t>
            </w:r>
          </w:p>
        </w:tc>
      </w:tr>
      <w:tr w:rsidR="00630129" w:rsidRPr="00630129" w14:paraId="6F76FC1E" w14:textId="77777777">
        <w:trPr>
          <w:cantSplit/>
        </w:trPr>
        <w:tc>
          <w:tcPr>
            <w:tcW w:w="609" w:type="pct"/>
            <w:tcMar>
              <w:left w:w="28" w:type="dxa"/>
              <w:right w:w="28" w:type="dxa"/>
            </w:tcMar>
          </w:tcPr>
          <w:p w14:paraId="30523D44" w14:textId="77777777" w:rsidR="002A68CF" w:rsidRPr="00630129" w:rsidRDefault="001C7564">
            <w:pPr>
              <w:rPr>
                <w:sz w:val="20"/>
              </w:rPr>
            </w:pPr>
            <w:r w:rsidRPr="00630129">
              <w:rPr>
                <w:sz w:val="20"/>
              </w:rPr>
              <w:t>18</w:t>
            </w:r>
          </w:p>
        </w:tc>
        <w:tc>
          <w:tcPr>
            <w:tcW w:w="621" w:type="pct"/>
            <w:tcMar>
              <w:left w:w="28" w:type="dxa"/>
              <w:right w:w="28" w:type="dxa"/>
            </w:tcMar>
          </w:tcPr>
          <w:p w14:paraId="5E053617" w14:textId="77777777" w:rsidR="002A68CF" w:rsidRPr="00630129" w:rsidRDefault="001C7564">
            <w:pPr>
              <w:rPr>
                <w:sz w:val="20"/>
              </w:rPr>
            </w:pPr>
            <w:r w:rsidRPr="00630129">
              <w:rPr>
                <w:sz w:val="20"/>
              </w:rPr>
              <w:t>AI</w:t>
            </w:r>
          </w:p>
        </w:tc>
        <w:tc>
          <w:tcPr>
            <w:tcW w:w="553" w:type="pct"/>
            <w:tcMar>
              <w:left w:w="28" w:type="dxa"/>
              <w:right w:w="28" w:type="dxa"/>
            </w:tcMar>
          </w:tcPr>
          <w:p w14:paraId="08F8E8C6" w14:textId="77777777" w:rsidR="002A68CF" w:rsidRPr="00630129" w:rsidRDefault="001C7564">
            <w:pPr>
              <w:rPr>
                <w:sz w:val="20"/>
              </w:rPr>
            </w:pPr>
            <w:r w:rsidRPr="00630129">
              <w:rPr>
                <w:sz w:val="20"/>
              </w:rPr>
              <w:t>N</w:t>
            </w:r>
          </w:p>
        </w:tc>
        <w:tc>
          <w:tcPr>
            <w:tcW w:w="505" w:type="pct"/>
            <w:tcMar>
              <w:left w:w="28" w:type="dxa"/>
              <w:right w:w="28" w:type="dxa"/>
            </w:tcMar>
          </w:tcPr>
          <w:p w14:paraId="5006B44B" w14:textId="77777777" w:rsidR="002A68CF" w:rsidRPr="00630129" w:rsidRDefault="001C7564">
            <w:pPr>
              <w:rPr>
                <w:sz w:val="20"/>
              </w:rPr>
            </w:pPr>
            <w:r w:rsidRPr="00630129">
              <w:rPr>
                <w:sz w:val="20"/>
              </w:rPr>
              <w:t>M</w:t>
            </w:r>
          </w:p>
        </w:tc>
        <w:tc>
          <w:tcPr>
            <w:tcW w:w="608" w:type="pct"/>
            <w:tcMar>
              <w:left w:w="28" w:type="dxa"/>
              <w:right w:w="28" w:type="dxa"/>
            </w:tcMar>
          </w:tcPr>
          <w:p w14:paraId="2C3F7C36" w14:textId="77777777" w:rsidR="002A68CF" w:rsidRPr="00630129" w:rsidRDefault="001C7564">
            <w:pPr>
              <w:rPr>
                <w:sz w:val="20"/>
              </w:rPr>
            </w:pPr>
            <w:r w:rsidRPr="00630129">
              <w:rPr>
                <w:sz w:val="20"/>
              </w:rPr>
              <w:t>C</w:t>
            </w:r>
          </w:p>
        </w:tc>
        <w:tc>
          <w:tcPr>
            <w:tcW w:w="456" w:type="pct"/>
            <w:tcMar>
              <w:left w:w="28" w:type="dxa"/>
              <w:right w:w="28" w:type="dxa"/>
            </w:tcMar>
          </w:tcPr>
          <w:p w14:paraId="1A8CEABA" w14:textId="77777777" w:rsidR="002A68CF" w:rsidRPr="00630129" w:rsidRDefault="002A68CF">
            <w:pPr>
              <w:rPr>
                <w:sz w:val="20"/>
              </w:rPr>
            </w:pPr>
          </w:p>
        </w:tc>
        <w:tc>
          <w:tcPr>
            <w:tcW w:w="419" w:type="pct"/>
            <w:tcMar>
              <w:left w:w="28" w:type="dxa"/>
              <w:right w:w="28" w:type="dxa"/>
            </w:tcMar>
          </w:tcPr>
          <w:p w14:paraId="2B15A382" w14:textId="77777777" w:rsidR="002A68CF" w:rsidRPr="00630129" w:rsidRDefault="001C7564">
            <w:pPr>
              <w:rPr>
                <w:sz w:val="20"/>
              </w:rPr>
            </w:pPr>
            <w:r w:rsidRPr="00630129">
              <w:rPr>
                <w:sz w:val="20"/>
              </w:rPr>
              <w:t>A</w:t>
            </w:r>
          </w:p>
        </w:tc>
        <w:tc>
          <w:tcPr>
            <w:tcW w:w="608" w:type="pct"/>
            <w:tcMar>
              <w:left w:w="28" w:type="dxa"/>
              <w:right w:w="28" w:type="dxa"/>
            </w:tcMar>
            <w:vAlign w:val="bottom"/>
          </w:tcPr>
          <w:p w14:paraId="782E8611"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2BDA4432" w14:textId="77777777" w:rsidR="002A68CF" w:rsidRPr="00630129" w:rsidRDefault="001C7564">
            <w:pPr>
              <w:rPr>
                <w:sz w:val="20"/>
              </w:rPr>
            </w:pPr>
            <w:r w:rsidRPr="00630129">
              <w:rPr>
                <w:sz w:val="20"/>
              </w:rPr>
              <w:t>A</w:t>
            </w:r>
          </w:p>
        </w:tc>
      </w:tr>
      <w:tr w:rsidR="00630129" w:rsidRPr="00630129" w14:paraId="183AFAA3" w14:textId="77777777">
        <w:trPr>
          <w:cantSplit/>
        </w:trPr>
        <w:tc>
          <w:tcPr>
            <w:tcW w:w="609" w:type="pct"/>
            <w:tcMar>
              <w:left w:w="28" w:type="dxa"/>
              <w:right w:w="28" w:type="dxa"/>
            </w:tcMar>
          </w:tcPr>
          <w:p w14:paraId="42B2EF74" w14:textId="77777777" w:rsidR="002A68CF" w:rsidRPr="00630129" w:rsidRDefault="001C7564">
            <w:pPr>
              <w:rPr>
                <w:sz w:val="20"/>
              </w:rPr>
            </w:pPr>
            <w:r w:rsidRPr="00630129">
              <w:rPr>
                <w:sz w:val="20"/>
              </w:rPr>
              <w:t>19</w:t>
            </w:r>
          </w:p>
        </w:tc>
        <w:tc>
          <w:tcPr>
            <w:tcW w:w="621" w:type="pct"/>
            <w:tcMar>
              <w:left w:w="28" w:type="dxa"/>
              <w:right w:w="28" w:type="dxa"/>
            </w:tcMar>
          </w:tcPr>
          <w:p w14:paraId="659905FC" w14:textId="77777777" w:rsidR="002A68CF" w:rsidRPr="00630129" w:rsidRDefault="001C7564">
            <w:pPr>
              <w:rPr>
                <w:sz w:val="20"/>
              </w:rPr>
            </w:pPr>
            <w:r w:rsidRPr="00630129">
              <w:rPr>
                <w:sz w:val="20"/>
              </w:rPr>
              <w:t>AI</w:t>
            </w:r>
          </w:p>
        </w:tc>
        <w:tc>
          <w:tcPr>
            <w:tcW w:w="553" w:type="pct"/>
            <w:tcMar>
              <w:left w:w="28" w:type="dxa"/>
              <w:right w:w="28" w:type="dxa"/>
            </w:tcMar>
          </w:tcPr>
          <w:p w14:paraId="3A879460" w14:textId="77777777" w:rsidR="002A68CF" w:rsidRPr="00630129" w:rsidRDefault="001C7564">
            <w:pPr>
              <w:rPr>
                <w:sz w:val="20"/>
              </w:rPr>
            </w:pPr>
            <w:r w:rsidRPr="00630129">
              <w:rPr>
                <w:sz w:val="20"/>
              </w:rPr>
              <w:t>N</w:t>
            </w:r>
          </w:p>
        </w:tc>
        <w:tc>
          <w:tcPr>
            <w:tcW w:w="505" w:type="pct"/>
            <w:tcMar>
              <w:left w:w="28" w:type="dxa"/>
              <w:right w:w="28" w:type="dxa"/>
            </w:tcMar>
          </w:tcPr>
          <w:p w14:paraId="7E53FC11" w14:textId="77777777" w:rsidR="002A68CF" w:rsidRPr="00630129" w:rsidRDefault="001C7564">
            <w:pPr>
              <w:rPr>
                <w:sz w:val="20"/>
              </w:rPr>
            </w:pPr>
            <w:r w:rsidRPr="00630129">
              <w:rPr>
                <w:sz w:val="20"/>
              </w:rPr>
              <w:t>U</w:t>
            </w:r>
          </w:p>
        </w:tc>
        <w:tc>
          <w:tcPr>
            <w:tcW w:w="608" w:type="pct"/>
            <w:tcMar>
              <w:left w:w="28" w:type="dxa"/>
              <w:right w:w="28" w:type="dxa"/>
            </w:tcMar>
          </w:tcPr>
          <w:p w14:paraId="76FA062B" w14:textId="77777777" w:rsidR="002A68CF" w:rsidRPr="00630129" w:rsidRDefault="001C7564">
            <w:pPr>
              <w:rPr>
                <w:sz w:val="20"/>
              </w:rPr>
            </w:pPr>
            <w:r w:rsidRPr="00630129">
              <w:rPr>
                <w:sz w:val="20"/>
              </w:rPr>
              <w:t>C</w:t>
            </w:r>
          </w:p>
        </w:tc>
        <w:tc>
          <w:tcPr>
            <w:tcW w:w="456" w:type="pct"/>
            <w:tcMar>
              <w:left w:w="28" w:type="dxa"/>
              <w:right w:w="28" w:type="dxa"/>
            </w:tcMar>
          </w:tcPr>
          <w:p w14:paraId="70CB9255" w14:textId="77777777" w:rsidR="002A68CF" w:rsidRPr="00630129" w:rsidRDefault="002A68CF">
            <w:pPr>
              <w:rPr>
                <w:sz w:val="20"/>
              </w:rPr>
            </w:pPr>
          </w:p>
        </w:tc>
        <w:tc>
          <w:tcPr>
            <w:tcW w:w="419" w:type="pct"/>
            <w:tcMar>
              <w:left w:w="28" w:type="dxa"/>
              <w:right w:w="28" w:type="dxa"/>
            </w:tcMar>
          </w:tcPr>
          <w:p w14:paraId="4CB9CAAD" w14:textId="77777777" w:rsidR="002A68CF" w:rsidRPr="00630129" w:rsidRDefault="001C7564">
            <w:pPr>
              <w:rPr>
                <w:sz w:val="20"/>
              </w:rPr>
            </w:pPr>
            <w:r w:rsidRPr="00630129">
              <w:rPr>
                <w:sz w:val="20"/>
              </w:rPr>
              <w:t>E</w:t>
            </w:r>
          </w:p>
        </w:tc>
        <w:tc>
          <w:tcPr>
            <w:tcW w:w="608" w:type="pct"/>
            <w:tcMar>
              <w:left w:w="28" w:type="dxa"/>
              <w:right w:w="28" w:type="dxa"/>
            </w:tcMar>
            <w:vAlign w:val="bottom"/>
          </w:tcPr>
          <w:p w14:paraId="0EA13C2C"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5A8E17FC" w14:textId="77777777" w:rsidR="002A68CF" w:rsidRPr="00630129" w:rsidRDefault="001C7564">
            <w:pPr>
              <w:rPr>
                <w:sz w:val="20"/>
              </w:rPr>
            </w:pPr>
            <w:r w:rsidRPr="00630129">
              <w:rPr>
                <w:sz w:val="20"/>
              </w:rPr>
              <w:t>B</w:t>
            </w:r>
          </w:p>
        </w:tc>
      </w:tr>
      <w:tr w:rsidR="00630129" w:rsidRPr="00630129" w14:paraId="1E6592A1" w14:textId="77777777">
        <w:trPr>
          <w:cantSplit/>
        </w:trPr>
        <w:tc>
          <w:tcPr>
            <w:tcW w:w="609" w:type="pct"/>
            <w:tcMar>
              <w:left w:w="28" w:type="dxa"/>
              <w:right w:w="28" w:type="dxa"/>
            </w:tcMar>
          </w:tcPr>
          <w:p w14:paraId="29ADFBC2" w14:textId="77777777" w:rsidR="002A68CF" w:rsidRPr="00630129" w:rsidRDefault="001C7564">
            <w:pPr>
              <w:rPr>
                <w:sz w:val="20"/>
              </w:rPr>
            </w:pPr>
            <w:r w:rsidRPr="00630129">
              <w:rPr>
                <w:sz w:val="20"/>
              </w:rPr>
              <w:t>20</w:t>
            </w:r>
          </w:p>
        </w:tc>
        <w:tc>
          <w:tcPr>
            <w:tcW w:w="621" w:type="pct"/>
            <w:tcMar>
              <w:left w:w="28" w:type="dxa"/>
              <w:right w:w="28" w:type="dxa"/>
            </w:tcMar>
          </w:tcPr>
          <w:p w14:paraId="12A01254" w14:textId="77777777" w:rsidR="002A68CF" w:rsidRPr="00630129" w:rsidRDefault="001C7564">
            <w:pPr>
              <w:rPr>
                <w:sz w:val="20"/>
              </w:rPr>
            </w:pPr>
            <w:r w:rsidRPr="00630129">
              <w:rPr>
                <w:sz w:val="20"/>
              </w:rPr>
              <w:t>AI</w:t>
            </w:r>
          </w:p>
        </w:tc>
        <w:tc>
          <w:tcPr>
            <w:tcW w:w="553" w:type="pct"/>
            <w:tcMar>
              <w:left w:w="28" w:type="dxa"/>
              <w:right w:w="28" w:type="dxa"/>
            </w:tcMar>
          </w:tcPr>
          <w:p w14:paraId="21EBD39E" w14:textId="77777777" w:rsidR="002A68CF" w:rsidRPr="00630129" w:rsidRDefault="001C7564">
            <w:pPr>
              <w:rPr>
                <w:sz w:val="20"/>
              </w:rPr>
            </w:pPr>
            <w:r w:rsidRPr="00630129">
              <w:rPr>
                <w:sz w:val="20"/>
              </w:rPr>
              <w:t>N</w:t>
            </w:r>
          </w:p>
        </w:tc>
        <w:tc>
          <w:tcPr>
            <w:tcW w:w="505" w:type="pct"/>
            <w:tcMar>
              <w:left w:w="28" w:type="dxa"/>
              <w:right w:w="28" w:type="dxa"/>
            </w:tcMar>
          </w:tcPr>
          <w:p w14:paraId="6F222997" w14:textId="77777777" w:rsidR="002A68CF" w:rsidRPr="00630129" w:rsidRDefault="001C7564">
            <w:pPr>
              <w:rPr>
                <w:sz w:val="20"/>
              </w:rPr>
            </w:pPr>
            <w:r w:rsidRPr="00630129">
              <w:rPr>
                <w:sz w:val="20"/>
              </w:rPr>
              <w:t>M</w:t>
            </w:r>
          </w:p>
        </w:tc>
        <w:tc>
          <w:tcPr>
            <w:tcW w:w="608" w:type="pct"/>
            <w:tcMar>
              <w:left w:w="28" w:type="dxa"/>
              <w:right w:w="28" w:type="dxa"/>
            </w:tcMar>
          </w:tcPr>
          <w:p w14:paraId="0CA273DB" w14:textId="77777777" w:rsidR="002A68CF" w:rsidRPr="00630129" w:rsidRDefault="001C7564">
            <w:pPr>
              <w:rPr>
                <w:sz w:val="20"/>
              </w:rPr>
            </w:pPr>
            <w:r w:rsidRPr="00630129">
              <w:rPr>
                <w:sz w:val="20"/>
              </w:rPr>
              <w:t>L</w:t>
            </w:r>
          </w:p>
        </w:tc>
        <w:tc>
          <w:tcPr>
            <w:tcW w:w="456" w:type="pct"/>
            <w:tcMar>
              <w:left w:w="28" w:type="dxa"/>
              <w:right w:w="28" w:type="dxa"/>
            </w:tcMar>
          </w:tcPr>
          <w:p w14:paraId="4F433E8C" w14:textId="77777777" w:rsidR="002A68CF" w:rsidRPr="00630129" w:rsidRDefault="002A68CF">
            <w:pPr>
              <w:rPr>
                <w:sz w:val="20"/>
              </w:rPr>
            </w:pPr>
          </w:p>
        </w:tc>
        <w:tc>
          <w:tcPr>
            <w:tcW w:w="419" w:type="pct"/>
            <w:tcMar>
              <w:left w:w="28" w:type="dxa"/>
              <w:right w:w="28" w:type="dxa"/>
            </w:tcMar>
          </w:tcPr>
          <w:p w14:paraId="61C35E38" w14:textId="77777777" w:rsidR="002A68CF" w:rsidRPr="00630129" w:rsidRDefault="001C7564">
            <w:pPr>
              <w:rPr>
                <w:sz w:val="20"/>
              </w:rPr>
            </w:pPr>
            <w:r w:rsidRPr="00630129">
              <w:rPr>
                <w:sz w:val="20"/>
              </w:rPr>
              <w:t>E</w:t>
            </w:r>
          </w:p>
        </w:tc>
        <w:tc>
          <w:tcPr>
            <w:tcW w:w="608" w:type="pct"/>
            <w:tcMar>
              <w:left w:w="28" w:type="dxa"/>
              <w:right w:w="28" w:type="dxa"/>
            </w:tcMar>
            <w:vAlign w:val="bottom"/>
          </w:tcPr>
          <w:p w14:paraId="1F0270A0"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3BA75B47" w14:textId="77777777" w:rsidR="002A68CF" w:rsidRPr="00630129" w:rsidRDefault="001C7564">
            <w:pPr>
              <w:rPr>
                <w:sz w:val="20"/>
              </w:rPr>
            </w:pPr>
            <w:r w:rsidRPr="00630129">
              <w:rPr>
                <w:sz w:val="20"/>
              </w:rPr>
              <w:t>A</w:t>
            </w:r>
          </w:p>
        </w:tc>
      </w:tr>
      <w:tr w:rsidR="00630129" w:rsidRPr="00630129" w14:paraId="57918EB6" w14:textId="77777777">
        <w:trPr>
          <w:cantSplit/>
        </w:trPr>
        <w:tc>
          <w:tcPr>
            <w:tcW w:w="609" w:type="pct"/>
            <w:tcMar>
              <w:left w:w="28" w:type="dxa"/>
              <w:right w:w="28" w:type="dxa"/>
            </w:tcMar>
          </w:tcPr>
          <w:p w14:paraId="39B6EA2E" w14:textId="77777777" w:rsidR="002A68CF" w:rsidRPr="00630129" w:rsidRDefault="001C7564">
            <w:pPr>
              <w:rPr>
                <w:sz w:val="20"/>
              </w:rPr>
            </w:pPr>
            <w:r w:rsidRPr="00630129">
              <w:rPr>
                <w:sz w:val="20"/>
              </w:rPr>
              <w:t>21</w:t>
            </w:r>
          </w:p>
        </w:tc>
        <w:tc>
          <w:tcPr>
            <w:tcW w:w="621" w:type="pct"/>
            <w:tcMar>
              <w:left w:w="28" w:type="dxa"/>
              <w:right w:w="28" w:type="dxa"/>
            </w:tcMar>
          </w:tcPr>
          <w:p w14:paraId="3942A953" w14:textId="77777777" w:rsidR="002A68CF" w:rsidRPr="00630129" w:rsidRDefault="001C7564">
            <w:pPr>
              <w:rPr>
                <w:sz w:val="20"/>
              </w:rPr>
            </w:pPr>
            <w:r w:rsidRPr="00630129">
              <w:rPr>
                <w:sz w:val="20"/>
              </w:rPr>
              <w:t>AI</w:t>
            </w:r>
          </w:p>
        </w:tc>
        <w:tc>
          <w:tcPr>
            <w:tcW w:w="553" w:type="pct"/>
            <w:tcMar>
              <w:left w:w="28" w:type="dxa"/>
              <w:right w:w="28" w:type="dxa"/>
            </w:tcMar>
          </w:tcPr>
          <w:p w14:paraId="4D669AFC" w14:textId="77777777" w:rsidR="002A68CF" w:rsidRPr="00630129" w:rsidRDefault="001C7564">
            <w:pPr>
              <w:rPr>
                <w:sz w:val="20"/>
              </w:rPr>
            </w:pPr>
            <w:r w:rsidRPr="00630129">
              <w:rPr>
                <w:sz w:val="20"/>
              </w:rPr>
              <w:t>N</w:t>
            </w:r>
          </w:p>
        </w:tc>
        <w:tc>
          <w:tcPr>
            <w:tcW w:w="505" w:type="pct"/>
            <w:tcMar>
              <w:left w:w="28" w:type="dxa"/>
              <w:right w:w="28" w:type="dxa"/>
            </w:tcMar>
          </w:tcPr>
          <w:p w14:paraId="74549A79" w14:textId="77777777" w:rsidR="002A68CF" w:rsidRPr="00630129" w:rsidRDefault="001C7564">
            <w:pPr>
              <w:rPr>
                <w:sz w:val="20"/>
              </w:rPr>
            </w:pPr>
            <w:r w:rsidRPr="00630129">
              <w:rPr>
                <w:sz w:val="20"/>
              </w:rPr>
              <w:t>M</w:t>
            </w:r>
          </w:p>
        </w:tc>
        <w:tc>
          <w:tcPr>
            <w:tcW w:w="608" w:type="pct"/>
            <w:tcMar>
              <w:left w:w="28" w:type="dxa"/>
              <w:right w:w="28" w:type="dxa"/>
            </w:tcMar>
          </w:tcPr>
          <w:p w14:paraId="6CB7077E" w14:textId="77777777" w:rsidR="002A68CF" w:rsidRPr="00630129" w:rsidRDefault="001C7564">
            <w:pPr>
              <w:rPr>
                <w:sz w:val="20"/>
              </w:rPr>
            </w:pPr>
            <w:r w:rsidRPr="00630129">
              <w:rPr>
                <w:sz w:val="20"/>
              </w:rPr>
              <w:t>L</w:t>
            </w:r>
          </w:p>
        </w:tc>
        <w:tc>
          <w:tcPr>
            <w:tcW w:w="456" w:type="pct"/>
            <w:tcMar>
              <w:left w:w="28" w:type="dxa"/>
              <w:right w:w="28" w:type="dxa"/>
            </w:tcMar>
          </w:tcPr>
          <w:p w14:paraId="44A77093" w14:textId="77777777" w:rsidR="002A68CF" w:rsidRPr="00630129" w:rsidRDefault="002A68CF">
            <w:pPr>
              <w:rPr>
                <w:sz w:val="20"/>
              </w:rPr>
            </w:pPr>
          </w:p>
        </w:tc>
        <w:tc>
          <w:tcPr>
            <w:tcW w:w="419" w:type="pct"/>
            <w:tcMar>
              <w:left w:w="28" w:type="dxa"/>
              <w:right w:w="28" w:type="dxa"/>
            </w:tcMar>
          </w:tcPr>
          <w:p w14:paraId="66967E5B" w14:textId="77777777" w:rsidR="002A68CF" w:rsidRPr="00630129" w:rsidRDefault="001C7564">
            <w:pPr>
              <w:rPr>
                <w:sz w:val="20"/>
              </w:rPr>
            </w:pPr>
            <w:r w:rsidRPr="00630129">
              <w:rPr>
                <w:sz w:val="20"/>
              </w:rPr>
              <w:t>A</w:t>
            </w:r>
          </w:p>
        </w:tc>
        <w:tc>
          <w:tcPr>
            <w:tcW w:w="608" w:type="pct"/>
            <w:tcMar>
              <w:left w:w="28" w:type="dxa"/>
              <w:right w:w="28" w:type="dxa"/>
            </w:tcMar>
            <w:vAlign w:val="bottom"/>
          </w:tcPr>
          <w:p w14:paraId="367A69C9"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1139201C" w14:textId="77777777" w:rsidR="002A68CF" w:rsidRPr="00630129" w:rsidRDefault="001C7564">
            <w:pPr>
              <w:rPr>
                <w:sz w:val="20"/>
              </w:rPr>
            </w:pPr>
            <w:r w:rsidRPr="00630129">
              <w:rPr>
                <w:sz w:val="20"/>
              </w:rPr>
              <w:t>A</w:t>
            </w:r>
          </w:p>
        </w:tc>
      </w:tr>
      <w:tr w:rsidR="00630129" w:rsidRPr="00630129" w14:paraId="3375BC1A" w14:textId="77777777">
        <w:trPr>
          <w:cantSplit/>
        </w:trPr>
        <w:tc>
          <w:tcPr>
            <w:tcW w:w="609" w:type="pct"/>
            <w:tcMar>
              <w:left w:w="28" w:type="dxa"/>
              <w:right w:w="28" w:type="dxa"/>
            </w:tcMar>
          </w:tcPr>
          <w:p w14:paraId="061CD355" w14:textId="77777777" w:rsidR="002A68CF" w:rsidRPr="00630129" w:rsidRDefault="001C7564">
            <w:pPr>
              <w:rPr>
                <w:sz w:val="20"/>
              </w:rPr>
            </w:pPr>
            <w:r w:rsidRPr="00630129">
              <w:rPr>
                <w:sz w:val="20"/>
              </w:rPr>
              <w:t>22</w:t>
            </w:r>
          </w:p>
        </w:tc>
        <w:tc>
          <w:tcPr>
            <w:tcW w:w="621" w:type="pct"/>
            <w:tcMar>
              <w:left w:w="28" w:type="dxa"/>
              <w:right w:w="28" w:type="dxa"/>
            </w:tcMar>
          </w:tcPr>
          <w:p w14:paraId="1AE416FC" w14:textId="77777777" w:rsidR="002A68CF" w:rsidRPr="00630129" w:rsidRDefault="001C7564">
            <w:pPr>
              <w:rPr>
                <w:sz w:val="20"/>
              </w:rPr>
            </w:pPr>
            <w:r w:rsidRPr="00630129">
              <w:rPr>
                <w:sz w:val="20"/>
              </w:rPr>
              <w:t>AI</w:t>
            </w:r>
          </w:p>
        </w:tc>
        <w:tc>
          <w:tcPr>
            <w:tcW w:w="553" w:type="pct"/>
            <w:tcMar>
              <w:left w:w="28" w:type="dxa"/>
              <w:right w:w="28" w:type="dxa"/>
            </w:tcMar>
          </w:tcPr>
          <w:p w14:paraId="3B527061" w14:textId="77777777" w:rsidR="002A68CF" w:rsidRPr="00630129" w:rsidRDefault="001C7564">
            <w:pPr>
              <w:rPr>
                <w:sz w:val="20"/>
              </w:rPr>
            </w:pPr>
            <w:r w:rsidRPr="00630129">
              <w:rPr>
                <w:sz w:val="20"/>
              </w:rPr>
              <w:t>N</w:t>
            </w:r>
          </w:p>
        </w:tc>
        <w:tc>
          <w:tcPr>
            <w:tcW w:w="505" w:type="pct"/>
            <w:tcMar>
              <w:left w:w="28" w:type="dxa"/>
              <w:right w:w="28" w:type="dxa"/>
            </w:tcMar>
          </w:tcPr>
          <w:p w14:paraId="64AE00DE" w14:textId="77777777" w:rsidR="002A68CF" w:rsidRPr="00630129" w:rsidRDefault="001C7564">
            <w:pPr>
              <w:rPr>
                <w:sz w:val="20"/>
              </w:rPr>
            </w:pPr>
            <w:r w:rsidRPr="00630129">
              <w:rPr>
                <w:sz w:val="20"/>
              </w:rPr>
              <w:t>U</w:t>
            </w:r>
          </w:p>
        </w:tc>
        <w:tc>
          <w:tcPr>
            <w:tcW w:w="608" w:type="pct"/>
            <w:tcMar>
              <w:left w:w="28" w:type="dxa"/>
              <w:right w:w="28" w:type="dxa"/>
            </w:tcMar>
          </w:tcPr>
          <w:p w14:paraId="0264375E" w14:textId="77777777" w:rsidR="002A68CF" w:rsidRPr="00630129" w:rsidRDefault="001C7564">
            <w:pPr>
              <w:rPr>
                <w:sz w:val="20"/>
              </w:rPr>
            </w:pPr>
            <w:r w:rsidRPr="00630129">
              <w:rPr>
                <w:sz w:val="20"/>
              </w:rPr>
              <w:t>L</w:t>
            </w:r>
          </w:p>
        </w:tc>
        <w:tc>
          <w:tcPr>
            <w:tcW w:w="456" w:type="pct"/>
            <w:tcMar>
              <w:left w:w="28" w:type="dxa"/>
              <w:right w:w="28" w:type="dxa"/>
            </w:tcMar>
          </w:tcPr>
          <w:p w14:paraId="59ACC825" w14:textId="77777777" w:rsidR="002A68CF" w:rsidRPr="00630129" w:rsidRDefault="002A68CF">
            <w:pPr>
              <w:rPr>
                <w:sz w:val="20"/>
              </w:rPr>
            </w:pPr>
          </w:p>
        </w:tc>
        <w:tc>
          <w:tcPr>
            <w:tcW w:w="419" w:type="pct"/>
            <w:tcMar>
              <w:left w:w="28" w:type="dxa"/>
              <w:right w:w="28" w:type="dxa"/>
            </w:tcMar>
          </w:tcPr>
          <w:p w14:paraId="548719B8" w14:textId="77777777" w:rsidR="002A68CF" w:rsidRPr="00630129" w:rsidRDefault="001C7564">
            <w:pPr>
              <w:rPr>
                <w:sz w:val="20"/>
              </w:rPr>
            </w:pPr>
            <w:r w:rsidRPr="00630129">
              <w:rPr>
                <w:sz w:val="20"/>
              </w:rPr>
              <w:t>E</w:t>
            </w:r>
          </w:p>
        </w:tc>
        <w:tc>
          <w:tcPr>
            <w:tcW w:w="608" w:type="pct"/>
            <w:tcMar>
              <w:left w:w="28" w:type="dxa"/>
              <w:right w:w="28" w:type="dxa"/>
            </w:tcMar>
            <w:vAlign w:val="bottom"/>
          </w:tcPr>
          <w:p w14:paraId="5DF2965D" w14:textId="77777777" w:rsidR="002A68CF" w:rsidRPr="00630129" w:rsidRDefault="001C7564">
            <w:pPr>
              <w:rPr>
                <w:sz w:val="20"/>
              </w:rPr>
            </w:pPr>
            <w:r w:rsidRPr="00630129">
              <w:rPr>
                <w:sz w:val="20"/>
              </w:rPr>
              <w:t>-</w:t>
            </w:r>
          </w:p>
        </w:tc>
        <w:tc>
          <w:tcPr>
            <w:tcW w:w="621" w:type="pct"/>
            <w:tcMar>
              <w:left w:w="28" w:type="dxa"/>
              <w:right w:w="28" w:type="dxa"/>
            </w:tcMar>
            <w:vAlign w:val="bottom"/>
          </w:tcPr>
          <w:p w14:paraId="3E7F448D" w14:textId="77777777" w:rsidR="002A68CF" w:rsidRPr="00630129" w:rsidRDefault="001C7564">
            <w:pPr>
              <w:rPr>
                <w:sz w:val="20"/>
              </w:rPr>
            </w:pPr>
            <w:r w:rsidRPr="00630129">
              <w:rPr>
                <w:sz w:val="20"/>
              </w:rPr>
              <w:t>B</w:t>
            </w:r>
          </w:p>
        </w:tc>
      </w:tr>
      <w:tr w:rsidR="00630129" w:rsidRPr="00630129" w14:paraId="6FBB9A9E" w14:textId="77777777">
        <w:trPr>
          <w:cantSplit/>
        </w:trPr>
        <w:tc>
          <w:tcPr>
            <w:tcW w:w="609" w:type="pct"/>
            <w:tcMar>
              <w:left w:w="28" w:type="dxa"/>
              <w:right w:w="28" w:type="dxa"/>
            </w:tcMar>
          </w:tcPr>
          <w:p w14:paraId="46BDF3FB" w14:textId="77777777" w:rsidR="002A68CF" w:rsidRPr="00630129" w:rsidRDefault="001C7564">
            <w:pPr>
              <w:rPr>
                <w:sz w:val="20"/>
              </w:rPr>
            </w:pPr>
            <w:r w:rsidRPr="00630129">
              <w:rPr>
                <w:sz w:val="20"/>
              </w:rPr>
              <w:t>23</w:t>
            </w:r>
          </w:p>
        </w:tc>
        <w:tc>
          <w:tcPr>
            <w:tcW w:w="621" w:type="pct"/>
            <w:tcMar>
              <w:left w:w="28" w:type="dxa"/>
              <w:right w:w="28" w:type="dxa"/>
            </w:tcMar>
          </w:tcPr>
          <w:p w14:paraId="0045C96A" w14:textId="77777777" w:rsidR="002A68CF" w:rsidRPr="00630129" w:rsidRDefault="001C7564">
            <w:pPr>
              <w:rPr>
                <w:sz w:val="20"/>
              </w:rPr>
            </w:pPr>
            <w:r w:rsidRPr="00630129">
              <w:rPr>
                <w:sz w:val="20"/>
              </w:rPr>
              <w:t>AI</w:t>
            </w:r>
          </w:p>
        </w:tc>
        <w:tc>
          <w:tcPr>
            <w:tcW w:w="553" w:type="pct"/>
            <w:tcMar>
              <w:left w:w="28" w:type="dxa"/>
              <w:right w:w="28" w:type="dxa"/>
            </w:tcMar>
          </w:tcPr>
          <w:p w14:paraId="104CAA32" w14:textId="77777777" w:rsidR="002A68CF" w:rsidRPr="00630129" w:rsidRDefault="001C7564">
            <w:pPr>
              <w:rPr>
                <w:sz w:val="20"/>
              </w:rPr>
            </w:pPr>
            <w:r w:rsidRPr="00630129">
              <w:rPr>
                <w:sz w:val="20"/>
              </w:rPr>
              <w:t>H</w:t>
            </w:r>
          </w:p>
        </w:tc>
        <w:tc>
          <w:tcPr>
            <w:tcW w:w="505" w:type="pct"/>
            <w:tcMar>
              <w:left w:w="28" w:type="dxa"/>
              <w:right w:w="28" w:type="dxa"/>
            </w:tcMar>
          </w:tcPr>
          <w:p w14:paraId="682A0CF7" w14:textId="77777777" w:rsidR="002A68CF" w:rsidRPr="00630129" w:rsidRDefault="001C7564">
            <w:pPr>
              <w:rPr>
                <w:sz w:val="20"/>
              </w:rPr>
            </w:pPr>
            <w:r w:rsidRPr="00630129">
              <w:rPr>
                <w:sz w:val="20"/>
              </w:rPr>
              <w:t>M</w:t>
            </w:r>
          </w:p>
        </w:tc>
        <w:tc>
          <w:tcPr>
            <w:tcW w:w="608" w:type="pct"/>
            <w:tcMar>
              <w:left w:w="28" w:type="dxa"/>
              <w:right w:w="28" w:type="dxa"/>
            </w:tcMar>
          </w:tcPr>
          <w:p w14:paraId="30404EE8" w14:textId="77777777" w:rsidR="002A68CF" w:rsidRPr="00630129" w:rsidRDefault="001C7564">
            <w:pPr>
              <w:rPr>
                <w:sz w:val="20"/>
              </w:rPr>
            </w:pPr>
            <w:r w:rsidRPr="00630129">
              <w:rPr>
                <w:sz w:val="20"/>
              </w:rPr>
              <w:t>C</w:t>
            </w:r>
          </w:p>
        </w:tc>
        <w:tc>
          <w:tcPr>
            <w:tcW w:w="456" w:type="pct"/>
            <w:tcMar>
              <w:left w:w="28" w:type="dxa"/>
              <w:right w:w="28" w:type="dxa"/>
            </w:tcMar>
          </w:tcPr>
          <w:p w14:paraId="2E1FEAE8" w14:textId="77777777" w:rsidR="002A68CF" w:rsidRPr="00630129" w:rsidRDefault="001C7564">
            <w:pPr>
              <w:rPr>
                <w:sz w:val="20"/>
              </w:rPr>
            </w:pPr>
            <w:r w:rsidRPr="00630129">
              <w:rPr>
                <w:sz w:val="20"/>
              </w:rPr>
              <w:t>A</w:t>
            </w:r>
          </w:p>
        </w:tc>
        <w:tc>
          <w:tcPr>
            <w:tcW w:w="419" w:type="pct"/>
            <w:tcMar>
              <w:left w:w="28" w:type="dxa"/>
              <w:right w:w="28" w:type="dxa"/>
            </w:tcMar>
          </w:tcPr>
          <w:p w14:paraId="19838AD8" w14:textId="77777777" w:rsidR="002A68CF" w:rsidRPr="00630129" w:rsidRDefault="002A68CF">
            <w:pPr>
              <w:rPr>
                <w:sz w:val="20"/>
              </w:rPr>
            </w:pPr>
          </w:p>
        </w:tc>
        <w:tc>
          <w:tcPr>
            <w:tcW w:w="608" w:type="pct"/>
            <w:tcMar>
              <w:left w:w="28" w:type="dxa"/>
              <w:right w:w="28" w:type="dxa"/>
            </w:tcMar>
            <w:vAlign w:val="bottom"/>
          </w:tcPr>
          <w:p w14:paraId="66723BA9" w14:textId="77777777" w:rsidR="002A68CF" w:rsidRPr="00630129" w:rsidRDefault="001C7564">
            <w:pPr>
              <w:rPr>
                <w:sz w:val="20"/>
              </w:rPr>
            </w:pPr>
            <w:r w:rsidRPr="00630129">
              <w:rPr>
                <w:sz w:val="20"/>
              </w:rPr>
              <w:t>A</w:t>
            </w:r>
          </w:p>
        </w:tc>
        <w:tc>
          <w:tcPr>
            <w:tcW w:w="621" w:type="pct"/>
            <w:tcMar>
              <w:left w:w="28" w:type="dxa"/>
              <w:right w:w="28" w:type="dxa"/>
            </w:tcMar>
            <w:vAlign w:val="bottom"/>
          </w:tcPr>
          <w:p w14:paraId="4767AF44" w14:textId="77777777" w:rsidR="002A68CF" w:rsidRPr="00630129" w:rsidRDefault="001C7564">
            <w:pPr>
              <w:rPr>
                <w:sz w:val="20"/>
              </w:rPr>
            </w:pPr>
            <w:r w:rsidRPr="00630129">
              <w:rPr>
                <w:sz w:val="20"/>
              </w:rPr>
              <w:t>E</w:t>
            </w:r>
          </w:p>
        </w:tc>
      </w:tr>
      <w:tr w:rsidR="00630129" w:rsidRPr="00630129" w14:paraId="169A7351" w14:textId="77777777">
        <w:trPr>
          <w:cantSplit/>
        </w:trPr>
        <w:tc>
          <w:tcPr>
            <w:tcW w:w="609" w:type="pct"/>
            <w:tcMar>
              <w:left w:w="28" w:type="dxa"/>
              <w:right w:w="28" w:type="dxa"/>
            </w:tcMar>
          </w:tcPr>
          <w:p w14:paraId="0B279437" w14:textId="77777777" w:rsidR="002A68CF" w:rsidRPr="00630129" w:rsidRDefault="001C7564">
            <w:pPr>
              <w:rPr>
                <w:sz w:val="20"/>
              </w:rPr>
            </w:pPr>
            <w:r w:rsidRPr="00630129">
              <w:rPr>
                <w:sz w:val="20"/>
              </w:rPr>
              <w:t>25</w:t>
            </w:r>
          </w:p>
        </w:tc>
        <w:tc>
          <w:tcPr>
            <w:tcW w:w="621" w:type="pct"/>
            <w:tcMar>
              <w:left w:w="28" w:type="dxa"/>
              <w:right w:w="28" w:type="dxa"/>
            </w:tcMar>
          </w:tcPr>
          <w:p w14:paraId="086DBC5A" w14:textId="77777777" w:rsidR="002A68CF" w:rsidRPr="00630129" w:rsidRDefault="001C7564">
            <w:pPr>
              <w:rPr>
                <w:sz w:val="20"/>
              </w:rPr>
            </w:pPr>
            <w:r w:rsidRPr="00630129">
              <w:rPr>
                <w:sz w:val="20"/>
              </w:rPr>
              <w:t>AI</w:t>
            </w:r>
          </w:p>
        </w:tc>
        <w:tc>
          <w:tcPr>
            <w:tcW w:w="553" w:type="pct"/>
            <w:tcMar>
              <w:left w:w="28" w:type="dxa"/>
              <w:right w:w="28" w:type="dxa"/>
            </w:tcMar>
          </w:tcPr>
          <w:p w14:paraId="74DF8F46" w14:textId="77777777" w:rsidR="002A68CF" w:rsidRPr="00630129" w:rsidRDefault="001C7564">
            <w:pPr>
              <w:rPr>
                <w:sz w:val="20"/>
              </w:rPr>
            </w:pPr>
            <w:r w:rsidRPr="00630129">
              <w:rPr>
                <w:sz w:val="20"/>
              </w:rPr>
              <w:t>H</w:t>
            </w:r>
          </w:p>
        </w:tc>
        <w:tc>
          <w:tcPr>
            <w:tcW w:w="505" w:type="pct"/>
            <w:tcMar>
              <w:left w:w="28" w:type="dxa"/>
              <w:right w:w="28" w:type="dxa"/>
            </w:tcMar>
          </w:tcPr>
          <w:p w14:paraId="3F8874AE" w14:textId="77777777" w:rsidR="002A68CF" w:rsidRPr="00630129" w:rsidRDefault="001C7564">
            <w:pPr>
              <w:rPr>
                <w:sz w:val="20"/>
              </w:rPr>
            </w:pPr>
            <w:r w:rsidRPr="00630129">
              <w:rPr>
                <w:sz w:val="20"/>
              </w:rPr>
              <w:t>M</w:t>
            </w:r>
          </w:p>
        </w:tc>
        <w:tc>
          <w:tcPr>
            <w:tcW w:w="608" w:type="pct"/>
            <w:tcMar>
              <w:left w:w="28" w:type="dxa"/>
              <w:right w:w="28" w:type="dxa"/>
            </w:tcMar>
          </w:tcPr>
          <w:p w14:paraId="70F1019D" w14:textId="77777777" w:rsidR="002A68CF" w:rsidRPr="00630129" w:rsidRDefault="001C7564">
            <w:pPr>
              <w:rPr>
                <w:sz w:val="20"/>
              </w:rPr>
            </w:pPr>
            <w:r w:rsidRPr="00630129">
              <w:rPr>
                <w:sz w:val="20"/>
              </w:rPr>
              <w:t>M</w:t>
            </w:r>
          </w:p>
        </w:tc>
        <w:tc>
          <w:tcPr>
            <w:tcW w:w="456" w:type="pct"/>
            <w:tcMar>
              <w:left w:w="28" w:type="dxa"/>
              <w:right w:w="28" w:type="dxa"/>
            </w:tcMar>
          </w:tcPr>
          <w:p w14:paraId="68D7CC09" w14:textId="77777777" w:rsidR="002A68CF" w:rsidRPr="00630129" w:rsidRDefault="001C7564">
            <w:pPr>
              <w:rPr>
                <w:sz w:val="20"/>
              </w:rPr>
            </w:pPr>
            <w:r w:rsidRPr="00630129">
              <w:rPr>
                <w:sz w:val="20"/>
              </w:rPr>
              <w:t>A</w:t>
            </w:r>
          </w:p>
        </w:tc>
        <w:tc>
          <w:tcPr>
            <w:tcW w:w="419" w:type="pct"/>
            <w:tcMar>
              <w:left w:w="28" w:type="dxa"/>
              <w:right w:w="28" w:type="dxa"/>
            </w:tcMar>
          </w:tcPr>
          <w:p w14:paraId="39BB539B" w14:textId="77777777" w:rsidR="002A68CF" w:rsidRPr="00630129" w:rsidRDefault="002A68CF">
            <w:pPr>
              <w:rPr>
                <w:sz w:val="20"/>
              </w:rPr>
            </w:pPr>
          </w:p>
        </w:tc>
        <w:tc>
          <w:tcPr>
            <w:tcW w:w="608" w:type="pct"/>
            <w:tcMar>
              <w:left w:w="28" w:type="dxa"/>
              <w:right w:w="28" w:type="dxa"/>
            </w:tcMar>
            <w:vAlign w:val="bottom"/>
          </w:tcPr>
          <w:p w14:paraId="62832F15" w14:textId="77777777" w:rsidR="002A68CF" w:rsidRPr="00630129" w:rsidRDefault="001C7564">
            <w:pPr>
              <w:rPr>
                <w:sz w:val="20"/>
              </w:rPr>
            </w:pPr>
            <w:r w:rsidRPr="00630129">
              <w:rPr>
                <w:sz w:val="20"/>
              </w:rPr>
              <w:t>A</w:t>
            </w:r>
          </w:p>
        </w:tc>
        <w:tc>
          <w:tcPr>
            <w:tcW w:w="621" w:type="pct"/>
            <w:tcMar>
              <w:left w:w="28" w:type="dxa"/>
              <w:right w:w="28" w:type="dxa"/>
            </w:tcMar>
            <w:vAlign w:val="bottom"/>
          </w:tcPr>
          <w:p w14:paraId="5DB2274C" w14:textId="77777777" w:rsidR="002A68CF" w:rsidRPr="00630129" w:rsidRDefault="001C7564">
            <w:pPr>
              <w:rPr>
                <w:sz w:val="20"/>
              </w:rPr>
            </w:pPr>
            <w:r w:rsidRPr="00630129">
              <w:rPr>
                <w:sz w:val="20"/>
              </w:rPr>
              <w:t>E</w:t>
            </w:r>
          </w:p>
        </w:tc>
      </w:tr>
      <w:tr w:rsidR="00630129" w:rsidRPr="00630129" w14:paraId="0EC135DE" w14:textId="77777777">
        <w:trPr>
          <w:cantSplit/>
        </w:trPr>
        <w:tc>
          <w:tcPr>
            <w:tcW w:w="609" w:type="pct"/>
            <w:tcMar>
              <w:left w:w="28" w:type="dxa"/>
              <w:right w:w="28" w:type="dxa"/>
            </w:tcMar>
          </w:tcPr>
          <w:p w14:paraId="3E46A2B3" w14:textId="77777777" w:rsidR="002A68CF" w:rsidRPr="00630129" w:rsidRDefault="001C7564">
            <w:pPr>
              <w:rPr>
                <w:sz w:val="20"/>
              </w:rPr>
            </w:pPr>
            <w:r w:rsidRPr="00630129">
              <w:rPr>
                <w:sz w:val="20"/>
              </w:rPr>
              <w:t>26</w:t>
            </w:r>
          </w:p>
        </w:tc>
        <w:tc>
          <w:tcPr>
            <w:tcW w:w="621" w:type="pct"/>
            <w:tcMar>
              <w:left w:w="28" w:type="dxa"/>
              <w:right w:w="28" w:type="dxa"/>
            </w:tcMar>
          </w:tcPr>
          <w:p w14:paraId="36DC7050" w14:textId="77777777" w:rsidR="002A68CF" w:rsidRPr="00630129" w:rsidRDefault="001C7564">
            <w:pPr>
              <w:rPr>
                <w:sz w:val="20"/>
              </w:rPr>
            </w:pPr>
            <w:r w:rsidRPr="00630129">
              <w:rPr>
                <w:sz w:val="20"/>
              </w:rPr>
              <w:t>AI</w:t>
            </w:r>
          </w:p>
        </w:tc>
        <w:tc>
          <w:tcPr>
            <w:tcW w:w="553" w:type="pct"/>
            <w:tcMar>
              <w:left w:w="28" w:type="dxa"/>
              <w:right w:w="28" w:type="dxa"/>
            </w:tcMar>
          </w:tcPr>
          <w:p w14:paraId="41CD8B3F" w14:textId="77777777" w:rsidR="002A68CF" w:rsidRPr="00630129" w:rsidRDefault="001C7564">
            <w:pPr>
              <w:rPr>
                <w:sz w:val="20"/>
              </w:rPr>
            </w:pPr>
            <w:r w:rsidRPr="00630129">
              <w:rPr>
                <w:sz w:val="20"/>
              </w:rPr>
              <w:t>H</w:t>
            </w:r>
          </w:p>
        </w:tc>
        <w:tc>
          <w:tcPr>
            <w:tcW w:w="505" w:type="pct"/>
            <w:tcMar>
              <w:left w:w="28" w:type="dxa"/>
              <w:right w:w="28" w:type="dxa"/>
            </w:tcMar>
          </w:tcPr>
          <w:p w14:paraId="0563D618" w14:textId="77777777" w:rsidR="002A68CF" w:rsidRPr="00630129" w:rsidRDefault="001C7564">
            <w:pPr>
              <w:rPr>
                <w:sz w:val="20"/>
              </w:rPr>
            </w:pPr>
            <w:r w:rsidRPr="00630129">
              <w:rPr>
                <w:sz w:val="20"/>
              </w:rPr>
              <w:t>M</w:t>
            </w:r>
          </w:p>
        </w:tc>
        <w:tc>
          <w:tcPr>
            <w:tcW w:w="608" w:type="pct"/>
            <w:tcMar>
              <w:left w:w="28" w:type="dxa"/>
              <w:right w:w="28" w:type="dxa"/>
            </w:tcMar>
          </w:tcPr>
          <w:p w14:paraId="621900E7" w14:textId="77777777" w:rsidR="002A68CF" w:rsidRPr="00630129" w:rsidRDefault="001C7564">
            <w:pPr>
              <w:rPr>
                <w:sz w:val="20"/>
              </w:rPr>
            </w:pPr>
            <w:r w:rsidRPr="00630129">
              <w:rPr>
                <w:sz w:val="20"/>
              </w:rPr>
              <w:t>L</w:t>
            </w:r>
          </w:p>
        </w:tc>
        <w:tc>
          <w:tcPr>
            <w:tcW w:w="456" w:type="pct"/>
            <w:tcMar>
              <w:left w:w="28" w:type="dxa"/>
              <w:right w:w="28" w:type="dxa"/>
            </w:tcMar>
          </w:tcPr>
          <w:p w14:paraId="744481DF" w14:textId="77777777" w:rsidR="002A68CF" w:rsidRPr="00630129" w:rsidRDefault="001C7564">
            <w:pPr>
              <w:rPr>
                <w:sz w:val="20"/>
              </w:rPr>
            </w:pPr>
            <w:r w:rsidRPr="00630129">
              <w:rPr>
                <w:sz w:val="20"/>
              </w:rPr>
              <w:t>A</w:t>
            </w:r>
          </w:p>
        </w:tc>
        <w:tc>
          <w:tcPr>
            <w:tcW w:w="419" w:type="pct"/>
            <w:tcMar>
              <w:left w:w="28" w:type="dxa"/>
              <w:right w:w="28" w:type="dxa"/>
            </w:tcMar>
          </w:tcPr>
          <w:p w14:paraId="03372DB2" w14:textId="77777777" w:rsidR="002A68CF" w:rsidRPr="00630129" w:rsidRDefault="002A68CF">
            <w:pPr>
              <w:rPr>
                <w:sz w:val="20"/>
              </w:rPr>
            </w:pPr>
          </w:p>
        </w:tc>
        <w:tc>
          <w:tcPr>
            <w:tcW w:w="608" w:type="pct"/>
            <w:tcMar>
              <w:left w:w="28" w:type="dxa"/>
              <w:right w:w="28" w:type="dxa"/>
            </w:tcMar>
            <w:vAlign w:val="bottom"/>
          </w:tcPr>
          <w:p w14:paraId="76E0A581" w14:textId="77777777" w:rsidR="002A68CF" w:rsidRPr="00630129" w:rsidRDefault="001C7564">
            <w:pPr>
              <w:rPr>
                <w:sz w:val="20"/>
              </w:rPr>
            </w:pPr>
            <w:r w:rsidRPr="00630129">
              <w:rPr>
                <w:sz w:val="20"/>
              </w:rPr>
              <w:t>A</w:t>
            </w:r>
          </w:p>
        </w:tc>
        <w:tc>
          <w:tcPr>
            <w:tcW w:w="621" w:type="pct"/>
            <w:tcMar>
              <w:left w:w="28" w:type="dxa"/>
              <w:right w:w="28" w:type="dxa"/>
            </w:tcMar>
            <w:vAlign w:val="bottom"/>
          </w:tcPr>
          <w:p w14:paraId="233A4DA3" w14:textId="77777777" w:rsidR="002A68CF" w:rsidRPr="00630129" w:rsidRDefault="001C7564">
            <w:pPr>
              <w:rPr>
                <w:sz w:val="20"/>
              </w:rPr>
            </w:pPr>
            <w:r w:rsidRPr="00630129">
              <w:rPr>
                <w:sz w:val="20"/>
              </w:rPr>
              <w:t>E</w:t>
            </w:r>
          </w:p>
        </w:tc>
      </w:tr>
      <w:tr w:rsidR="00630129" w:rsidRPr="00630129" w14:paraId="10BC91BF" w14:textId="77777777">
        <w:trPr>
          <w:cantSplit/>
        </w:trPr>
        <w:tc>
          <w:tcPr>
            <w:tcW w:w="609" w:type="pct"/>
            <w:tcMar>
              <w:left w:w="28" w:type="dxa"/>
              <w:right w:w="28" w:type="dxa"/>
            </w:tcMar>
          </w:tcPr>
          <w:p w14:paraId="253C3C59" w14:textId="77777777" w:rsidR="002A68CF" w:rsidRPr="00630129" w:rsidRDefault="001C7564">
            <w:pPr>
              <w:rPr>
                <w:sz w:val="20"/>
              </w:rPr>
            </w:pPr>
            <w:r w:rsidRPr="00630129">
              <w:rPr>
                <w:sz w:val="20"/>
              </w:rPr>
              <w:t>28</w:t>
            </w:r>
          </w:p>
        </w:tc>
        <w:tc>
          <w:tcPr>
            <w:tcW w:w="621" w:type="pct"/>
            <w:tcMar>
              <w:left w:w="28" w:type="dxa"/>
              <w:right w:w="28" w:type="dxa"/>
            </w:tcMar>
          </w:tcPr>
          <w:p w14:paraId="12E3ECBD" w14:textId="77777777" w:rsidR="002A68CF" w:rsidRPr="00630129" w:rsidRDefault="001C7564">
            <w:pPr>
              <w:rPr>
                <w:sz w:val="20"/>
              </w:rPr>
            </w:pPr>
            <w:r w:rsidRPr="00630129">
              <w:rPr>
                <w:sz w:val="20"/>
              </w:rPr>
              <w:t>AI</w:t>
            </w:r>
          </w:p>
        </w:tc>
        <w:tc>
          <w:tcPr>
            <w:tcW w:w="553" w:type="pct"/>
            <w:tcMar>
              <w:left w:w="28" w:type="dxa"/>
              <w:right w:w="28" w:type="dxa"/>
            </w:tcMar>
          </w:tcPr>
          <w:p w14:paraId="4CFDD04C" w14:textId="77777777" w:rsidR="002A68CF" w:rsidRPr="00630129" w:rsidRDefault="001C7564">
            <w:pPr>
              <w:rPr>
                <w:sz w:val="20"/>
              </w:rPr>
            </w:pPr>
            <w:r w:rsidRPr="00630129">
              <w:rPr>
                <w:sz w:val="20"/>
              </w:rPr>
              <w:t>H</w:t>
            </w:r>
          </w:p>
        </w:tc>
        <w:tc>
          <w:tcPr>
            <w:tcW w:w="505" w:type="pct"/>
            <w:tcMar>
              <w:left w:w="28" w:type="dxa"/>
              <w:right w:w="28" w:type="dxa"/>
            </w:tcMar>
          </w:tcPr>
          <w:p w14:paraId="402CD1F2" w14:textId="77777777" w:rsidR="002A68CF" w:rsidRPr="00630129" w:rsidRDefault="001C7564">
            <w:pPr>
              <w:rPr>
                <w:sz w:val="20"/>
              </w:rPr>
            </w:pPr>
            <w:r w:rsidRPr="00630129">
              <w:rPr>
                <w:sz w:val="20"/>
              </w:rPr>
              <w:t>M</w:t>
            </w:r>
          </w:p>
        </w:tc>
        <w:tc>
          <w:tcPr>
            <w:tcW w:w="608" w:type="pct"/>
            <w:tcMar>
              <w:left w:w="28" w:type="dxa"/>
              <w:right w:w="28" w:type="dxa"/>
            </w:tcMar>
          </w:tcPr>
          <w:p w14:paraId="127EFEB1" w14:textId="77777777" w:rsidR="002A68CF" w:rsidRPr="00630129" w:rsidRDefault="001C7564">
            <w:pPr>
              <w:rPr>
                <w:sz w:val="20"/>
              </w:rPr>
            </w:pPr>
            <w:r w:rsidRPr="00630129">
              <w:rPr>
                <w:sz w:val="20"/>
              </w:rPr>
              <w:t>C</w:t>
            </w:r>
          </w:p>
        </w:tc>
        <w:tc>
          <w:tcPr>
            <w:tcW w:w="456" w:type="pct"/>
            <w:tcMar>
              <w:left w:w="28" w:type="dxa"/>
              <w:right w:w="28" w:type="dxa"/>
            </w:tcMar>
          </w:tcPr>
          <w:p w14:paraId="2CFD949C" w14:textId="77777777" w:rsidR="002A68CF" w:rsidRPr="00630129" w:rsidRDefault="001C7564">
            <w:pPr>
              <w:rPr>
                <w:sz w:val="20"/>
              </w:rPr>
            </w:pPr>
            <w:r w:rsidRPr="00630129">
              <w:rPr>
                <w:sz w:val="20"/>
              </w:rPr>
              <w:t>E</w:t>
            </w:r>
          </w:p>
        </w:tc>
        <w:tc>
          <w:tcPr>
            <w:tcW w:w="419" w:type="pct"/>
            <w:tcMar>
              <w:left w:w="28" w:type="dxa"/>
              <w:right w:w="28" w:type="dxa"/>
            </w:tcMar>
          </w:tcPr>
          <w:p w14:paraId="173AE304" w14:textId="77777777" w:rsidR="002A68CF" w:rsidRPr="00630129" w:rsidRDefault="002A68CF">
            <w:pPr>
              <w:rPr>
                <w:sz w:val="20"/>
              </w:rPr>
            </w:pPr>
          </w:p>
        </w:tc>
        <w:tc>
          <w:tcPr>
            <w:tcW w:w="608" w:type="pct"/>
            <w:tcMar>
              <w:left w:w="28" w:type="dxa"/>
              <w:right w:w="28" w:type="dxa"/>
            </w:tcMar>
            <w:vAlign w:val="bottom"/>
          </w:tcPr>
          <w:p w14:paraId="4923C8B9" w14:textId="77777777" w:rsidR="002A68CF" w:rsidRPr="00630129" w:rsidRDefault="001C7564">
            <w:pPr>
              <w:rPr>
                <w:sz w:val="20"/>
              </w:rPr>
            </w:pPr>
            <w:r w:rsidRPr="00630129">
              <w:rPr>
                <w:sz w:val="20"/>
              </w:rPr>
              <w:t>A</w:t>
            </w:r>
          </w:p>
        </w:tc>
        <w:tc>
          <w:tcPr>
            <w:tcW w:w="621" w:type="pct"/>
            <w:tcMar>
              <w:left w:w="28" w:type="dxa"/>
              <w:right w:w="28" w:type="dxa"/>
            </w:tcMar>
            <w:vAlign w:val="bottom"/>
          </w:tcPr>
          <w:p w14:paraId="7CD84ADA" w14:textId="77777777" w:rsidR="002A68CF" w:rsidRPr="00630129" w:rsidRDefault="001C7564">
            <w:pPr>
              <w:rPr>
                <w:sz w:val="20"/>
              </w:rPr>
            </w:pPr>
            <w:r w:rsidRPr="00630129">
              <w:rPr>
                <w:sz w:val="20"/>
              </w:rPr>
              <w:t>E</w:t>
            </w:r>
          </w:p>
        </w:tc>
      </w:tr>
      <w:tr w:rsidR="00630129" w:rsidRPr="00630129" w14:paraId="290B9852" w14:textId="77777777">
        <w:trPr>
          <w:cantSplit/>
        </w:trPr>
        <w:tc>
          <w:tcPr>
            <w:tcW w:w="609" w:type="pct"/>
            <w:tcMar>
              <w:left w:w="28" w:type="dxa"/>
              <w:right w:w="28" w:type="dxa"/>
            </w:tcMar>
          </w:tcPr>
          <w:p w14:paraId="2D300C4D" w14:textId="77777777" w:rsidR="002A68CF" w:rsidRPr="00630129" w:rsidRDefault="001C7564">
            <w:pPr>
              <w:rPr>
                <w:sz w:val="20"/>
              </w:rPr>
            </w:pPr>
            <w:r w:rsidRPr="00630129">
              <w:rPr>
                <w:sz w:val="20"/>
              </w:rPr>
              <w:t>30</w:t>
            </w:r>
          </w:p>
        </w:tc>
        <w:tc>
          <w:tcPr>
            <w:tcW w:w="621" w:type="pct"/>
            <w:tcMar>
              <w:left w:w="28" w:type="dxa"/>
              <w:right w:w="28" w:type="dxa"/>
            </w:tcMar>
          </w:tcPr>
          <w:p w14:paraId="2754BD7E" w14:textId="77777777" w:rsidR="002A68CF" w:rsidRPr="00630129" w:rsidRDefault="001C7564">
            <w:pPr>
              <w:rPr>
                <w:sz w:val="20"/>
              </w:rPr>
            </w:pPr>
            <w:r w:rsidRPr="00630129">
              <w:rPr>
                <w:sz w:val="20"/>
              </w:rPr>
              <w:t>AI</w:t>
            </w:r>
          </w:p>
        </w:tc>
        <w:tc>
          <w:tcPr>
            <w:tcW w:w="553" w:type="pct"/>
            <w:tcMar>
              <w:left w:w="28" w:type="dxa"/>
              <w:right w:w="28" w:type="dxa"/>
            </w:tcMar>
          </w:tcPr>
          <w:p w14:paraId="78F6443E" w14:textId="77777777" w:rsidR="002A68CF" w:rsidRPr="00630129" w:rsidRDefault="001C7564">
            <w:pPr>
              <w:rPr>
                <w:sz w:val="20"/>
              </w:rPr>
            </w:pPr>
            <w:r w:rsidRPr="00630129">
              <w:rPr>
                <w:sz w:val="20"/>
              </w:rPr>
              <w:t>H</w:t>
            </w:r>
          </w:p>
        </w:tc>
        <w:tc>
          <w:tcPr>
            <w:tcW w:w="505" w:type="pct"/>
            <w:tcMar>
              <w:left w:w="28" w:type="dxa"/>
              <w:right w:w="28" w:type="dxa"/>
            </w:tcMar>
          </w:tcPr>
          <w:p w14:paraId="1AA4E494" w14:textId="77777777" w:rsidR="002A68CF" w:rsidRPr="00630129" w:rsidRDefault="001C7564">
            <w:pPr>
              <w:rPr>
                <w:sz w:val="20"/>
              </w:rPr>
            </w:pPr>
            <w:r w:rsidRPr="00630129">
              <w:rPr>
                <w:sz w:val="20"/>
              </w:rPr>
              <w:t>M</w:t>
            </w:r>
          </w:p>
        </w:tc>
        <w:tc>
          <w:tcPr>
            <w:tcW w:w="608" w:type="pct"/>
            <w:tcMar>
              <w:left w:w="28" w:type="dxa"/>
              <w:right w:w="28" w:type="dxa"/>
            </w:tcMar>
          </w:tcPr>
          <w:p w14:paraId="42E1C487" w14:textId="77777777" w:rsidR="002A68CF" w:rsidRPr="00630129" w:rsidRDefault="001C7564">
            <w:pPr>
              <w:rPr>
                <w:sz w:val="20"/>
              </w:rPr>
            </w:pPr>
            <w:r w:rsidRPr="00630129">
              <w:rPr>
                <w:sz w:val="20"/>
              </w:rPr>
              <w:t>M</w:t>
            </w:r>
          </w:p>
        </w:tc>
        <w:tc>
          <w:tcPr>
            <w:tcW w:w="456" w:type="pct"/>
            <w:tcMar>
              <w:left w:w="28" w:type="dxa"/>
              <w:right w:w="28" w:type="dxa"/>
            </w:tcMar>
          </w:tcPr>
          <w:p w14:paraId="6A3D42D0" w14:textId="77777777" w:rsidR="002A68CF" w:rsidRPr="00630129" w:rsidRDefault="001C7564">
            <w:pPr>
              <w:rPr>
                <w:sz w:val="20"/>
              </w:rPr>
            </w:pPr>
            <w:r w:rsidRPr="00630129">
              <w:rPr>
                <w:sz w:val="20"/>
              </w:rPr>
              <w:t>E</w:t>
            </w:r>
          </w:p>
        </w:tc>
        <w:tc>
          <w:tcPr>
            <w:tcW w:w="419" w:type="pct"/>
            <w:tcMar>
              <w:left w:w="28" w:type="dxa"/>
              <w:right w:w="28" w:type="dxa"/>
            </w:tcMar>
          </w:tcPr>
          <w:p w14:paraId="4B390240" w14:textId="77777777" w:rsidR="002A68CF" w:rsidRPr="00630129" w:rsidRDefault="002A68CF">
            <w:pPr>
              <w:rPr>
                <w:sz w:val="20"/>
              </w:rPr>
            </w:pPr>
          </w:p>
        </w:tc>
        <w:tc>
          <w:tcPr>
            <w:tcW w:w="608" w:type="pct"/>
            <w:tcMar>
              <w:left w:w="28" w:type="dxa"/>
              <w:right w:w="28" w:type="dxa"/>
            </w:tcMar>
            <w:vAlign w:val="bottom"/>
          </w:tcPr>
          <w:p w14:paraId="65181F2C" w14:textId="77777777" w:rsidR="002A68CF" w:rsidRPr="00630129" w:rsidRDefault="001C7564">
            <w:pPr>
              <w:rPr>
                <w:sz w:val="20"/>
              </w:rPr>
            </w:pPr>
            <w:r w:rsidRPr="00630129">
              <w:rPr>
                <w:sz w:val="20"/>
              </w:rPr>
              <w:t>A</w:t>
            </w:r>
          </w:p>
        </w:tc>
        <w:tc>
          <w:tcPr>
            <w:tcW w:w="621" w:type="pct"/>
            <w:tcMar>
              <w:left w:w="28" w:type="dxa"/>
              <w:right w:w="28" w:type="dxa"/>
            </w:tcMar>
            <w:vAlign w:val="bottom"/>
          </w:tcPr>
          <w:p w14:paraId="6970D797" w14:textId="77777777" w:rsidR="002A68CF" w:rsidRPr="00630129" w:rsidRDefault="001C7564">
            <w:pPr>
              <w:rPr>
                <w:sz w:val="20"/>
              </w:rPr>
            </w:pPr>
            <w:r w:rsidRPr="00630129">
              <w:rPr>
                <w:sz w:val="20"/>
              </w:rPr>
              <w:t>E</w:t>
            </w:r>
          </w:p>
        </w:tc>
      </w:tr>
      <w:tr w:rsidR="00630129" w:rsidRPr="00630129" w14:paraId="33D1A96E" w14:textId="77777777">
        <w:trPr>
          <w:cantSplit/>
        </w:trPr>
        <w:tc>
          <w:tcPr>
            <w:tcW w:w="609" w:type="pct"/>
            <w:tcMar>
              <w:left w:w="28" w:type="dxa"/>
              <w:right w:w="28" w:type="dxa"/>
            </w:tcMar>
          </w:tcPr>
          <w:p w14:paraId="3CDF3ACF" w14:textId="77777777" w:rsidR="002A68CF" w:rsidRPr="00630129" w:rsidRDefault="001C7564">
            <w:pPr>
              <w:rPr>
                <w:sz w:val="20"/>
              </w:rPr>
            </w:pPr>
            <w:r w:rsidRPr="00630129">
              <w:rPr>
                <w:sz w:val="20"/>
              </w:rPr>
              <w:t>31</w:t>
            </w:r>
          </w:p>
        </w:tc>
        <w:tc>
          <w:tcPr>
            <w:tcW w:w="621" w:type="pct"/>
            <w:tcMar>
              <w:left w:w="28" w:type="dxa"/>
              <w:right w:w="28" w:type="dxa"/>
            </w:tcMar>
          </w:tcPr>
          <w:p w14:paraId="5ADFF9CE" w14:textId="77777777" w:rsidR="002A68CF" w:rsidRPr="00630129" w:rsidRDefault="001C7564">
            <w:pPr>
              <w:rPr>
                <w:sz w:val="20"/>
              </w:rPr>
            </w:pPr>
            <w:r w:rsidRPr="00630129">
              <w:rPr>
                <w:sz w:val="20"/>
              </w:rPr>
              <w:t>AI</w:t>
            </w:r>
          </w:p>
        </w:tc>
        <w:tc>
          <w:tcPr>
            <w:tcW w:w="553" w:type="pct"/>
            <w:tcMar>
              <w:left w:w="28" w:type="dxa"/>
              <w:right w:w="28" w:type="dxa"/>
            </w:tcMar>
          </w:tcPr>
          <w:p w14:paraId="5D7F2F2C" w14:textId="77777777" w:rsidR="002A68CF" w:rsidRPr="00630129" w:rsidRDefault="001C7564">
            <w:pPr>
              <w:rPr>
                <w:sz w:val="20"/>
              </w:rPr>
            </w:pPr>
            <w:r w:rsidRPr="00630129">
              <w:rPr>
                <w:sz w:val="20"/>
              </w:rPr>
              <w:t>H</w:t>
            </w:r>
          </w:p>
        </w:tc>
        <w:tc>
          <w:tcPr>
            <w:tcW w:w="505" w:type="pct"/>
            <w:tcMar>
              <w:left w:w="28" w:type="dxa"/>
              <w:right w:w="28" w:type="dxa"/>
            </w:tcMar>
          </w:tcPr>
          <w:p w14:paraId="734194EE" w14:textId="77777777" w:rsidR="002A68CF" w:rsidRPr="00630129" w:rsidRDefault="001C7564">
            <w:pPr>
              <w:rPr>
                <w:sz w:val="20"/>
              </w:rPr>
            </w:pPr>
            <w:r w:rsidRPr="00630129">
              <w:rPr>
                <w:sz w:val="20"/>
              </w:rPr>
              <w:t>M</w:t>
            </w:r>
          </w:p>
        </w:tc>
        <w:tc>
          <w:tcPr>
            <w:tcW w:w="608" w:type="pct"/>
            <w:tcMar>
              <w:left w:w="28" w:type="dxa"/>
              <w:right w:w="28" w:type="dxa"/>
            </w:tcMar>
          </w:tcPr>
          <w:p w14:paraId="35FB6885" w14:textId="77777777" w:rsidR="002A68CF" w:rsidRPr="00630129" w:rsidRDefault="001C7564">
            <w:pPr>
              <w:rPr>
                <w:sz w:val="20"/>
              </w:rPr>
            </w:pPr>
            <w:r w:rsidRPr="00630129">
              <w:rPr>
                <w:sz w:val="20"/>
              </w:rPr>
              <w:t>L</w:t>
            </w:r>
          </w:p>
        </w:tc>
        <w:tc>
          <w:tcPr>
            <w:tcW w:w="456" w:type="pct"/>
            <w:tcMar>
              <w:left w:w="28" w:type="dxa"/>
              <w:right w:w="28" w:type="dxa"/>
            </w:tcMar>
          </w:tcPr>
          <w:p w14:paraId="08E58C1D" w14:textId="77777777" w:rsidR="002A68CF" w:rsidRPr="00630129" w:rsidRDefault="001C7564">
            <w:pPr>
              <w:rPr>
                <w:sz w:val="20"/>
              </w:rPr>
            </w:pPr>
            <w:r w:rsidRPr="00630129">
              <w:rPr>
                <w:sz w:val="20"/>
              </w:rPr>
              <w:t>E</w:t>
            </w:r>
          </w:p>
        </w:tc>
        <w:tc>
          <w:tcPr>
            <w:tcW w:w="419" w:type="pct"/>
            <w:tcMar>
              <w:left w:w="28" w:type="dxa"/>
              <w:right w:w="28" w:type="dxa"/>
            </w:tcMar>
          </w:tcPr>
          <w:p w14:paraId="693CE72F" w14:textId="77777777" w:rsidR="002A68CF" w:rsidRPr="00630129" w:rsidRDefault="002A68CF">
            <w:pPr>
              <w:rPr>
                <w:sz w:val="20"/>
              </w:rPr>
            </w:pPr>
          </w:p>
        </w:tc>
        <w:tc>
          <w:tcPr>
            <w:tcW w:w="608" w:type="pct"/>
            <w:tcMar>
              <w:left w:w="28" w:type="dxa"/>
              <w:right w:w="28" w:type="dxa"/>
            </w:tcMar>
            <w:vAlign w:val="bottom"/>
          </w:tcPr>
          <w:p w14:paraId="607DEE2F" w14:textId="77777777" w:rsidR="002A68CF" w:rsidRPr="00630129" w:rsidRDefault="001C7564">
            <w:pPr>
              <w:rPr>
                <w:sz w:val="20"/>
              </w:rPr>
            </w:pPr>
            <w:r w:rsidRPr="00630129">
              <w:rPr>
                <w:sz w:val="20"/>
              </w:rPr>
              <w:t>A</w:t>
            </w:r>
          </w:p>
        </w:tc>
        <w:tc>
          <w:tcPr>
            <w:tcW w:w="621" w:type="pct"/>
            <w:tcMar>
              <w:left w:w="28" w:type="dxa"/>
              <w:right w:w="28" w:type="dxa"/>
            </w:tcMar>
            <w:vAlign w:val="bottom"/>
          </w:tcPr>
          <w:p w14:paraId="5A27616E" w14:textId="77777777" w:rsidR="002A68CF" w:rsidRPr="00630129" w:rsidRDefault="001C7564">
            <w:pPr>
              <w:rPr>
                <w:sz w:val="20"/>
              </w:rPr>
            </w:pPr>
            <w:r w:rsidRPr="00630129">
              <w:rPr>
                <w:sz w:val="20"/>
              </w:rPr>
              <w:t>E</w:t>
            </w:r>
          </w:p>
        </w:tc>
      </w:tr>
      <w:tr w:rsidR="00630129" w:rsidRPr="00630129" w14:paraId="0288680E" w14:textId="77777777">
        <w:trPr>
          <w:cantSplit/>
        </w:trPr>
        <w:tc>
          <w:tcPr>
            <w:tcW w:w="609" w:type="pct"/>
            <w:tcBorders>
              <w:top w:val="single" w:sz="6" w:space="0" w:color="000000"/>
              <w:left w:val="single" w:sz="6" w:space="0" w:color="000000"/>
              <w:bottom w:val="single" w:sz="6" w:space="0" w:color="000000"/>
              <w:right w:val="single" w:sz="6" w:space="0" w:color="000000"/>
            </w:tcBorders>
            <w:tcMar>
              <w:left w:w="28" w:type="dxa"/>
              <w:right w:w="28" w:type="dxa"/>
            </w:tcMar>
          </w:tcPr>
          <w:p w14:paraId="0D5DAD17" w14:textId="77777777" w:rsidR="002A68CF" w:rsidRPr="00630129" w:rsidRDefault="001C7564">
            <w:pPr>
              <w:rPr>
                <w:sz w:val="20"/>
              </w:rPr>
            </w:pPr>
            <w:r w:rsidRPr="00630129">
              <w:rPr>
                <w:sz w:val="20"/>
              </w:rPr>
              <w:t>32</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tcPr>
          <w:p w14:paraId="5DC613CF"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tcMar>
              <w:left w:w="28" w:type="dxa"/>
              <w:right w:w="28" w:type="dxa"/>
            </w:tcMar>
          </w:tcPr>
          <w:p w14:paraId="12F2DED8" w14:textId="77777777" w:rsidR="002A68CF" w:rsidRPr="00630129" w:rsidRDefault="001C7564">
            <w:pPr>
              <w:rPr>
                <w:sz w:val="20"/>
              </w:rPr>
            </w:pPr>
            <w:r w:rsidRPr="00630129">
              <w:rPr>
                <w:sz w:val="20"/>
              </w:rPr>
              <w:t>N</w:t>
            </w:r>
          </w:p>
        </w:tc>
        <w:tc>
          <w:tcPr>
            <w:tcW w:w="505" w:type="pct"/>
            <w:tcBorders>
              <w:top w:val="single" w:sz="6" w:space="0" w:color="000000"/>
              <w:left w:val="single" w:sz="6" w:space="0" w:color="000000"/>
              <w:bottom w:val="single" w:sz="6" w:space="0" w:color="000000"/>
              <w:right w:val="single" w:sz="6" w:space="0" w:color="000000"/>
            </w:tcBorders>
            <w:tcMar>
              <w:left w:w="28" w:type="dxa"/>
              <w:right w:w="28" w:type="dxa"/>
            </w:tcMar>
          </w:tcPr>
          <w:p w14:paraId="0A5BB480"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tcMar>
              <w:left w:w="28" w:type="dxa"/>
              <w:right w:w="28" w:type="dxa"/>
            </w:tcMar>
          </w:tcPr>
          <w:p w14:paraId="7B285688" w14:textId="77777777" w:rsidR="002A68CF" w:rsidRPr="00630129" w:rsidRDefault="001C7564">
            <w:pPr>
              <w:rPr>
                <w:sz w:val="20"/>
              </w:rPr>
            </w:pPr>
            <w:r w:rsidRPr="00630129">
              <w:rPr>
                <w:sz w:val="20"/>
              </w:rPr>
              <w:t>C</w:t>
            </w:r>
          </w:p>
        </w:tc>
        <w:tc>
          <w:tcPr>
            <w:tcW w:w="456" w:type="pct"/>
            <w:tcBorders>
              <w:top w:val="single" w:sz="6" w:space="0" w:color="000000"/>
              <w:left w:val="single" w:sz="6" w:space="0" w:color="000000"/>
              <w:bottom w:val="single" w:sz="6" w:space="0" w:color="000000"/>
              <w:right w:val="single" w:sz="6" w:space="0" w:color="000000"/>
            </w:tcBorders>
            <w:tcMar>
              <w:left w:w="28" w:type="dxa"/>
              <w:right w:w="28" w:type="dxa"/>
            </w:tcMar>
          </w:tcPr>
          <w:p w14:paraId="558C9CE9" w14:textId="77777777" w:rsidR="002A68CF" w:rsidRPr="00630129" w:rsidRDefault="002A68CF">
            <w:pPr>
              <w:rPr>
                <w:sz w:val="20"/>
              </w:rPr>
            </w:pPr>
          </w:p>
        </w:tc>
        <w:tc>
          <w:tcPr>
            <w:tcW w:w="419" w:type="pct"/>
            <w:tcBorders>
              <w:top w:val="single" w:sz="6" w:space="0" w:color="000000"/>
              <w:left w:val="single" w:sz="6" w:space="0" w:color="000000"/>
              <w:bottom w:val="single" w:sz="6" w:space="0" w:color="000000"/>
              <w:right w:val="single" w:sz="6" w:space="0" w:color="000000"/>
            </w:tcBorders>
            <w:tcMar>
              <w:left w:w="28" w:type="dxa"/>
              <w:right w:w="28" w:type="dxa"/>
            </w:tcMar>
          </w:tcPr>
          <w:p w14:paraId="0E6C7A14" w14:textId="77777777" w:rsidR="002A68CF" w:rsidRPr="00630129" w:rsidRDefault="001C7564">
            <w:pPr>
              <w:rPr>
                <w:sz w:val="20"/>
              </w:rPr>
            </w:pPr>
            <w:r w:rsidRPr="00630129">
              <w:rPr>
                <w:sz w:val="20"/>
              </w:rPr>
              <w:t>E</w:t>
            </w:r>
          </w:p>
        </w:tc>
        <w:tc>
          <w:tcPr>
            <w:tcW w:w="608"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7294062A"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33BD5C3D" w14:textId="77777777" w:rsidR="002A68CF" w:rsidRPr="00630129" w:rsidRDefault="001C7564">
            <w:pPr>
              <w:rPr>
                <w:sz w:val="20"/>
              </w:rPr>
            </w:pPr>
            <w:r w:rsidRPr="00630129">
              <w:rPr>
                <w:sz w:val="20"/>
              </w:rPr>
              <w:t>A</w:t>
            </w:r>
          </w:p>
        </w:tc>
      </w:tr>
      <w:tr w:rsidR="00630129" w:rsidRPr="00630129" w14:paraId="1F4ADCE0" w14:textId="77777777">
        <w:trPr>
          <w:cantSplit/>
        </w:trPr>
        <w:tc>
          <w:tcPr>
            <w:tcW w:w="609" w:type="pct"/>
            <w:tcBorders>
              <w:top w:val="single" w:sz="6" w:space="0" w:color="000000"/>
              <w:left w:val="single" w:sz="6" w:space="0" w:color="000000"/>
              <w:bottom w:val="single" w:sz="6" w:space="0" w:color="000000"/>
              <w:right w:val="single" w:sz="6" w:space="0" w:color="000000"/>
            </w:tcBorders>
            <w:tcMar>
              <w:left w:w="28" w:type="dxa"/>
              <w:right w:w="28" w:type="dxa"/>
            </w:tcMar>
          </w:tcPr>
          <w:p w14:paraId="460C9709" w14:textId="77777777" w:rsidR="002A68CF" w:rsidRPr="00630129" w:rsidRDefault="001C7564">
            <w:pPr>
              <w:rPr>
                <w:sz w:val="20"/>
              </w:rPr>
            </w:pPr>
            <w:r w:rsidRPr="00630129">
              <w:rPr>
                <w:sz w:val="20"/>
              </w:rPr>
              <w:t>33</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tcPr>
          <w:p w14:paraId="6C0B05B7"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tcMar>
              <w:left w:w="28" w:type="dxa"/>
              <w:right w:w="28" w:type="dxa"/>
            </w:tcMar>
          </w:tcPr>
          <w:p w14:paraId="7DE73F54" w14:textId="77777777" w:rsidR="002A68CF" w:rsidRPr="00630129" w:rsidRDefault="001C7564">
            <w:pPr>
              <w:rPr>
                <w:sz w:val="20"/>
              </w:rPr>
            </w:pPr>
            <w:r w:rsidRPr="00630129">
              <w:rPr>
                <w:sz w:val="20"/>
              </w:rPr>
              <w:t>N</w:t>
            </w:r>
          </w:p>
        </w:tc>
        <w:tc>
          <w:tcPr>
            <w:tcW w:w="505" w:type="pct"/>
            <w:tcBorders>
              <w:top w:val="single" w:sz="6" w:space="0" w:color="000000"/>
              <w:left w:val="single" w:sz="6" w:space="0" w:color="000000"/>
              <w:bottom w:val="single" w:sz="6" w:space="0" w:color="000000"/>
              <w:right w:val="single" w:sz="6" w:space="0" w:color="000000"/>
            </w:tcBorders>
            <w:tcMar>
              <w:left w:w="28" w:type="dxa"/>
              <w:right w:w="28" w:type="dxa"/>
            </w:tcMar>
          </w:tcPr>
          <w:p w14:paraId="2B75717A"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tcMar>
              <w:left w:w="28" w:type="dxa"/>
              <w:right w:w="28" w:type="dxa"/>
            </w:tcMar>
          </w:tcPr>
          <w:p w14:paraId="538F27D1" w14:textId="77777777" w:rsidR="002A68CF" w:rsidRPr="00630129" w:rsidRDefault="001C7564">
            <w:pPr>
              <w:rPr>
                <w:sz w:val="20"/>
              </w:rPr>
            </w:pPr>
            <w:r w:rsidRPr="00630129">
              <w:rPr>
                <w:sz w:val="20"/>
              </w:rPr>
              <w:t>C</w:t>
            </w:r>
          </w:p>
        </w:tc>
        <w:tc>
          <w:tcPr>
            <w:tcW w:w="456" w:type="pct"/>
            <w:tcBorders>
              <w:top w:val="single" w:sz="6" w:space="0" w:color="000000"/>
              <w:left w:val="single" w:sz="6" w:space="0" w:color="000000"/>
              <w:bottom w:val="single" w:sz="6" w:space="0" w:color="000000"/>
              <w:right w:val="single" w:sz="6" w:space="0" w:color="000000"/>
            </w:tcBorders>
            <w:tcMar>
              <w:left w:w="28" w:type="dxa"/>
              <w:right w:w="28" w:type="dxa"/>
            </w:tcMar>
          </w:tcPr>
          <w:p w14:paraId="35F7563E" w14:textId="77777777" w:rsidR="002A68CF" w:rsidRPr="00630129" w:rsidRDefault="002A68CF">
            <w:pPr>
              <w:rPr>
                <w:sz w:val="20"/>
              </w:rPr>
            </w:pPr>
          </w:p>
        </w:tc>
        <w:tc>
          <w:tcPr>
            <w:tcW w:w="419" w:type="pct"/>
            <w:tcBorders>
              <w:top w:val="single" w:sz="6" w:space="0" w:color="000000"/>
              <w:left w:val="single" w:sz="6" w:space="0" w:color="000000"/>
              <w:bottom w:val="single" w:sz="6" w:space="0" w:color="000000"/>
              <w:right w:val="single" w:sz="6" w:space="0" w:color="000000"/>
            </w:tcBorders>
            <w:tcMar>
              <w:left w:w="28" w:type="dxa"/>
              <w:right w:w="28" w:type="dxa"/>
            </w:tcMar>
          </w:tcPr>
          <w:p w14:paraId="6CB44FC7" w14:textId="77777777" w:rsidR="002A68CF" w:rsidRPr="00630129" w:rsidRDefault="001C7564">
            <w:pPr>
              <w:rPr>
                <w:sz w:val="20"/>
              </w:rPr>
            </w:pPr>
            <w:r w:rsidRPr="00630129">
              <w:rPr>
                <w:sz w:val="20"/>
              </w:rPr>
              <w:t>A</w:t>
            </w:r>
          </w:p>
        </w:tc>
        <w:tc>
          <w:tcPr>
            <w:tcW w:w="608"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5C657B87"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3C40DC29" w14:textId="77777777" w:rsidR="002A68CF" w:rsidRPr="00630129" w:rsidRDefault="001C7564">
            <w:pPr>
              <w:rPr>
                <w:sz w:val="20"/>
              </w:rPr>
            </w:pPr>
            <w:r w:rsidRPr="00630129">
              <w:rPr>
                <w:sz w:val="20"/>
              </w:rPr>
              <w:t>A</w:t>
            </w:r>
          </w:p>
        </w:tc>
      </w:tr>
      <w:tr w:rsidR="00630129" w:rsidRPr="00630129" w14:paraId="3EB2B3CF" w14:textId="77777777">
        <w:trPr>
          <w:cantSplit/>
        </w:trPr>
        <w:tc>
          <w:tcPr>
            <w:tcW w:w="609" w:type="pct"/>
            <w:tcBorders>
              <w:top w:val="single" w:sz="6" w:space="0" w:color="000000"/>
              <w:left w:val="single" w:sz="6" w:space="0" w:color="000000"/>
              <w:bottom w:val="single" w:sz="6" w:space="0" w:color="000000"/>
              <w:right w:val="single" w:sz="6" w:space="0" w:color="000000"/>
            </w:tcBorders>
            <w:tcMar>
              <w:left w:w="28" w:type="dxa"/>
              <w:right w:w="28" w:type="dxa"/>
            </w:tcMar>
          </w:tcPr>
          <w:p w14:paraId="160837E6" w14:textId="77777777" w:rsidR="002A68CF" w:rsidRPr="00630129" w:rsidRDefault="001C7564">
            <w:pPr>
              <w:rPr>
                <w:sz w:val="20"/>
              </w:rPr>
            </w:pPr>
            <w:r w:rsidRPr="00630129">
              <w:rPr>
                <w:sz w:val="20"/>
              </w:rPr>
              <w:t>34</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tcPr>
          <w:p w14:paraId="545520B6"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tcMar>
              <w:left w:w="28" w:type="dxa"/>
              <w:right w:w="28" w:type="dxa"/>
            </w:tcMar>
          </w:tcPr>
          <w:p w14:paraId="60D4BBC2" w14:textId="77777777" w:rsidR="002A68CF" w:rsidRPr="00630129" w:rsidRDefault="001C7564">
            <w:pPr>
              <w:rPr>
                <w:sz w:val="20"/>
              </w:rPr>
            </w:pPr>
            <w:r w:rsidRPr="00630129">
              <w:rPr>
                <w:sz w:val="20"/>
              </w:rPr>
              <w:t>N</w:t>
            </w:r>
          </w:p>
        </w:tc>
        <w:tc>
          <w:tcPr>
            <w:tcW w:w="505" w:type="pct"/>
            <w:tcBorders>
              <w:top w:val="single" w:sz="6" w:space="0" w:color="000000"/>
              <w:left w:val="single" w:sz="6" w:space="0" w:color="000000"/>
              <w:bottom w:val="single" w:sz="6" w:space="0" w:color="000000"/>
              <w:right w:val="single" w:sz="6" w:space="0" w:color="000000"/>
            </w:tcBorders>
            <w:tcMar>
              <w:left w:w="28" w:type="dxa"/>
              <w:right w:w="28" w:type="dxa"/>
            </w:tcMar>
          </w:tcPr>
          <w:p w14:paraId="5C33F2EB"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tcMar>
              <w:left w:w="28" w:type="dxa"/>
              <w:right w:w="28" w:type="dxa"/>
            </w:tcMar>
          </w:tcPr>
          <w:p w14:paraId="4FFAFB5C" w14:textId="77777777" w:rsidR="002A68CF" w:rsidRPr="00630129" w:rsidRDefault="001C7564">
            <w:pPr>
              <w:rPr>
                <w:sz w:val="20"/>
              </w:rPr>
            </w:pPr>
            <w:r w:rsidRPr="00630129">
              <w:rPr>
                <w:sz w:val="20"/>
              </w:rPr>
              <w:t>L</w:t>
            </w:r>
          </w:p>
        </w:tc>
        <w:tc>
          <w:tcPr>
            <w:tcW w:w="456" w:type="pct"/>
            <w:tcBorders>
              <w:top w:val="single" w:sz="6" w:space="0" w:color="000000"/>
              <w:left w:val="single" w:sz="6" w:space="0" w:color="000000"/>
              <w:bottom w:val="single" w:sz="6" w:space="0" w:color="000000"/>
              <w:right w:val="single" w:sz="6" w:space="0" w:color="000000"/>
            </w:tcBorders>
            <w:tcMar>
              <w:left w:w="28" w:type="dxa"/>
              <w:right w:w="28" w:type="dxa"/>
            </w:tcMar>
          </w:tcPr>
          <w:p w14:paraId="6A89D807" w14:textId="77777777" w:rsidR="002A68CF" w:rsidRPr="00630129" w:rsidRDefault="002A68CF">
            <w:pPr>
              <w:rPr>
                <w:sz w:val="20"/>
              </w:rPr>
            </w:pPr>
          </w:p>
        </w:tc>
        <w:tc>
          <w:tcPr>
            <w:tcW w:w="419" w:type="pct"/>
            <w:tcBorders>
              <w:top w:val="single" w:sz="6" w:space="0" w:color="000000"/>
              <w:left w:val="single" w:sz="6" w:space="0" w:color="000000"/>
              <w:bottom w:val="single" w:sz="6" w:space="0" w:color="000000"/>
              <w:right w:val="single" w:sz="6" w:space="0" w:color="000000"/>
            </w:tcBorders>
            <w:tcMar>
              <w:left w:w="28" w:type="dxa"/>
              <w:right w:w="28" w:type="dxa"/>
            </w:tcMar>
          </w:tcPr>
          <w:p w14:paraId="45317C0E" w14:textId="77777777" w:rsidR="002A68CF" w:rsidRPr="00630129" w:rsidRDefault="001C7564">
            <w:pPr>
              <w:rPr>
                <w:sz w:val="20"/>
              </w:rPr>
            </w:pPr>
            <w:r w:rsidRPr="00630129">
              <w:rPr>
                <w:sz w:val="20"/>
              </w:rPr>
              <w:t>E</w:t>
            </w:r>
          </w:p>
        </w:tc>
        <w:tc>
          <w:tcPr>
            <w:tcW w:w="608"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1670F410"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064FCE87" w14:textId="77777777" w:rsidR="002A68CF" w:rsidRPr="00630129" w:rsidRDefault="001C7564">
            <w:pPr>
              <w:rPr>
                <w:sz w:val="20"/>
              </w:rPr>
            </w:pPr>
            <w:r w:rsidRPr="00630129">
              <w:rPr>
                <w:sz w:val="20"/>
              </w:rPr>
              <w:t>A</w:t>
            </w:r>
          </w:p>
        </w:tc>
      </w:tr>
      <w:tr w:rsidR="00630129" w:rsidRPr="00630129" w14:paraId="67563C6C" w14:textId="77777777">
        <w:trPr>
          <w:cantSplit/>
        </w:trPr>
        <w:tc>
          <w:tcPr>
            <w:tcW w:w="609" w:type="pct"/>
            <w:tcBorders>
              <w:top w:val="single" w:sz="6" w:space="0" w:color="000000"/>
              <w:left w:val="single" w:sz="6" w:space="0" w:color="000000"/>
              <w:bottom w:val="single" w:sz="6" w:space="0" w:color="000000"/>
              <w:right w:val="single" w:sz="6" w:space="0" w:color="000000"/>
            </w:tcBorders>
            <w:tcMar>
              <w:left w:w="28" w:type="dxa"/>
              <w:right w:w="28" w:type="dxa"/>
            </w:tcMar>
          </w:tcPr>
          <w:p w14:paraId="68A8F0D3" w14:textId="77777777" w:rsidR="002A68CF" w:rsidRPr="00630129" w:rsidRDefault="001C7564">
            <w:pPr>
              <w:rPr>
                <w:sz w:val="20"/>
              </w:rPr>
            </w:pPr>
            <w:r w:rsidRPr="00630129">
              <w:rPr>
                <w:sz w:val="20"/>
              </w:rPr>
              <w:t>35</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tcPr>
          <w:p w14:paraId="342BCCAF"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tcMar>
              <w:left w:w="28" w:type="dxa"/>
              <w:right w:w="28" w:type="dxa"/>
            </w:tcMar>
          </w:tcPr>
          <w:p w14:paraId="0F581CFC" w14:textId="77777777" w:rsidR="002A68CF" w:rsidRPr="00630129" w:rsidRDefault="001C7564">
            <w:pPr>
              <w:rPr>
                <w:sz w:val="20"/>
              </w:rPr>
            </w:pPr>
            <w:r w:rsidRPr="00630129">
              <w:rPr>
                <w:sz w:val="20"/>
              </w:rPr>
              <w:t>N</w:t>
            </w:r>
          </w:p>
        </w:tc>
        <w:tc>
          <w:tcPr>
            <w:tcW w:w="505" w:type="pct"/>
            <w:tcBorders>
              <w:top w:val="single" w:sz="6" w:space="0" w:color="000000"/>
              <w:left w:val="single" w:sz="6" w:space="0" w:color="000000"/>
              <w:bottom w:val="single" w:sz="6" w:space="0" w:color="000000"/>
              <w:right w:val="single" w:sz="6" w:space="0" w:color="000000"/>
            </w:tcBorders>
            <w:tcMar>
              <w:left w:w="28" w:type="dxa"/>
              <w:right w:w="28" w:type="dxa"/>
            </w:tcMar>
          </w:tcPr>
          <w:p w14:paraId="425CA6FE"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tcMar>
              <w:left w:w="28" w:type="dxa"/>
              <w:right w:w="28" w:type="dxa"/>
            </w:tcMar>
          </w:tcPr>
          <w:p w14:paraId="777F47FF" w14:textId="77777777" w:rsidR="002A68CF" w:rsidRPr="00630129" w:rsidRDefault="001C7564">
            <w:pPr>
              <w:rPr>
                <w:sz w:val="20"/>
              </w:rPr>
            </w:pPr>
            <w:r w:rsidRPr="00630129">
              <w:rPr>
                <w:sz w:val="20"/>
              </w:rPr>
              <w:t>L</w:t>
            </w:r>
          </w:p>
        </w:tc>
        <w:tc>
          <w:tcPr>
            <w:tcW w:w="456" w:type="pct"/>
            <w:tcBorders>
              <w:top w:val="single" w:sz="6" w:space="0" w:color="000000"/>
              <w:left w:val="single" w:sz="6" w:space="0" w:color="000000"/>
              <w:bottom w:val="single" w:sz="6" w:space="0" w:color="000000"/>
              <w:right w:val="single" w:sz="6" w:space="0" w:color="000000"/>
            </w:tcBorders>
            <w:tcMar>
              <w:left w:w="28" w:type="dxa"/>
              <w:right w:w="28" w:type="dxa"/>
            </w:tcMar>
          </w:tcPr>
          <w:p w14:paraId="68F9E6CA" w14:textId="77777777" w:rsidR="002A68CF" w:rsidRPr="00630129" w:rsidRDefault="002A68CF">
            <w:pPr>
              <w:rPr>
                <w:sz w:val="20"/>
              </w:rPr>
            </w:pPr>
          </w:p>
        </w:tc>
        <w:tc>
          <w:tcPr>
            <w:tcW w:w="419" w:type="pct"/>
            <w:tcBorders>
              <w:top w:val="single" w:sz="6" w:space="0" w:color="000000"/>
              <w:left w:val="single" w:sz="6" w:space="0" w:color="000000"/>
              <w:bottom w:val="single" w:sz="6" w:space="0" w:color="000000"/>
              <w:right w:val="single" w:sz="6" w:space="0" w:color="000000"/>
            </w:tcBorders>
            <w:tcMar>
              <w:left w:w="28" w:type="dxa"/>
              <w:right w:w="28" w:type="dxa"/>
            </w:tcMar>
          </w:tcPr>
          <w:p w14:paraId="5617B59D" w14:textId="77777777" w:rsidR="002A68CF" w:rsidRPr="00630129" w:rsidRDefault="001C7564">
            <w:pPr>
              <w:rPr>
                <w:sz w:val="20"/>
              </w:rPr>
            </w:pPr>
            <w:r w:rsidRPr="00630129">
              <w:rPr>
                <w:sz w:val="20"/>
              </w:rPr>
              <w:t>A</w:t>
            </w:r>
          </w:p>
        </w:tc>
        <w:tc>
          <w:tcPr>
            <w:tcW w:w="608"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669F26E4"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02A3F763" w14:textId="77777777" w:rsidR="002A68CF" w:rsidRPr="00630129" w:rsidRDefault="001C7564">
            <w:pPr>
              <w:rPr>
                <w:sz w:val="20"/>
              </w:rPr>
            </w:pPr>
            <w:r w:rsidRPr="00630129">
              <w:rPr>
                <w:sz w:val="20"/>
              </w:rPr>
              <w:t>A</w:t>
            </w:r>
          </w:p>
        </w:tc>
      </w:tr>
      <w:tr w:rsidR="00630129" w:rsidRPr="00630129" w14:paraId="1A5C1747"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258E28F" w14:textId="77777777" w:rsidR="002A68CF" w:rsidRPr="00630129" w:rsidRDefault="001C7564">
            <w:pPr>
              <w:rPr>
                <w:sz w:val="20"/>
              </w:rPr>
            </w:pPr>
            <w:r w:rsidRPr="00630129">
              <w:rPr>
                <w:sz w:val="20"/>
              </w:rPr>
              <w:t>36</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6F88B4C"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804CC7C"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B257DC7"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856EEC5" w14:textId="77777777" w:rsidR="002A68CF" w:rsidRPr="00630129" w:rsidRDefault="001C7564">
            <w:pPr>
              <w:rPr>
                <w:sz w:val="20"/>
              </w:rPr>
            </w:pPr>
            <w:r w:rsidRPr="00630129">
              <w:rPr>
                <w:sz w:val="20"/>
              </w:rPr>
              <w:t>C</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A12CD3C"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E58768D"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62C8CD85"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4C816066" w14:textId="77777777" w:rsidR="002A68CF" w:rsidRPr="00630129" w:rsidRDefault="001C7564">
            <w:pPr>
              <w:rPr>
                <w:sz w:val="20"/>
              </w:rPr>
            </w:pPr>
            <w:r w:rsidRPr="00630129">
              <w:rPr>
                <w:sz w:val="20"/>
              </w:rPr>
              <w:t>E</w:t>
            </w:r>
          </w:p>
        </w:tc>
      </w:tr>
      <w:tr w:rsidR="00630129" w:rsidRPr="00630129" w14:paraId="21E81A2C"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9F5B9AF" w14:textId="77777777" w:rsidR="002A68CF" w:rsidRPr="00630129" w:rsidRDefault="001C7564">
            <w:pPr>
              <w:rPr>
                <w:sz w:val="20"/>
              </w:rPr>
            </w:pPr>
            <w:r w:rsidRPr="00630129">
              <w:rPr>
                <w:sz w:val="20"/>
              </w:rPr>
              <w:t>37</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2E165EF"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C106939"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CA1A305"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FF7E58F" w14:textId="77777777" w:rsidR="002A68CF" w:rsidRPr="00630129" w:rsidRDefault="001C7564">
            <w:pPr>
              <w:rPr>
                <w:sz w:val="20"/>
              </w:rPr>
            </w:pPr>
            <w:r w:rsidRPr="00630129">
              <w:rPr>
                <w:sz w:val="20"/>
              </w:rPr>
              <w:t>M</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42E8AC5"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88E9004"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2037CB3D"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177C9836" w14:textId="77777777" w:rsidR="002A68CF" w:rsidRPr="00630129" w:rsidRDefault="001C7564">
            <w:pPr>
              <w:rPr>
                <w:sz w:val="20"/>
              </w:rPr>
            </w:pPr>
            <w:r w:rsidRPr="00630129">
              <w:rPr>
                <w:sz w:val="20"/>
              </w:rPr>
              <w:t>E</w:t>
            </w:r>
          </w:p>
        </w:tc>
      </w:tr>
      <w:tr w:rsidR="00630129" w:rsidRPr="00630129" w14:paraId="2B0FBDC7"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040D98E" w14:textId="77777777" w:rsidR="002A68CF" w:rsidRPr="00630129" w:rsidRDefault="001C7564">
            <w:pPr>
              <w:rPr>
                <w:sz w:val="20"/>
              </w:rPr>
            </w:pPr>
            <w:r w:rsidRPr="00630129">
              <w:rPr>
                <w:sz w:val="20"/>
              </w:rPr>
              <w:t>38</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2E7190B"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6B88985"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0809AF1"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0C4F168" w14:textId="77777777" w:rsidR="002A68CF" w:rsidRPr="00630129" w:rsidRDefault="001C7564">
            <w:pPr>
              <w:rPr>
                <w:sz w:val="20"/>
              </w:rPr>
            </w:pPr>
            <w:r w:rsidRPr="00630129">
              <w:rPr>
                <w:sz w:val="20"/>
              </w:rPr>
              <w:t>L</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E6E0529"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DC8E2C3"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4EB0501F"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5CFE83B6" w14:textId="77777777" w:rsidR="002A68CF" w:rsidRPr="00630129" w:rsidRDefault="001C7564">
            <w:pPr>
              <w:rPr>
                <w:sz w:val="20"/>
              </w:rPr>
            </w:pPr>
            <w:r w:rsidRPr="00630129">
              <w:rPr>
                <w:sz w:val="20"/>
              </w:rPr>
              <w:t>E</w:t>
            </w:r>
          </w:p>
        </w:tc>
      </w:tr>
      <w:tr w:rsidR="00630129" w:rsidRPr="00630129" w14:paraId="247887E3"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5F03AE9" w14:textId="77777777" w:rsidR="002A68CF" w:rsidRPr="00630129" w:rsidRDefault="001C7564">
            <w:pPr>
              <w:rPr>
                <w:sz w:val="20"/>
              </w:rPr>
            </w:pPr>
            <w:r w:rsidRPr="00630129">
              <w:rPr>
                <w:sz w:val="20"/>
              </w:rPr>
              <w:t>39</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C10B84A"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87AB8D6"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711CE4C"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1240A4F" w14:textId="77777777" w:rsidR="002A68CF" w:rsidRPr="00630129" w:rsidRDefault="001C7564">
            <w:pPr>
              <w:rPr>
                <w:sz w:val="20"/>
              </w:rPr>
            </w:pPr>
            <w:r w:rsidRPr="00630129">
              <w:rPr>
                <w:sz w:val="20"/>
              </w:rPr>
              <w:t>C</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EAC443A"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1C24282"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347E3C1C"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69D4D191" w14:textId="77777777" w:rsidR="002A68CF" w:rsidRPr="00630129" w:rsidRDefault="001C7564">
            <w:pPr>
              <w:rPr>
                <w:sz w:val="20"/>
              </w:rPr>
            </w:pPr>
            <w:r w:rsidRPr="00630129">
              <w:rPr>
                <w:sz w:val="20"/>
              </w:rPr>
              <w:t>E</w:t>
            </w:r>
          </w:p>
        </w:tc>
      </w:tr>
      <w:tr w:rsidR="00630129" w:rsidRPr="00630129" w14:paraId="69B3AD63"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F01CBA2" w14:textId="77777777" w:rsidR="002A68CF" w:rsidRPr="00630129" w:rsidRDefault="001C7564">
            <w:pPr>
              <w:rPr>
                <w:sz w:val="20"/>
              </w:rPr>
            </w:pPr>
            <w:r w:rsidRPr="00630129">
              <w:rPr>
                <w:sz w:val="20"/>
              </w:rPr>
              <w:t>40</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2EDDA39"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9D9846A"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8B9A9D3"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5B50342" w14:textId="77777777" w:rsidR="002A68CF" w:rsidRPr="00630129" w:rsidRDefault="001C7564">
            <w:pPr>
              <w:rPr>
                <w:sz w:val="20"/>
              </w:rPr>
            </w:pPr>
            <w:r w:rsidRPr="00630129">
              <w:rPr>
                <w:sz w:val="20"/>
              </w:rPr>
              <w:t>M</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C4ABB43"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9FEF3B2"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24D7E555"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0985B66A" w14:textId="77777777" w:rsidR="002A68CF" w:rsidRPr="00630129" w:rsidRDefault="001C7564">
            <w:pPr>
              <w:rPr>
                <w:sz w:val="20"/>
              </w:rPr>
            </w:pPr>
            <w:r w:rsidRPr="00630129">
              <w:rPr>
                <w:sz w:val="20"/>
              </w:rPr>
              <w:t>E</w:t>
            </w:r>
          </w:p>
        </w:tc>
      </w:tr>
      <w:tr w:rsidR="00630129" w:rsidRPr="00630129" w14:paraId="5329B8A8"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D0FA79A" w14:textId="77777777" w:rsidR="002A68CF" w:rsidRPr="00630129" w:rsidRDefault="001C7564">
            <w:pPr>
              <w:rPr>
                <w:sz w:val="20"/>
              </w:rPr>
            </w:pPr>
            <w:r w:rsidRPr="00630129">
              <w:rPr>
                <w:sz w:val="20"/>
              </w:rPr>
              <w:t>41</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C9D835B"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1C50DAE"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FAA9AF7"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F07A589" w14:textId="77777777" w:rsidR="002A68CF" w:rsidRPr="00630129" w:rsidRDefault="001C7564">
            <w:pPr>
              <w:rPr>
                <w:sz w:val="20"/>
              </w:rPr>
            </w:pPr>
            <w:r w:rsidRPr="00630129">
              <w:rPr>
                <w:sz w:val="20"/>
              </w:rPr>
              <w:t>L</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3664E44"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6D543D9"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3E9897B3"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7F008CE2" w14:textId="77777777" w:rsidR="002A68CF" w:rsidRPr="00630129" w:rsidRDefault="001C7564">
            <w:pPr>
              <w:rPr>
                <w:sz w:val="20"/>
              </w:rPr>
            </w:pPr>
            <w:r w:rsidRPr="00630129">
              <w:rPr>
                <w:sz w:val="20"/>
              </w:rPr>
              <w:t>E</w:t>
            </w:r>
          </w:p>
        </w:tc>
      </w:tr>
      <w:tr w:rsidR="00630129" w:rsidRPr="00630129" w14:paraId="153F8685"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29DD6EF" w14:textId="77777777" w:rsidR="002A68CF" w:rsidRPr="00630129" w:rsidRDefault="001C7564">
            <w:pPr>
              <w:rPr>
                <w:sz w:val="20"/>
              </w:rPr>
            </w:pPr>
            <w:r w:rsidRPr="00630129">
              <w:rPr>
                <w:sz w:val="20"/>
              </w:rPr>
              <w:t>42</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C4B3064" w14:textId="77777777" w:rsidR="002A68CF" w:rsidRPr="00630129" w:rsidRDefault="001C7564">
            <w:pPr>
              <w:rPr>
                <w:sz w:val="20"/>
              </w:rPr>
            </w:pPr>
            <w:r w:rsidRPr="00630129">
              <w:rPr>
                <w:sz w:val="20"/>
              </w:rPr>
              <w:t>AI</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B8C548E"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194AF78"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01C4704" w14:textId="77777777" w:rsidR="002A68CF" w:rsidRPr="00630129" w:rsidRDefault="001C7564">
            <w:pPr>
              <w:rPr>
                <w:sz w:val="20"/>
              </w:rPr>
            </w:pPr>
            <w:r w:rsidRPr="00630129">
              <w:rPr>
                <w:sz w:val="20"/>
              </w:rPr>
              <w:t>C</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7DD35AE"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C610F42"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52930F8C" w14:textId="77777777" w:rsidR="002A68CF" w:rsidRPr="00630129" w:rsidRDefault="001C7564">
            <w:pPr>
              <w:rPr>
                <w:sz w:val="20"/>
              </w:rPr>
            </w:pPr>
            <w:r w:rsidRPr="00630129">
              <w:rPr>
                <w:sz w:val="20"/>
              </w:rPr>
              <w:t>A</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6EC84D04" w14:textId="77777777" w:rsidR="002A68CF" w:rsidRPr="00630129" w:rsidRDefault="001C7564">
            <w:pPr>
              <w:rPr>
                <w:sz w:val="20"/>
              </w:rPr>
            </w:pPr>
            <w:r w:rsidRPr="00630129">
              <w:rPr>
                <w:sz w:val="20"/>
              </w:rPr>
              <w:t>F</w:t>
            </w:r>
          </w:p>
        </w:tc>
      </w:tr>
      <w:tr w:rsidR="00630129" w:rsidRPr="00630129" w14:paraId="6D0F22F6"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1185DBB" w14:textId="77777777" w:rsidR="002A68CF" w:rsidRPr="00630129" w:rsidRDefault="001C7564">
            <w:pPr>
              <w:rPr>
                <w:sz w:val="20"/>
              </w:rPr>
            </w:pPr>
            <w:r w:rsidRPr="00630129">
              <w:rPr>
                <w:sz w:val="20"/>
              </w:rPr>
              <w:t>43</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ED0985D" w14:textId="77777777" w:rsidR="002A68CF" w:rsidRPr="00630129" w:rsidRDefault="001C7564">
            <w:pPr>
              <w:rPr>
                <w:sz w:val="20"/>
              </w:rPr>
            </w:pPr>
            <w:r w:rsidRPr="00630129">
              <w:rPr>
                <w:sz w:val="20"/>
              </w:rPr>
              <w:t>AI</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37201EE"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7C0A848"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5049B10" w14:textId="77777777" w:rsidR="002A68CF" w:rsidRPr="00630129" w:rsidRDefault="001C7564">
            <w:pPr>
              <w:rPr>
                <w:sz w:val="20"/>
              </w:rPr>
            </w:pPr>
            <w:r w:rsidRPr="00630129">
              <w:rPr>
                <w:sz w:val="20"/>
              </w:rPr>
              <w:t>M</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CBD8489"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D925FCC"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237201C2" w14:textId="77777777" w:rsidR="002A68CF" w:rsidRPr="00630129" w:rsidRDefault="001C7564">
            <w:pPr>
              <w:rPr>
                <w:sz w:val="20"/>
              </w:rPr>
            </w:pPr>
            <w:r w:rsidRPr="00630129">
              <w:rPr>
                <w:sz w:val="20"/>
              </w:rPr>
              <w:t>A</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67BA31A3" w14:textId="77777777" w:rsidR="002A68CF" w:rsidRPr="00630129" w:rsidRDefault="001C7564">
            <w:pPr>
              <w:rPr>
                <w:sz w:val="20"/>
              </w:rPr>
            </w:pPr>
            <w:r w:rsidRPr="00630129">
              <w:rPr>
                <w:sz w:val="20"/>
              </w:rPr>
              <w:t>F</w:t>
            </w:r>
          </w:p>
        </w:tc>
      </w:tr>
      <w:tr w:rsidR="00630129" w:rsidRPr="00630129" w14:paraId="2E829186"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8BD3505" w14:textId="77777777" w:rsidR="002A68CF" w:rsidRPr="00630129" w:rsidRDefault="001C7564">
            <w:pPr>
              <w:rPr>
                <w:sz w:val="20"/>
              </w:rPr>
            </w:pPr>
            <w:r w:rsidRPr="00630129">
              <w:rPr>
                <w:sz w:val="20"/>
              </w:rPr>
              <w:t>44</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DA7F230" w14:textId="77777777" w:rsidR="002A68CF" w:rsidRPr="00630129" w:rsidRDefault="001C7564">
            <w:pPr>
              <w:rPr>
                <w:sz w:val="20"/>
              </w:rPr>
            </w:pPr>
            <w:r w:rsidRPr="00630129">
              <w:rPr>
                <w:sz w:val="20"/>
              </w:rPr>
              <w:t>AI</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F02C82B"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8C60452"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FA08A71" w14:textId="77777777" w:rsidR="002A68CF" w:rsidRPr="00630129" w:rsidRDefault="001C7564">
            <w:pPr>
              <w:rPr>
                <w:sz w:val="20"/>
              </w:rPr>
            </w:pPr>
            <w:r w:rsidRPr="00630129">
              <w:rPr>
                <w:sz w:val="20"/>
              </w:rPr>
              <w:t>L</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CEBE3EC"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093AA87"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1C01D60F" w14:textId="77777777" w:rsidR="002A68CF" w:rsidRPr="00630129" w:rsidRDefault="001C7564">
            <w:pPr>
              <w:rPr>
                <w:sz w:val="20"/>
              </w:rPr>
            </w:pPr>
            <w:r w:rsidRPr="00630129">
              <w:rPr>
                <w:sz w:val="20"/>
              </w:rPr>
              <w:t>A</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0D7DCF33" w14:textId="77777777" w:rsidR="002A68CF" w:rsidRPr="00630129" w:rsidRDefault="001C7564">
            <w:pPr>
              <w:rPr>
                <w:sz w:val="20"/>
              </w:rPr>
            </w:pPr>
            <w:r w:rsidRPr="00630129">
              <w:rPr>
                <w:sz w:val="20"/>
              </w:rPr>
              <w:t>F</w:t>
            </w:r>
          </w:p>
        </w:tc>
      </w:tr>
      <w:tr w:rsidR="00630129" w:rsidRPr="00630129" w14:paraId="2FA683D8"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2158BC8" w14:textId="77777777" w:rsidR="002A68CF" w:rsidRPr="00630129" w:rsidRDefault="001C7564">
            <w:pPr>
              <w:rPr>
                <w:sz w:val="20"/>
              </w:rPr>
            </w:pPr>
            <w:r w:rsidRPr="00630129">
              <w:rPr>
                <w:sz w:val="20"/>
              </w:rPr>
              <w:t>45</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FA06A25" w14:textId="77777777" w:rsidR="002A68CF" w:rsidRPr="00630129" w:rsidRDefault="001C7564">
            <w:pPr>
              <w:rPr>
                <w:sz w:val="20"/>
              </w:rPr>
            </w:pPr>
            <w:r w:rsidRPr="00630129">
              <w:rPr>
                <w:sz w:val="20"/>
              </w:rPr>
              <w:t>AI</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814FC42"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81E62B1"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0BCFDBD" w14:textId="77777777" w:rsidR="002A68CF" w:rsidRPr="00630129" w:rsidRDefault="001C7564">
            <w:pPr>
              <w:rPr>
                <w:sz w:val="20"/>
              </w:rPr>
            </w:pPr>
            <w:r w:rsidRPr="00630129">
              <w:rPr>
                <w:sz w:val="20"/>
              </w:rPr>
              <w:t>C</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D5F028C"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0F161E5"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1745480A" w14:textId="77777777" w:rsidR="002A68CF" w:rsidRPr="00630129" w:rsidRDefault="001C7564">
            <w:pPr>
              <w:rPr>
                <w:sz w:val="20"/>
              </w:rPr>
            </w:pPr>
            <w:r w:rsidRPr="00630129">
              <w:rPr>
                <w:sz w:val="20"/>
              </w:rPr>
              <w:t>A</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57E963CD" w14:textId="77777777" w:rsidR="002A68CF" w:rsidRPr="00630129" w:rsidRDefault="001C7564">
            <w:pPr>
              <w:rPr>
                <w:sz w:val="20"/>
              </w:rPr>
            </w:pPr>
            <w:r w:rsidRPr="00630129">
              <w:rPr>
                <w:sz w:val="20"/>
              </w:rPr>
              <w:t>F</w:t>
            </w:r>
          </w:p>
        </w:tc>
      </w:tr>
      <w:tr w:rsidR="00630129" w:rsidRPr="00630129" w14:paraId="0CC50293"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21CBD2D" w14:textId="77777777" w:rsidR="002A68CF" w:rsidRPr="00630129" w:rsidRDefault="001C7564">
            <w:pPr>
              <w:rPr>
                <w:sz w:val="20"/>
              </w:rPr>
            </w:pPr>
            <w:r w:rsidRPr="00630129">
              <w:rPr>
                <w:sz w:val="20"/>
              </w:rPr>
              <w:t>46</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3923AAB" w14:textId="77777777" w:rsidR="002A68CF" w:rsidRPr="00630129" w:rsidRDefault="001C7564">
            <w:pPr>
              <w:rPr>
                <w:sz w:val="20"/>
              </w:rPr>
            </w:pPr>
            <w:r w:rsidRPr="00630129">
              <w:rPr>
                <w:sz w:val="20"/>
              </w:rPr>
              <w:t>AI</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BE18B5C"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6AC2F12"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696BFE6" w14:textId="77777777" w:rsidR="002A68CF" w:rsidRPr="00630129" w:rsidRDefault="001C7564">
            <w:pPr>
              <w:rPr>
                <w:sz w:val="20"/>
              </w:rPr>
            </w:pPr>
            <w:r w:rsidRPr="00630129">
              <w:rPr>
                <w:sz w:val="20"/>
              </w:rPr>
              <w:t>M</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04CA5DC"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783B174"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523B8263" w14:textId="77777777" w:rsidR="002A68CF" w:rsidRPr="00630129" w:rsidRDefault="001C7564">
            <w:pPr>
              <w:rPr>
                <w:sz w:val="20"/>
              </w:rPr>
            </w:pPr>
            <w:r w:rsidRPr="00630129">
              <w:rPr>
                <w:sz w:val="20"/>
              </w:rPr>
              <w:t>A</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5005E23C" w14:textId="77777777" w:rsidR="002A68CF" w:rsidRPr="00630129" w:rsidRDefault="001C7564">
            <w:pPr>
              <w:rPr>
                <w:sz w:val="20"/>
              </w:rPr>
            </w:pPr>
            <w:r w:rsidRPr="00630129">
              <w:rPr>
                <w:sz w:val="20"/>
              </w:rPr>
              <w:t>F</w:t>
            </w:r>
          </w:p>
        </w:tc>
      </w:tr>
      <w:tr w:rsidR="00630129" w:rsidRPr="00630129" w14:paraId="7595375F"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D006EA8" w14:textId="77777777" w:rsidR="002A68CF" w:rsidRPr="00630129" w:rsidRDefault="001C7564">
            <w:pPr>
              <w:rPr>
                <w:sz w:val="20"/>
              </w:rPr>
            </w:pPr>
            <w:r w:rsidRPr="00630129">
              <w:rPr>
                <w:sz w:val="20"/>
              </w:rPr>
              <w:t>47</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4A21826" w14:textId="77777777" w:rsidR="002A68CF" w:rsidRPr="00630129" w:rsidRDefault="001C7564">
            <w:pPr>
              <w:rPr>
                <w:sz w:val="20"/>
              </w:rPr>
            </w:pPr>
            <w:r w:rsidRPr="00630129">
              <w:rPr>
                <w:sz w:val="20"/>
              </w:rPr>
              <w:t>AI</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98519B0"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2372B08"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97AD7A7" w14:textId="77777777" w:rsidR="002A68CF" w:rsidRPr="00630129" w:rsidRDefault="001C7564">
            <w:pPr>
              <w:rPr>
                <w:sz w:val="20"/>
              </w:rPr>
            </w:pPr>
            <w:r w:rsidRPr="00630129">
              <w:rPr>
                <w:sz w:val="20"/>
              </w:rPr>
              <w:t>L</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8B0045A"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3A3ACA3"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1922CF0C" w14:textId="77777777" w:rsidR="002A68CF" w:rsidRPr="00630129" w:rsidRDefault="001C7564">
            <w:pPr>
              <w:rPr>
                <w:sz w:val="20"/>
              </w:rPr>
            </w:pPr>
            <w:r w:rsidRPr="00630129">
              <w:rPr>
                <w:sz w:val="20"/>
              </w:rPr>
              <w:t>A</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676DAD10" w14:textId="77777777" w:rsidR="002A68CF" w:rsidRPr="00630129" w:rsidRDefault="001C7564">
            <w:pPr>
              <w:rPr>
                <w:sz w:val="20"/>
              </w:rPr>
            </w:pPr>
            <w:r w:rsidRPr="00630129">
              <w:rPr>
                <w:sz w:val="20"/>
              </w:rPr>
              <w:t>F</w:t>
            </w:r>
          </w:p>
        </w:tc>
      </w:tr>
      <w:tr w:rsidR="00630129" w:rsidRPr="00630129" w14:paraId="2FB9E5EE"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87A1B50" w14:textId="77777777" w:rsidR="002A68CF" w:rsidRPr="00630129" w:rsidRDefault="001C7564">
            <w:pPr>
              <w:rPr>
                <w:sz w:val="20"/>
              </w:rPr>
            </w:pPr>
            <w:r w:rsidRPr="00630129">
              <w:rPr>
                <w:sz w:val="20"/>
              </w:rPr>
              <w:t>48</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F76CA2A"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B36A213"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9F46D45"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110DD03" w14:textId="77777777" w:rsidR="002A68CF" w:rsidRPr="00630129" w:rsidRDefault="001C7564">
            <w:pPr>
              <w:rPr>
                <w:sz w:val="20"/>
              </w:rPr>
            </w:pPr>
            <w:r w:rsidRPr="00630129">
              <w:rPr>
                <w:sz w:val="20"/>
              </w:rPr>
              <w:t>C</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EFB99FA"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54ED626"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4C7A50D6"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0B7C0434" w14:textId="77777777" w:rsidR="002A68CF" w:rsidRPr="00630129" w:rsidRDefault="001C7564">
            <w:pPr>
              <w:rPr>
                <w:sz w:val="20"/>
              </w:rPr>
            </w:pPr>
            <w:r w:rsidRPr="00630129">
              <w:rPr>
                <w:sz w:val="20"/>
              </w:rPr>
              <w:t>F</w:t>
            </w:r>
          </w:p>
        </w:tc>
      </w:tr>
      <w:tr w:rsidR="00630129" w:rsidRPr="00630129" w14:paraId="7C080A26"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9B6A74B" w14:textId="77777777" w:rsidR="002A68CF" w:rsidRPr="00630129" w:rsidRDefault="001C7564">
            <w:pPr>
              <w:rPr>
                <w:sz w:val="20"/>
              </w:rPr>
            </w:pPr>
            <w:r w:rsidRPr="00630129">
              <w:rPr>
                <w:sz w:val="20"/>
              </w:rPr>
              <w:t>49</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F3C94D4"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22665C8"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61B582F"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212FB8F" w14:textId="77777777" w:rsidR="002A68CF" w:rsidRPr="00630129" w:rsidRDefault="001C7564">
            <w:pPr>
              <w:rPr>
                <w:sz w:val="20"/>
              </w:rPr>
            </w:pPr>
            <w:r w:rsidRPr="00630129">
              <w:rPr>
                <w:sz w:val="20"/>
              </w:rPr>
              <w:t>M</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D4979C8"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6D1EFE2"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2EEC7F41"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41DAA566" w14:textId="77777777" w:rsidR="002A68CF" w:rsidRPr="00630129" w:rsidRDefault="001C7564">
            <w:pPr>
              <w:rPr>
                <w:sz w:val="20"/>
              </w:rPr>
            </w:pPr>
            <w:r w:rsidRPr="00630129">
              <w:rPr>
                <w:sz w:val="20"/>
              </w:rPr>
              <w:t>F</w:t>
            </w:r>
          </w:p>
        </w:tc>
      </w:tr>
      <w:tr w:rsidR="00630129" w:rsidRPr="00630129" w14:paraId="77E42045"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B7A5AAD" w14:textId="77777777" w:rsidR="002A68CF" w:rsidRPr="00630129" w:rsidRDefault="001C7564">
            <w:pPr>
              <w:rPr>
                <w:sz w:val="20"/>
              </w:rPr>
            </w:pPr>
            <w:r w:rsidRPr="00630129">
              <w:rPr>
                <w:sz w:val="20"/>
              </w:rPr>
              <w:t>50</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FF576E3"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6DECCB8"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C6051D6"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63051EB" w14:textId="77777777" w:rsidR="002A68CF" w:rsidRPr="00630129" w:rsidRDefault="001C7564">
            <w:pPr>
              <w:rPr>
                <w:sz w:val="20"/>
              </w:rPr>
            </w:pPr>
            <w:r w:rsidRPr="00630129">
              <w:rPr>
                <w:sz w:val="20"/>
              </w:rPr>
              <w:t>L</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6C34951"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CE04A99"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139A7C78"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28A5B381" w14:textId="77777777" w:rsidR="002A68CF" w:rsidRPr="00630129" w:rsidRDefault="001C7564">
            <w:pPr>
              <w:rPr>
                <w:sz w:val="20"/>
              </w:rPr>
            </w:pPr>
            <w:r w:rsidRPr="00630129">
              <w:rPr>
                <w:sz w:val="20"/>
              </w:rPr>
              <w:t>F</w:t>
            </w:r>
          </w:p>
        </w:tc>
      </w:tr>
      <w:tr w:rsidR="00630129" w:rsidRPr="00630129" w14:paraId="342000D1"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5B6F10E" w14:textId="77777777" w:rsidR="002A68CF" w:rsidRPr="00630129" w:rsidRDefault="001C7564">
            <w:pPr>
              <w:rPr>
                <w:sz w:val="20"/>
              </w:rPr>
            </w:pPr>
            <w:r w:rsidRPr="00630129">
              <w:rPr>
                <w:sz w:val="20"/>
              </w:rPr>
              <w:lastRenderedPageBreak/>
              <w:t>51</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64A4E79"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BB14E1F"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C0EF71E"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52B1D7A" w14:textId="77777777" w:rsidR="002A68CF" w:rsidRPr="00630129" w:rsidRDefault="001C7564">
            <w:pPr>
              <w:rPr>
                <w:sz w:val="20"/>
              </w:rPr>
            </w:pPr>
            <w:r w:rsidRPr="00630129">
              <w:rPr>
                <w:sz w:val="20"/>
              </w:rPr>
              <w:t>C</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216BA86"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CFE5B0E"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24F800A7"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593DD4F8" w14:textId="77777777" w:rsidR="002A68CF" w:rsidRPr="00630129" w:rsidRDefault="001C7564">
            <w:pPr>
              <w:rPr>
                <w:sz w:val="20"/>
              </w:rPr>
            </w:pPr>
            <w:r w:rsidRPr="00630129">
              <w:rPr>
                <w:sz w:val="20"/>
              </w:rPr>
              <w:t>F</w:t>
            </w:r>
          </w:p>
        </w:tc>
      </w:tr>
      <w:tr w:rsidR="00630129" w:rsidRPr="00630129" w14:paraId="2EC938A7"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ACC19C8" w14:textId="77777777" w:rsidR="002A68CF" w:rsidRPr="00630129" w:rsidRDefault="001C7564">
            <w:pPr>
              <w:rPr>
                <w:sz w:val="20"/>
              </w:rPr>
            </w:pPr>
            <w:r w:rsidRPr="00630129">
              <w:rPr>
                <w:sz w:val="20"/>
              </w:rPr>
              <w:t>52</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305EEEB"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5AB5801"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95C05C3"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A55FD27" w14:textId="77777777" w:rsidR="002A68CF" w:rsidRPr="00630129" w:rsidRDefault="001C7564">
            <w:pPr>
              <w:rPr>
                <w:sz w:val="20"/>
              </w:rPr>
            </w:pPr>
            <w:r w:rsidRPr="00630129">
              <w:rPr>
                <w:sz w:val="20"/>
              </w:rPr>
              <w:t>M</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FDDAFFD"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6B5492F"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53C58CD4"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5CB88B6A" w14:textId="77777777" w:rsidR="002A68CF" w:rsidRPr="00630129" w:rsidRDefault="001C7564">
            <w:pPr>
              <w:rPr>
                <w:sz w:val="20"/>
              </w:rPr>
            </w:pPr>
            <w:r w:rsidRPr="00630129">
              <w:rPr>
                <w:sz w:val="20"/>
              </w:rPr>
              <w:t>F</w:t>
            </w:r>
          </w:p>
        </w:tc>
      </w:tr>
      <w:tr w:rsidR="00630129" w:rsidRPr="00630129" w14:paraId="3431460B"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88F1BA8" w14:textId="77777777" w:rsidR="002A68CF" w:rsidRPr="00630129" w:rsidRDefault="001C7564">
            <w:pPr>
              <w:rPr>
                <w:sz w:val="20"/>
              </w:rPr>
            </w:pPr>
            <w:r w:rsidRPr="00630129">
              <w:rPr>
                <w:sz w:val="20"/>
              </w:rPr>
              <w:t>53</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524F6B1"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618A51E"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A8327F2"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4A043A9" w14:textId="77777777" w:rsidR="002A68CF" w:rsidRPr="00630129" w:rsidRDefault="001C7564">
            <w:pPr>
              <w:rPr>
                <w:sz w:val="20"/>
              </w:rPr>
            </w:pPr>
            <w:r w:rsidRPr="00630129">
              <w:rPr>
                <w:sz w:val="20"/>
              </w:rPr>
              <w:t>L</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3506E95"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FAF08D8"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68F32194"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525C262C" w14:textId="77777777" w:rsidR="002A68CF" w:rsidRPr="00630129" w:rsidRDefault="001C7564">
            <w:pPr>
              <w:rPr>
                <w:sz w:val="20"/>
              </w:rPr>
            </w:pPr>
            <w:r w:rsidRPr="00630129">
              <w:rPr>
                <w:sz w:val="20"/>
              </w:rPr>
              <w:t>F</w:t>
            </w:r>
          </w:p>
        </w:tc>
      </w:tr>
      <w:tr w:rsidR="00630129" w:rsidRPr="00630129" w14:paraId="62A006EE"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158E897" w14:textId="77777777" w:rsidR="002A68CF" w:rsidRPr="00630129" w:rsidRDefault="001C7564">
            <w:pPr>
              <w:rPr>
                <w:sz w:val="20"/>
              </w:rPr>
            </w:pPr>
            <w:r w:rsidRPr="00630129">
              <w:rPr>
                <w:sz w:val="20"/>
              </w:rPr>
              <w:t>54</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ADFC578" w14:textId="77777777" w:rsidR="002A68CF" w:rsidRPr="00630129" w:rsidRDefault="001C7564">
            <w:pPr>
              <w:rPr>
                <w:sz w:val="20"/>
              </w:rPr>
            </w:pPr>
            <w:r w:rsidRPr="00630129">
              <w:rPr>
                <w:sz w:val="20"/>
              </w:rPr>
              <w:t>AI</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5A7538D"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F3D2296"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764B094" w14:textId="77777777" w:rsidR="002A68CF" w:rsidRPr="00630129" w:rsidRDefault="001C7564">
            <w:pPr>
              <w:rPr>
                <w:sz w:val="20"/>
              </w:rPr>
            </w:pPr>
            <w:r w:rsidRPr="00630129">
              <w:rPr>
                <w:sz w:val="20"/>
              </w:rPr>
              <w:t>C</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CD700AB"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F419755"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7257716A" w14:textId="77777777" w:rsidR="002A68CF" w:rsidRPr="00630129" w:rsidRDefault="001C7564">
            <w:pPr>
              <w:rPr>
                <w:sz w:val="20"/>
              </w:rPr>
            </w:pPr>
            <w:r w:rsidRPr="00630129">
              <w:rPr>
                <w:sz w:val="20"/>
              </w:rPr>
              <w:t>A</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1FA6F209" w14:textId="77777777" w:rsidR="002A68CF" w:rsidRPr="00630129" w:rsidRDefault="001C7564">
            <w:pPr>
              <w:rPr>
                <w:sz w:val="20"/>
              </w:rPr>
            </w:pPr>
            <w:r w:rsidRPr="00630129">
              <w:rPr>
                <w:sz w:val="20"/>
              </w:rPr>
              <w:t>G</w:t>
            </w:r>
          </w:p>
        </w:tc>
      </w:tr>
      <w:tr w:rsidR="00630129" w:rsidRPr="00630129" w14:paraId="487E35B5"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036B320" w14:textId="77777777" w:rsidR="002A68CF" w:rsidRPr="00630129" w:rsidRDefault="001C7564">
            <w:pPr>
              <w:rPr>
                <w:sz w:val="20"/>
              </w:rPr>
            </w:pPr>
            <w:r w:rsidRPr="00630129">
              <w:rPr>
                <w:sz w:val="20"/>
              </w:rPr>
              <w:t>55</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D82A439" w14:textId="77777777" w:rsidR="002A68CF" w:rsidRPr="00630129" w:rsidRDefault="001C7564">
            <w:pPr>
              <w:rPr>
                <w:sz w:val="20"/>
              </w:rPr>
            </w:pPr>
            <w:r w:rsidRPr="00630129">
              <w:rPr>
                <w:sz w:val="20"/>
              </w:rPr>
              <w:t>AI</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7E2F121"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8495156"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FC21B9E" w14:textId="77777777" w:rsidR="002A68CF" w:rsidRPr="00630129" w:rsidRDefault="001C7564">
            <w:pPr>
              <w:rPr>
                <w:sz w:val="20"/>
              </w:rPr>
            </w:pPr>
            <w:r w:rsidRPr="00630129">
              <w:rPr>
                <w:sz w:val="20"/>
              </w:rPr>
              <w:t>M</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4AA7244"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9EE438B"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64A1DEBF" w14:textId="77777777" w:rsidR="002A68CF" w:rsidRPr="00630129" w:rsidRDefault="001C7564">
            <w:pPr>
              <w:rPr>
                <w:sz w:val="20"/>
              </w:rPr>
            </w:pPr>
            <w:r w:rsidRPr="00630129">
              <w:rPr>
                <w:sz w:val="20"/>
              </w:rPr>
              <w:t>A</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30EB2885" w14:textId="77777777" w:rsidR="002A68CF" w:rsidRPr="00630129" w:rsidRDefault="001C7564">
            <w:pPr>
              <w:rPr>
                <w:sz w:val="20"/>
              </w:rPr>
            </w:pPr>
            <w:r w:rsidRPr="00630129">
              <w:rPr>
                <w:sz w:val="20"/>
              </w:rPr>
              <w:t>G</w:t>
            </w:r>
          </w:p>
        </w:tc>
      </w:tr>
      <w:tr w:rsidR="00630129" w:rsidRPr="00630129" w14:paraId="207A6814"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CDF2DDB" w14:textId="77777777" w:rsidR="002A68CF" w:rsidRPr="00630129" w:rsidRDefault="001C7564">
            <w:pPr>
              <w:rPr>
                <w:sz w:val="20"/>
              </w:rPr>
            </w:pPr>
            <w:r w:rsidRPr="00630129">
              <w:rPr>
                <w:sz w:val="20"/>
              </w:rPr>
              <w:t>56</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8EF00E1" w14:textId="77777777" w:rsidR="002A68CF" w:rsidRPr="00630129" w:rsidRDefault="001C7564">
            <w:pPr>
              <w:rPr>
                <w:sz w:val="20"/>
              </w:rPr>
            </w:pPr>
            <w:r w:rsidRPr="00630129">
              <w:rPr>
                <w:sz w:val="20"/>
              </w:rPr>
              <w:t>AI</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40174CE"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6EADE19"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B574811" w14:textId="77777777" w:rsidR="002A68CF" w:rsidRPr="00630129" w:rsidRDefault="001C7564">
            <w:pPr>
              <w:rPr>
                <w:sz w:val="20"/>
              </w:rPr>
            </w:pPr>
            <w:r w:rsidRPr="00630129">
              <w:rPr>
                <w:sz w:val="20"/>
              </w:rPr>
              <w:t>L</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E7465A1"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26BA6D5"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36EC0EF3" w14:textId="77777777" w:rsidR="002A68CF" w:rsidRPr="00630129" w:rsidRDefault="001C7564">
            <w:pPr>
              <w:rPr>
                <w:sz w:val="20"/>
              </w:rPr>
            </w:pPr>
            <w:r w:rsidRPr="00630129">
              <w:rPr>
                <w:sz w:val="20"/>
              </w:rPr>
              <w:t>A</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19064464" w14:textId="77777777" w:rsidR="002A68CF" w:rsidRPr="00630129" w:rsidRDefault="001C7564">
            <w:pPr>
              <w:rPr>
                <w:sz w:val="20"/>
              </w:rPr>
            </w:pPr>
            <w:r w:rsidRPr="00630129">
              <w:rPr>
                <w:sz w:val="20"/>
              </w:rPr>
              <w:t>G</w:t>
            </w:r>
          </w:p>
        </w:tc>
      </w:tr>
      <w:tr w:rsidR="00630129" w:rsidRPr="00630129" w14:paraId="1A5195AE"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2F78024" w14:textId="77777777" w:rsidR="002A68CF" w:rsidRPr="00630129" w:rsidRDefault="001C7564">
            <w:pPr>
              <w:rPr>
                <w:sz w:val="20"/>
              </w:rPr>
            </w:pPr>
            <w:r w:rsidRPr="00630129">
              <w:rPr>
                <w:sz w:val="20"/>
              </w:rPr>
              <w:t>57</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BFB9362" w14:textId="77777777" w:rsidR="002A68CF" w:rsidRPr="00630129" w:rsidRDefault="001C7564">
            <w:pPr>
              <w:rPr>
                <w:sz w:val="20"/>
              </w:rPr>
            </w:pPr>
            <w:r w:rsidRPr="00630129">
              <w:rPr>
                <w:sz w:val="20"/>
              </w:rPr>
              <w:t>AI</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D51FA2F"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CF79FEA"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2BE8863" w14:textId="77777777" w:rsidR="002A68CF" w:rsidRPr="00630129" w:rsidRDefault="001C7564">
            <w:pPr>
              <w:rPr>
                <w:sz w:val="20"/>
              </w:rPr>
            </w:pPr>
            <w:r w:rsidRPr="00630129">
              <w:rPr>
                <w:sz w:val="20"/>
              </w:rPr>
              <w:t>C</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282F02B"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4446FEB"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30868375" w14:textId="77777777" w:rsidR="002A68CF" w:rsidRPr="00630129" w:rsidRDefault="001C7564">
            <w:pPr>
              <w:rPr>
                <w:sz w:val="20"/>
              </w:rPr>
            </w:pPr>
            <w:r w:rsidRPr="00630129">
              <w:rPr>
                <w:sz w:val="20"/>
              </w:rPr>
              <w:t>A</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336DE75C" w14:textId="77777777" w:rsidR="002A68CF" w:rsidRPr="00630129" w:rsidRDefault="001C7564">
            <w:pPr>
              <w:rPr>
                <w:sz w:val="20"/>
              </w:rPr>
            </w:pPr>
            <w:r w:rsidRPr="00630129">
              <w:rPr>
                <w:sz w:val="20"/>
              </w:rPr>
              <w:t>G</w:t>
            </w:r>
          </w:p>
        </w:tc>
      </w:tr>
      <w:tr w:rsidR="00630129" w:rsidRPr="00630129" w14:paraId="17C3A8EE"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6E80535" w14:textId="77777777" w:rsidR="002A68CF" w:rsidRPr="00630129" w:rsidRDefault="001C7564">
            <w:pPr>
              <w:rPr>
                <w:sz w:val="20"/>
              </w:rPr>
            </w:pPr>
            <w:r w:rsidRPr="00630129">
              <w:rPr>
                <w:sz w:val="20"/>
              </w:rPr>
              <w:t>58</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E1CA9A8" w14:textId="77777777" w:rsidR="002A68CF" w:rsidRPr="00630129" w:rsidRDefault="001C7564">
            <w:pPr>
              <w:rPr>
                <w:sz w:val="20"/>
              </w:rPr>
            </w:pPr>
            <w:r w:rsidRPr="00630129">
              <w:rPr>
                <w:sz w:val="20"/>
              </w:rPr>
              <w:t>AI</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CA55EFC"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F39B1EE"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36BBCC5" w14:textId="77777777" w:rsidR="002A68CF" w:rsidRPr="00630129" w:rsidRDefault="001C7564">
            <w:pPr>
              <w:rPr>
                <w:sz w:val="20"/>
              </w:rPr>
            </w:pPr>
            <w:r w:rsidRPr="00630129">
              <w:rPr>
                <w:sz w:val="20"/>
              </w:rPr>
              <w:t>M</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735AC14"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117654B"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4995A28C" w14:textId="77777777" w:rsidR="002A68CF" w:rsidRPr="00630129" w:rsidRDefault="001C7564">
            <w:pPr>
              <w:rPr>
                <w:sz w:val="20"/>
              </w:rPr>
            </w:pPr>
            <w:r w:rsidRPr="00630129">
              <w:rPr>
                <w:sz w:val="20"/>
              </w:rPr>
              <w:t>A</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0C89A676" w14:textId="77777777" w:rsidR="002A68CF" w:rsidRPr="00630129" w:rsidRDefault="001C7564">
            <w:pPr>
              <w:rPr>
                <w:sz w:val="20"/>
              </w:rPr>
            </w:pPr>
            <w:r w:rsidRPr="00630129">
              <w:rPr>
                <w:sz w:val="20"/>
              </w:rPr>
              <w:t>G</w:t>
            </w:r>
          </w:p>
        </w:tc>
      </w:tr>
      <w:tr w:rsidR="00630129" w:rsidRPr="00630129" w14:paraId="4FAEBB52"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8345E72" w14:textId="77777777" w:rsidR="002A68CF" w:rsidRPr="00630129" w:rsidRDefault="001C7564">
            <w:pPr>
              <w:rPr>
                <w:sz w:val="20"/>
              </w:rPr>
            </w:pPr>
            <w:r w:rsidRPr="00630129">
              <w:rPr>
                <w:sz w:val="20"/>
              </w:rPr>
              <w:t>59</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C1806CB" w14:textId="77777777" w:rsidR="002A68CF" w:rsidRPr="00630129" w:rsidRDefault="001C7564">
            <w:pPr>
              <w:rPr>
                <w:sz w:val="20"/>
              </w:rPr>
            </w:pPr>
            <w:r w:rsidRPr="00630129">
              <w:rPr>
                <w:sz w:val="20"/>
              </w:rPr>
              <w:t>AI</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0C9693E"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9D76503"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74AF6BC" w14:textId="77777777" w:rsidR="002A68CF" w:rsidRPr="00630129" w:rsidRDefault="001C7564">
            <w:pPr>
              <w:rPr>
                <w:sz w:val="20"/>
              </w:rPr>
            </w:pPr>
            <w:r w:rsidRPr="00630129">
              <w:rPr>
                <w:sz w:val="20"/>
              </w:rPr>
              <w:t>L</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1E8718D"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D58ED3C"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07920DC9" w14:textId="77777777" w:rsidR="002A68CF" w:rsidRPr="00630129" w:rsidRDefault="001C7564">
            <w:pPr>
              <w:rPr>
                <w:sz w:val="20"/>
              </w:rPr>
            </w:pPr>
            <w:r w:rsidRPr="00630129">
              <w:rPr>
                <w:sz w:val="20"/>
              </w:rPr>
              <w:t>A</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09279C95" w14:textId="77777777" w:rsidR="002A68CF" w:rsidRPr="00630129" w:rsidRDefault="001C7564">
            <w:pPr>
              <w:rPr>
                <w:sz w:val="20"/>
              </w:rPr>
            </w:pPr>
            <w:r w:rsidRPr="00630129">
              <w:rPr>
                <w:sz w:val="20"/>
              </w:rPr>
              <w:t>G</w:t>
            </w:r>
          </w:p>
        </w:tc>
      </w:tr>
      <w:tr w:rsidR="00630129" w:rsidRPr="00630129" w14:paraId="1D269C71"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D5525A8" w14:textId="77777777" w:rsidR="002A68CF" w:rsidRPr="00630129" w:rsidRDefault="001C7564">
            <w:pPr>
              <w:rPr>
                <w:sz w:val="20"/>
              </w:rPr>
            </w:pPr>
            <w:r w:rsidRPr="00630129">
              <w:rPr>
                <w:sz w:val="20"/>
              </w:rPr>
              <w:t>60</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6929B50"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15D1A84"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BCEF43F"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D7CFADD" w14:textId="77777777" w:rsidR="002A68CF" w:rsidRPr="00630129" w:rsidRDefault="001C7564">
            <w:pPr>
              <w:rPr>
                <w:sz w:val="20"/>
              </w:rPr>
            </w:pPr>
            <w:r w:rsidRPr="00630129">
              <w:rPr>
                <w:sz w:val="20"/>
              </w:rPr>
              <w:t>C</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EB0DDE8"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23DDD3B"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3A5CF301"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1AE34DA6" w14:textId="77777777" w:rsidR="002A68CF" w:rsidRPr="00630129" w:rsidRDefault="001C7564">
            <w:pPr>
              <w:rPr>
                <w:sz w:val="20"/>
              </w:rPr>
            </w:pPr>
            <w:r w:rsidRPr="00630129">
              <w:rPr>
                <w:sz w:val="20"/>
              </w:rPr>
              <w:t>G</w:t>
            </w:r>
          </w:p>
        </w:tc>
      </w:tr>
      <w:tr w:rsidR="00630129" w:rsidRPr="00630129" w14:paraId="0EDFE500"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D4C6B4C" w14:textId="77777777" w:rsidR="002A68CF" w:rsidRPr="00630129" w:rsidRDefault="001C7564">
            <w:pPr>
              <w:rPr>
                <w:sz w:val="20"/>
              </w:rPr>
            </w:pPr>
            <w:r w:rsidRPr="00630129">
              <w:rPr>
                <w:sz w:val="20"/>
              </w:rPr>
              <w:t>61</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7BD310E"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00FB609"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5C749D8"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9689D64" w14:textId="77777777" w:rsidR="002A68CF" w:rsidRPr="00630129" w:rsidRDefault="001C7564">
            <w:pPr>
              <w:rPr>
                <w:sz w:val="20"/>
              </w:rPr>
            </w:pPr>
            <w:r w:rsidRPr="00630129">
              <w:rPr>
                <w:sz w:val="20"/>
              </w:rPr>
              <w:t>M</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D6AC876"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4994D7A"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683E2FC3"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34BB4201" w14:textId="77777777" w:rsidR="002A68CF" w:rsidRPr="00630129" w:rsidRDefault="001C7564">
            <w:pPr>
              <w:rPr>
                <w:sz w:val="20"/>
              </w:rPr>
            </w:pPr>
            <w:r w:rsidRPr="00630129">
              <w:rPr>
                <w:sz w:val="20"/>
              </w:rPr>
              <w:t>G</w:t>
            </w:r>
          </w:p>
        </w:tc>
      </w:tr>
      <w:tr w:rsidR="00630129" w:rsidRPr="00630129" w14:paraId="64634B51"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E60F329" w14:textId="77777777" w:rsidR="002A68CF" w:rsidRPr="00630129" w:rsidRDefault="001C7564">
            <w:pPr>
              <w:rPr>
                <w:sz w:val="20"/>
              </w:rPr>
            </w:pPr>
            <w:r w:rsidRPr="00630129">
              <w:rPr>
                <w:sz w:val="20"/>
              </w:rPr>
              <w:t>62</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85D54A5"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F85153C"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F8C69B9"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8C0D09F" w14:textId="77777777" w:rsidR="002A68CF" w:rsidRPr="00630129" w:rsidRDefault="001C7564">
            <w:pPr>
              <w:rPr>
                <w:sz w:val="20"/>
              </w:rPr>
            </w:pPr>
            <w:r w:rsidRPr="00630129">
              <w:rPr>
                <w:sz w:val="20"/>
              </w:rPr>
              <w:t>L</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8104B9C" w14:textId="77777777" w:rsidR="002A68CF" w:rsidRPr="00630129" w:rsidRDefault="001C7564">
            <w:pPr>
              <w:rPr>
                <w:sz w:val="20"/>
              </w:rPr>
            </w:pPr>
            <w:r w:rsidRPr="00630129">
              <w:rPr>
                <w:sz w:val="20"/>
              </w:rPr>
              <w:t>A</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2431966F"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1D64F66B"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454E3565" w14:textId="77777777" w:rsidR="002A68CF" w:rsidRPr="00630129" w:rsidRDefault="001C7564">
            <w:pPr>
              <w:rPr>
                <w:sz w:val="20"/>
              </w:rPr>
            </w:pPr>
            <w:r w:rsidRPr="00630129">
              <w:rPr>
                <w:sz w:val="20"/>
              </w:rPr>
              <w:t>G</w:t>
            </w:r>
          </w:p>
        </w:tc>
      </w:tr>
      <w:tr w:rsidR="00630129" w:rsidRPr="00630129" w14:paraId="37A9477D"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04D4448" w14:textId="77777777" w:rsidR="002A68CF" w:rsidRPr="00630129" w:rsidRDefault="001C7564">
            <w:pPr>
              <w:rPr>
                <w:sz w:val="20"/>
              </w:rPr>
            </w:pPr>
            <w:r w:rsidRPr="00630129">
              <w:rPr>
                <w:sz w:val="20"/>
              </w:rPr>
              <w:t>63</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F41608A"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A215491"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BB60E9F"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25BE2B3" w14:textId="77777777" w:rsidR="002A68CF" w:rsidRPr="00630129" w:rsidRDefault="001C7564">
            <w:pPr>
              <w:rPr>
                <w:sz w:val="20"/>
              </w:rPr>
            </w:pPr>
            <w:r w:rsidRPr="00630129">
              <w:rPr>
                <w:sz w:val="20"/>
              </w:rPr>
              <w:t>C</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A14A718"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55B3B28"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07F9358B"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7E87B7F6" w14:textId="77777777" w:rsidR="002A68CF" w:rsidRPr="00630129" w:rsidRDefault="001C7564">
            <w:pPr>
              <w:rPr>
                <w:sz w:val="20"/>
              </w:rPr>
            </w:pPr>
            <w:r w:rsidRPr="00630129">
              <w:rPr>
                <w:sz w:val="20"/>
              </w:rPr>
              <w:t>G</w:t>
            </w:r>
          </w:p>
        </w:tc>
      </w:tr>
      <w:tr w:rsidR="00630129" w:rsidRPr="00630129" w14:paraId="351B15B7"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74284845" w14:textId="77777777" w:rsidR="002A68CF" w:rsidRPr="00630129" w:rsidRDefault="001C7564">
            <w:pPr>
              <w:rPr>
                <w:sz w:val="20"/>
              </w:rPr>
            </w:pPr>
            <w:r w:rsidRPr="00630129">
              <w:rPr>
                <w:sz w:val="20"/>
              </w:rPr>
              <w:t>64</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869724E"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10530244"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5B8A9BB4"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F8440A6" w14:textId="77777777" w:rsidR="002A68CF" w:rsidRPr="00630129" w:rsidRDefault="001C7564">
            <w:pPr>
              <w:rPr>
                <w:sz w:val="20"/>
              </w:rPr>
            </w:pPr>
            <w:r w:rsidRPr="00630129">
              <w:rPr>
                <w:sz w:val="20"/>
              </w:rPr>
              <w:t>M</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FB10E99"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0689EBD0"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74283113"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44EF8DAE" w14:textId="77777777" w:rsidR="002A68CF" w:rsidRPr="00630129" w:rsidRDefault="001C7564">
            <w:pPr>
              <w:rPr>
                <w:sz w:val="20"/>
              </w:rPr>
            </w:pPr>
            <w:r w:rsidRPr="00630129">
              <w:rPr>
                <w:sz w:val="20"/>
              </w:rPr>
              <w:t>G</w:t>
            </w:r>
          </w:p>
        </w:tc>
      </w:tr>
      <w:tr w:rsidR="002A68CF" w:rsidRPr="00630129" w14:paraId="35F21EC1" w14:textId="77777777">
        <w:trPr>
          <w:cantSplit/>
        </w:trPr>
        <w:tc>
          <w:tcPr>
            <w:tcW w:w="60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B1CEE96" w14:textId="77777777" w:rsidR="002A68CF" w:rsidRPr="00630129" w:rsidRDefault="001C7564">
            <w:pPr>
              <w:rPr>
                <w:sz w:val="20"/>
              </w:rPr>
            </w:pPr>
            <w:r w:rsidRPr="00630129">
              <w:rPr>
                <w:sz w:val="20"/>
              </w:rPr>
              <w:t>65</w:t>
            </w:r>
          </w:p>
        </w:tc>
        <w:tc>
          <w:tcPr>
            <w:tcW w:w="621"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FF9D9EA" w14:textId="77777777" w:rsidR="002A68CF" w:rsidRPr="00630129" w:rsidRDefault="001C7564">
            <w:pPr>
              <w:rPr>
                <w:sz w:val="20"/>
              </w:rPr>
            </w:pPr>
            <w:r w:rsidRPr="00630129">
              <w:rPr>
                <w:sz w:val="20"/>
              </w:rPr>
              <w:t>AE</w:t>
            </w:r>
          </w:p>
        </w:tc>
        <w:tc>
          <w:tcPr>
            <w:tcW w:w="553"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F29D5BA" w14:textId="77777777" w:rsidR="002A68CF" w:rsidRPr="00630129" w:rsidRDefault="001C7564">
            <w:pPr>
              <w:rPr>
                <w:sz w:val="20"/>
              </w:rPr>
            </w:pPr>
            <w:r w:rsidRPr="00630129">
              <w:rPr>
                <w:sz w:val="20"/>
              </w:rPr>
              <w:t>H</w:t>
            </w:r>
          </w:p>
        </w:tc>
        <w:tc>
          <w:tcPr>
            <w:tcW w:w="505"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2F913BE" w14:textId="77777777" w:rsidR="002A68CF" w:rsidRPr="00630129" w:rsidRDefault="001C7564">
            <w:pPr>
              <w:rPr>
                <w:sz w:val="20"/>
              </w:rPr>
            </w:pPr>
            <w:r w:rsidRPr="00630129">
              <w:rPr>
                <w:sz w:val="20"/>
              </w:rPr>
              <w:t>M</w:t>
            </w: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68772B53" w14:textId="77777777" w:rsidR="002A68CF" w:rsidRPr="00630129" w:rsidRDefault="001C7564">
            <w:pPr>
              <w:rPr>
                <w:sz w:val="20"/>
              </w:rPr>
            </w:pPr>
            <w:r w:rsidRPr="00630129">
              <w:rPr>
                <w:sz w:val="20"/>
              </w:rPr>
              <w:t>L</w:t>
            </w:r>
          </w:p>
        </w:tc>
        <w:tc>
          <w:tcPr>
            <w:tcW w:w="456"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3EC5FE0C" w14:textId="77777777" w:rsidR="002A68CF" w:rsidRPr="00630129" w:rsidRDefault="001C7564">
            <w:pPr>
              <w:rPr>
                <w:sz w:val="20"/>
              </w:rPr>
            </w:pPr>
            <w:r w:rsidRPr="00630129">
              <w:rPr>
                <w:sz w:val="20"/>
              </w:rPr>
              <w:t>E</w:t>
            </w:r>
          </w:p>
        </w:tc>
        <w:tc>
          <w:tcPr>
            <w:tcW w:w="419"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tcPr>
          <w:p w14:paraId="4CAFE59B" w14:textId="77777777" w:rsidR="002A68CF" w:rsidRPr="00630129" w:rsidRDefault="002A68CF">
            <w:pPr>
              <w:rPr>
                <w:sz w:val="20"/>
              </w:rPr>
            </w:pPr>
          </w:p>
        </w:tc>
        <w:tc>
          <w:tcPr>
            <w:tcW w:w="608" w:type="pct"/>
            <w:tcBorders>
              <w:top w:val="single" w:sz="6" w:space="0" w:color="000000"/>
              <w:left w:val="single" w:sz="6" w:space="0" w:color="000000"/>
              <w:bottom w:val="single" w:sz="6" w:space="0" w:color="000000"/>
              <w:right w:val="single" w:sz="6" w:space="0" w:color="000000"/>
            </w:tcBorders>
            <w:shd w:val="clear" w:color="auto" w:fill="auto"/>
            <w:tcMar>
              <w:left w:w="28" w:type="dxa"/>
              <w:right w:w="28" w:type="dxa"/>
            </w:tcMar>
            <w:vAlign w:val="bottom"/>
          </w:tcPr>
          <w:p w14:paraId="13083D95" w14:textId="77777777" w:rsidR="002A68CF" w:rsidRPr="00630129" w:rsidRDefault="001C7564">
            <w:pPr>
              <w:rPr>
                <w:sz w:val="20"/>
              </w:rPr>
            </w:pPr>
            <w:r w:rsidRPr="00630129">
              <w:rPr>
                <w:sz w:val="20"/>
              </w:rPr>
              <w:t>-</w:t>
            </w:r>
          </w:p>
        </w:tc>
        <w:tc>
          <w:tcPr>
            <w:tcW w:w="621" w:type="pct"/>
            <w:tcBorders>
              <w:top w:val="single" w:sz="6" w:space="0" w:color="000000"/>
              <w:left w:val="single" w:sz="6" w:space="0" w:color="000000"/>
              <w:bottom w:val="single" w:sz="6" w:space="0" w:color="000000"/>
              <w:right w:val="single" w:sz="6" w:space="0" w:color="000000"/>
            </w:tcBorders>
            <w:tcMar>
              <w:left w:w="28" w:type="dxa"/>
              <w:right w:w="28" w:type="dxa"/>
            </w:tcMar>
            <w:vAlign w:val="bottom"/>
          </w:tcPr>
          <w:p w14:paraId="3E2F418A" w14:textId="77777777" w:rsidR="002A68CF" w:rsidRPr="00630129" w:rsidRDefault="001C7564">
            <w:pPr>
              <w:rPr>
                <w:sz w:val="20"/>
              </w:rPr>
            </w:pPr>
            <w:r w:rsidRPr="00630129">
              <w:rPr>
                <w:sz w:val="20"/>
              </w:rPr>
              <w:t>G</w:t>
            </w:r>
          </w:p>
        </w:tc>
      </w:tr>
    </w:tbl>
    <w:p w14:paraId="2492A0DD" w14:textId="77777777" w:rsidR="002A68CF" w:rsidRPr="00630129" w:rsidRDefault="002A68CF">
      <w:pPr>
        <w:spacing w:after="220"/>
        <w:jc w:val="both"/>
        <w:rPr>
          <w:sz w:val="22"/>
          <w:szCs w:val="22"/>
        </w:rPr>
      </w:pPr>
    </w:p>
    <w:p w14:paraId="28321474" w14:textId="1D6F4AFC" w:rsidR="002A68CF" w:rsidRPr="00630129" w:rsidRDefault="001C7564">
      <w:pPr>
        <w:spacing w:after="220"/>
        <w:jc w:val="both"/>
        <w:rPr>
          <w:sz w:val="22"/>
          <w:szCs w:val="22"/>
        </w:rPr>
      </w:pPr>
      <w:r w:rsidRPr="00630129">
        <w:rPr>
          <w:sz w:val="22"/>
          <w:szCs w:val="22"/>
        </w:rPr>
        <w:t>The attributes of such Consumption Component Classes are for the time being and from time to time valid:</w:t>
      </w:r>
    </w:p>
    <w:p w14:paraId="24477BA3" w14:textId="20872DF2" w:rsidR="002A68CF" w:rsidRPr="00630129" w:rsidRDefault="001C7564">
      <w:pPr>
        <w:spacing w:after="220"/>
        <w:ind w:left="992" w:hanging="992"/>
        <w:jc w:val="both"/>
        <w:rPr>
          <w:sz w:val="22"/>
          <w:szCs w:val="22"/>
        </w:rPr>
      </w:pPr>
      <w:r w:rsidRPr="00630129">
        <w:rPr>
          <w:sz w:val="22"/>
          <w:szCs w:val="22"/>
        </w:rPr>
        <w:t>(</w:t>
      </w:r>
      <w:proofErr w:type="spellStart"/>
      <w:r w:rsidRPr="00630129">
        <w:rPr>
          <w:sz w:val="22"/>
          <w:szCs w:val="22"/>
        </w:rPr>
        <w:t>i</w:t>
      </w:r>
      <w:proofErr w:type="spellEnd"/>
      <w:r w:rsidRPr="00630129">
        <w:rPr>
          <w:sz w:val="22"/>
          <w:szCs w:val="22"/>
        </w:rPr>
        <w:t>)</w:t>
      </w:r>
      <w:r w:rsidRPr="00630129">
        <w:rPr>
          <w:sz w:val="22"/>
          <w:szCs w:val="22"/>
        </w:rPr>
        <w:tab/>
        <w:t xml:space="preserve">measurement quantity </w:t>
      </w:r>
      <w:r w:rsidR="00196ADF">
        <w:rPr>
          <w:sz w:val="22"/>
          <w:szCs w:val="22"/>
        </w:rPr>
        <w:t>ID</w:t>
      </w:r>
      <w:r w:rsidRPr="00630129">
        <w:rPr>
          <w:sz w:val="22"/>
          <w:szCs w:val="22"/>
        </w:rPr>
        <w:t>, which shall have values:</w:t>
      </w:r>
    </w:p>
    <w:p w14:paraId="655ED95B" w14:textId="77777777" w:rsidR="002A68CF" w:rsidRPr="00630129" w:rsidRDefault="001C7564">
      <w:pPr>
        <w:spacing w:after="220"/>
        <w:ind w:left="1984" w:hanging="992"/>
        <w:jc w:val="both"/>
        <w:rPr>
          <w:sz w:val="22"/>
          <w:szCs w:val="22"/>
        </w:rPr>
      </w:pPr>
      <w:r w:rsidRPr="00630129">
        <w:rPr>
          <w:sz w:val="22"/>
          <w:szCs w:val="22"/>
        </w:rPr>
        <w:t>AI</w:t>
      </w:r>
      <w:r w:rsidRPr="00630129">
        <w:rPr>
          <w:sz w:val="22"/>
          <w:szCs w:val="22"/>
        </w:rPr>
        <w:tab/>
        <w:t>active import (consumption); or</w:t>
      </w:r>
    </w:p>
    <w:p w14:paraId="02C55A4B" w14:textId="77777777" w:rsidR="002A68CF" w:rsidRPr="00630129" w:rsidRDefault="001C7564">
      <w:pPr>
        <w:spacing w:after="220"/>
        <w:ind w:left="1984" w:hanging="992"/>
        <w:jc w:val="both"/>
        <w:rPr>
          <w:sz w:val="22"/>
          <w:szCs w:val="22"/>
        </w:rPr>
      </w:pPr>
      <w:r w:rsidRPr="00630129">
        <w:rPr>
          <w:sz w:val="22"/>
          <w:szCs w:val="22"/>
        </w:rPr>
        <w:t>AE</w:t>
      </w:r>
      <w:r w:rsidRPr="00630129">
        <w:rPr>
          <w:sz w:val="22"/>
          <w:szCs w:val="22"/>
        </w:rPr>
        <w:tab/>
        <w:t>active export (generation);</w:t>
      </w:r>
    </w:p>
    <w:p w14:paraId="6825A7BD" w14:textId="77777777" w:rsidR="002A68CF" w:rsidRPr="00630129" w:rsidRDefault="001C7564">
      <w:pPr>
        <w:spacing w:after="220"/>
        <w:ind w:left="992" w:hanging="992"/>
        <w:jc w:val="both"/>
        <w:rPr>
          <w:sz w:val="22"/>
          <w:szCs w:val="22"/>
        </w:rPr>
      </w:pPr>
      <w:r w:rsidRPr="00630129">
        <w:rPr>
          <w:sz w:val="22"/>
          <w:szCs w:val="22"/>
        </w:rPr>
        <w:t>(ii)</w:t>
      </w:r>
      <w:r w:rsidRPr="00630129">
        <w:rPr>
          <w:sz w:val="22"/>
          <w:szCs w:val="22"/>
        </w:rPr>
        <w:tab/>
        <w:t>data aggregation type, which shall have values:</w:t>
      </w:r>
    </w:p>
    <w:p w14:paraId="07A0FC38" w14:textId="77777777" w:rsidR="002A68CF" w:rsidRPr="00630129" w:rsidRDefault="001C7564">
      <w:pPr>
        <w:spacing w:after="220"/>
        <w:ind w:left="1984" w:hanging="992"/>
        <w:jc w:val="both"/>
        <w:rPr>
          <w:sz w:val="22"/>
          <w:szCs w:val="22"/>
        </w:rPr>
      </w:pPr>
      <w:r w:rsidRPr="00630129">
        <w:rPr>
          <w:sz w:val="22"/>
          <w:szCs w:val="22"/>
        </w:rPr>
        <w:t>H</w:t>
      </w:r>
      <w:r w:rsidRPr="00630129">
        <w:rPr>
          <w:sz w:val="22"/>
          <w:szCs w:val="22"/>
        </w:rPr>
        <w:tab/>
        <w:t>half hourly; or</w:t>
      </w:r>
    </w:p>
    <w:p w14:paraId="45F8B2CE" w14:textId="77777777" w:rsidR="002A68CF" w:rsidRPr="00630129" w:rsidRDefault="001C7564">
      <w:pPr>
        <w:spacing w:after="220"/>
        <w:ind w:left="1984" w:hanging="992"/>
        <w:jc w:val="both"/>
        <w:rPr>
          <w:sz w:val="22"/>
          <w:szCs w:val="22"/>
        </w:rPr>
      </w:pPr>
      <w:r w:rsidRPr="00630129">
        <w:rPr>
          <w:sz w:val="22"/>
          <w:szCs w:val="22"/>
        </w:rPr>
        <w:t>N</w:t>
      </w:r>
      <w:r w:rsidRPr="00630129">
        <w:rPr>
          <w:sz w:val="22"/>
          <w:szCs w:val="22"/>
        </w:rPr>
        <w:tab/>
        <w:t>non-half hourly;</w:t>
      </w:r>
    </w:p>
    <w:p w14:paraId="70F06718" w14:textId="77777777" w:rsidR="002A68CF" w:rsidRPr="00630129" w:rsidRDefault="001C7564">
      <w:pPr>
        <w:spacing w:after="220"/>
        <w:ind w:left="992" w:hanging="992"/>
        <w:jc w:val="both"/>
        <w:rPr>
          <w:sz w:val="22"/>
          <w:szCs w:val="22"/>
        </w:rPr>
      </w:pPr>
      <w:r w:rsidRPr="00630129">
        <w:rPr>
          <w:sz w:val="22"/>
          <w:szCs w:val="22"/>
        </w:rPr>
        <w:t>(iii)</w:t>
      </w:r>
      <w:r w:rsidRPr="00630129">
        <w:rPr>
          <w:sz w:val="22"/>
          <w:szCs w:val="22"/>
        </w:rPr>
        <w:tab/>
        <w:t>metered/ unmetered indicator shall have values:</w:t>
      </w:r>
    </w:p>
    <w:p w14:paraId="51AFF0E3" w14:textId="77777777" w:rsidR="002A68CF" w:rsidRPr="00630129" w:rsidRDefault="001C7564">
      <w:pPr>
        <w:spacing w:after="220"/>
        <w:ind w:left="1984" w:hanging="992"/>
        <w:jc w:val="both"/>
        <w:rPr>
          <w:sz w:val="22"/>
          <w:szCs w:val="22"/>
        </w:rPr>
      </w:pPr>
      <w:r w:rsidRPr="00630129">
        <w:rPr>
          <w:sz w:val="22"/>
          <w:szCs w:val="22"/>
        </w:rPr>
        <w:t>M</w:t>
      </w:r>
      <w:r w:rsidRPr="00630129">
        <w:rPr>
          <w:sz w:val="22"/>
          <w:szCs w:val="22"/>
        </w:rPr>
        <w:tab/>
        <w:t>metered; or</w:t>
      </w:r>
    </w:p>
    <w:p w14:paraId="65B92754" w14:textId="77777777" w:rsidR="002A68CF" w:rsidRPr="00630129" w:rsidRDefault="001C7564">
      <w:pPr>
        <w:spacing w:after="220"/>
        <w:ind w:left="1984" w:hanging="992"/>
        <w:jc w:val="both"/>
        <w:rPr>
          <w:sz w:val="22"/>
          <w:szCs w:val="22"/>
        </w:rPr>
      </w:pPr>
      <w:r w:rsidRPr="00630129">
        <w:rPr>
          <w:sz w:val="22"/>
          <w:szCs w:val="22"/>
        </w:rPr>
        <w:t>U</w:t>
      </w:r>
      <w:r w:rsidRPr="00630129">
        <w:rPr>
          <w:sz w:val="22"/>
          <w:szCs w:val="22"/>
        </w:rPr>
        <w:tab/>
        <w:t>unmetered;</w:t>
      </w:r>
    </w:p>
    <w:p w14:paraId="0B26ACD1" w14:textId="77777777" w:rsidR="002A68CF" w:rsidRPr="00630129" w:rsidRDefault="001C7564">
      <w:pPr>
        <w:spacing w:after="220"/>
        <w:ind w:left="992" w:hanging="992"/>
        <w:jc w:val="both"/>
        <w:rPr>
          <w:sz w:val="22"/>
          <w:szCs w:val="22"/>
        </w:rPr>
      </w:pPr>
      <w:r w:rsidRPr="00630129">
        <w:rPr>
          <w:sz w:val="22"/>
          <w:szCs w:val="22"/>
        </w:rPr>
        <w:t>(iv)</w:t>
      </w:r>
      <w:r w:rsidRPr="00630129">
        <w:rPr>
          <w:sz w:val="22"/>
          <w:szCs w:val="22"/>
        </w:rPr>
        <w:tab/>
        <w:t>consumption component indicator shall have values:</w:t>
      </w:r>
    </w:p>
    <w:p w14:paraId="65C08598" w14:textId="77777777" w:rsidR="002A68CF" w:rsidRPr="00630129" w:rsidRDefault="001C7564">
      <w:pPr>
        <w:spacing w:after="220"/>
        <w:ind w:left="1984" w:hanging="992"/>
        <w:jc w:val="both"/>
        <w:rPr>
          <w:sz w:val="22"/>
          <w:szCs w:val="22"/>
        </w:rPr>
      </w:pPr>
      <w:r w:rsidRPr="00630129">
        <w:rPr>
          <w:sz w:val="22"/>
          <w:szCs w:val="22"/>
        </w:rPr>
        <w:t>C</w:t>
      </w:r>
      <w:r w:rsidRPr="00630129">
        <w:rPr>
          <w:sz w:val="22"/>
          <w:szCs w:val="22"/>
        </w:rPr>
        <w:tab/>
        <w:t xml:space="preserve">basic consumption (or generation); </w:t>
      </w:r>
    </w:p>
    <w:p w14:paraId="25D216D9" w14:textId="77777777" w:rsidR="002A68CF" w:rsidRPr="00630129" w:rsidRDefault="001C7564">
      <w:pPr>
        <w:spacing w:after="220"/>
        <w:ind w:left="1984" w:hanging="992"/>
        <w:jc w:val="both"/>
        <w:rPr>
          <w:sz w:val="22"/>
          <w:szCs w:val="22"/>
        </w:rPr>
      </w:pPr>
      <w:r w:rsidRPr="00630129">
        <w:rPr>
          <w:sz w:val="22"/>
          <w:szCs w:val="22"/>
        </w:rPr>
        <w:t>M</w:t>
      </w:r>
      <w:r w:rsidRPr="00630129">
        <w:rPr>
          <w:sz w:val="22"/>
          <w:szCs w:val="22"/>
        </w:rPr>
        <w:tab/>
        <w:t>metering system specific line losses; or</w:t>
      </w:r>
    </w:p>
    <w:p w14:paraId="07C35BA0" w14:textId="77777777" w:rsidR="002A68CF" w:rsidRPr="00630129" w:rsidRDefault="001C7564">
      <w:pPr>
        <w:spacing w:after="220"/>
        <w:ind w:left="1984" w:hanging="992"/>
        <w:jc w:val="both"/>
        <w:rPr>
          <w:sz w:val="22"/>
          <w:szCs w:val="22"/>
        </w:rPr>
      </w:pPr>
      <w:r w:rsidRPr="00630129">
        <w:rPr>
          <w:sz w:val="22"/>
          <w:szCs w:val="22"/>
        </w:rPr>
        <w:t>L</w:t>
      </w:r>
      <w:r w:rsidRPr="00630129">
        <w:rPr>
          <w:sz w:val="22"/>
          <w:szCs w:val="22"/>
        </w:rPr>
        <w:tab/>
        <w:t>metering system non-specific line losses;</w:t>
      </w:r>
    </w:p>
    <w:p w14:paraId="6C9EC5F7" w14:textId="77777777" w:rsidR="002A68CF" w:rsidRPr="00630129" w:rsidRDefault="001C7564">
      <w:pPr>
        <w:spacing w:after="220"/>
        <w:ind w:left="992" w:hanging="992"/>
        <w:jc w:val="both"/>
        <w:rPr>
          <w:sz w:val="22"/>
          <w:szCs w:val="22"/>
        </w:rPr>
      </w:pPr>
      <w:r w:rsidRPr="00630129">
        <w:rPr>
          <w:sz w:val="22"/>
          <w:szCs w:val="22"/>
        </w:rPr>
        <w:t>(v)</w:t>
      </w:r>
      <w:r w:rsidRPr="00630129">
        <w:rPr>
          <w:sz w:val="22"/>
          <w:szCs w:val="22"/>
        </w:rPr>
        <w:tab/>
        <w:t>actual/ estimated indicator shall have values:</w:t>
      </w:r>
    </w:p>
    <w:p w14:paraId="221D8174" w14:textId="77777777" w:rsidR="002A68CF" w:rsidRPr="00630129" w:rsidRDefault="001C7564">
      <w:pPr>
        <w:spacing w:after="220"/>
        <w:ind w:left="1984" w:hanging="992"/>
        <w:jc w:val="both"/>
        <w:rPr>
          <w:sz w:val="22"/>
          <w:szCs w:val="22"/>
        </w:rPr>
      </w:pPr>
      <w:r w:rsidRPr="00630129">
        <w:rPr>
          <w:sz w:val="22"/>
          <w:szCs w:val="22"/>
        </w:rPr>
        <w:t>A</w:t>
      </w:r>
      <w:r w:rsidRPr="00630129">
        <w:rPr>
          <w:sz w:val="22"/>
          <w:szCs w:val="22"/>
        </w:rPr>
        <w:tab/>
        <w:t xml:space="preserve">actual; </w:t>
      </w:r>
    </w:p>
    <w:p w14:paraId="60FC0832" w14:textId="77777777" w:rsidR="002A68CF" w:rsidRPr="00630129" w:rsidRDefault="001C7564">
      <w:pPr>
        <w:spacing w:after="220"/>
        <w:ind w:left="1984" w:hanging="992"/>
        <w:jc w:val="both"/>
        <w:rPr>
          <w:sz w:val="22"/>
          <w:szCs w:val="22"/>
        </w:rPr>
      </w:pPr>
      <w:proofErr w:type="spellStart"/>
      <w:r w:rsidRPr="00630129">
        <w:rPr>
          <w:sz w:val="22"/>
          <w:szCs w:val="22"/>
        </w:rPr>
        <w:t>E</w:t>
      </w:r>
      <w:proofErr w:type="spellEnd"/>
      <w:r w:rsidRPr="00630129">
        <w:rPr>
          <w:sz w:val="22"/>
          <w:szCs w:val="22"/>
        </w:rPr>
        <w:tab/>
        <w:t>estimated; or</w:t>
      </w:r>
    </w:p>
    <w:p w14:paraId="3FD343D3" w14:textId="77777777" w:rsidR="002A68CF" w:rsidRPr="00630129" w:rsidRDefault="001C7564">
      <w:pPr>
        <w:spacing w:after="220"/>
        <w:ind w:left="992"/>
        <w:jc w:val="both"/>
        <w:rPr>
          <w:sz w:val="22"/>
          <w:szCs w:val="22"/>
        </w:rPr>
      </w:pPr>
      <w:r w:rsidRPr="00630129">
        <w:rPr>
          <w:sz w:val="22"/>
          <w:szCs w:val="22"/>
        </w:rPr>
        <w:t>Null;</w:t>
      </w:r>
    </w:p>
    <w:p w14:paraId="26DDD171" w14:textId="77777777" w:rsidR="002A68CF" w:rsidRPr="00630129" w:rsidRDefault="001C7564">
      <w:pPr>
        <w:keepNext/>
        <w:spacing w:after="220"/>
        <w:ind w:left="992" w:hanging="992"/>
        <w:jc w:val="both"/>
        <w:rPr>
          <w:sz w:val="22"/>
          <w:szCs w:val="22"/>
        </w:rPr>
      </w:pPr>
      <w:r w:rsidRPr="00630129">
        <w:rPr>
          <w:sz w:val="22"/>
          <w:szCs w:val="22"/>
        </w:rPr>
        <w:lastRenderedPageBreak/>
        <w:t>(vi)</w:t>
      </w:r>
      <w:r w:rsidRPr="00630129">
        <w:rPr>
          <w:sz w:val="22"/>
          <w:szCs w:val="22"/>
        </w:rPr>
        <w:tab/>
        <w:t>AA/EAC indicator shall have values:</w:t>
      </w:r>
    </w:p>
    <w:p w14:paraId="26B8A316" w14:textId="77777777" w:rsidR="002A68CF" w:rsidRPr="00630129" w:rsidRDefault="001C7564">
      <w:pPr>
        <w:spacing w:after="220"/>
        <w:ind w:left="1984" w:hanging="992"/>
        <w:jc w:val="both"/>
        <w:rPr>
          <w:sz w:val="22"/>
          <w:szCs w:val="22"/>
        </w:rPr>
      </w:pPr>
      <w:r w:rsidRPr="00630129">
        <w:rPr>
          <w:sz w:val="22"/>
          <w:szCs w:val="22"/>
        </w:rPr>
        <w:t>A</w:t>
      </w:r>
      <w:r w:rsidRPr="00630129">
        <w:rPr>
          <w:sz w:val="22"/>
          <w:szCs w:val="22"/>
        </w:rPr>
        <w:tab/>
        <w:t xml:space="preserve">Annualised Advance; </w:t>
      </w:r>
    </w:p>
    <w:p w14:paraId="14553DF7" w14:textId="77777777" w:rsidR="002A68CF" w:rsidRPr="00630129" w:rsidRDefault="001C7564">
      <w:pPr>
        <w:spacing w:after="220"/>
        <w:ind w:left="1984" w:hanging="992"/>
        <w:jc w:val="both"/>
        <w:rPr>
          <w:sz w:val="22"/>
          <w:szCs w:val="22"/>
        </w:rPr>
      </w:pPr>
      <w:proofErr w:type="spellStart"/>
      <w:r w:rsidRPr="00630129">
        <w:rPr>
          <w:sz w:val="22"/>
          <w:szCs w:val="22"/>
        </w:rPr>
        <w:t>E</w:t>
      </w:r>
      <w:proofErr w:type="spellEnd"/>
      <w:r w:rsidRPr="00630129">
        <w:rPr>
          <w:sz w:val="22"/>
          <w:szCs w:val="22"/>
        </w:rPr>
        <w:tab/>
        <w:t>Estimated Annual Consumption; or</w:t>
      </w:r>
    </w:p>
    <w:p w14:paraId="2536DE56" w14:textId="77777777" w:rsidR="002A68CF" w:rsidRPr="00630129" w:rsidRDefault="001C7564">
      <w:pPr>
        <w:spacing w:after="220"/>
        <w:ind w:left="992"/>
        <w:jc w:val="both"/>
        <w:rPr>
          <w:sz w:val="22"/>
          <w:szCs w:val="22"/>
        </w:rPr>
      </w:pPr>
      <w:r w:rsidRPr="00630129">
        <w:rPr>
          <w:sz w:val="22"/>
          <w:szCs w:val="22"/>
        </w:rPr>
        <w:t>Null; and</w:t>
      </w:r>
    </w:p>
    <w:p w14:paraId="44FC4629" w14:textId="77777777" w:rsidR="002A68CF" w:rsidRPr="00630129" w:rsidRDefault="001C7564">
      <w:pPr>
        <w:spacing w:after="220"/>
        <w:ind w:left="992" w:hanging="992"/>
        <w:jc w:val="both"/>
        <w:rPr>
          <w:sz w:val="22"/>
          <w:szCs w:val="22"/>
        </w:rPr>
      </w:pPr>
      <w:r w:rsidRPr="00630129">
        <w:rPr>
          <w:sz w:val="22"/>
          <w:szCs w:val="22"/>
        </w:rPr>
        <w:t>(vii)</w:t>
      </w:r>
      <w:r w:rsidRPr="00630129">
        <w:rPr>
          <w:sz w:val="22"/>
          <w:szCs w:val="22"/>
        </w:rPr>
        <w:tab/>
        <w:t>Consumption Level Indicators shall have the following values:</w:t>
      </w:r>
    </w:p>
    <w:p w14:paraId="1D1C6039" w14:textId="77777777" w:rsidR="002A68CF" w:rsidRPr="00630129" w:rsidRDefault="001C7564">
      <w:pPr>
        <w:spacing w:after="220"/>
        <w:ind w:left="1984" w:hanging="992"/>
        <w:jc w:val="both"/>
        <w:rPr>
          <w:sz w:val="22"/>
          <w:szCs w:val="22"/>
        </w:rPr>
      </w:pPr>
      <w:r w:rsidRPr="00630129">
        <w:rPr>
          <w:sz w:val="22"/>
          <w:szCs w:val="22"/>
        </w:rPr>
        <w:t>A</w:t>
      </w:r>
      <w:r w:rsidRPr="00630129">
        <w:rPr>
          <w:sz w:val="22"/>
          <w:szCs w:val="22"/>
        </w:rPr>
        <w:tab/>
        <w:t>Metering Systems which are not 100kW Metering Systems (equivalent to Measurement Class "E", "F" and "G");</w:t>
      </w:r>
    </w:p>
    <w:p w14:paraId="64A42F90" w14:textId="77777777" w:rsidR="002A68CF" w:rsidRPr="00630129" w:rsidRDefault="001C7564">
      <w:pPr>
        <w:spacing w:after="220"/>
        <w:ind w:left="1984" w:hanging="992"/>
        <w:jc w:val="both"/>
        <w:rPr>
          <w:sz w:val="22"/>
          <w:szCs w:val="22"/>
        </w:rPr>
      </w:pPr>
      <w:r w:rsidRPr="00630129">
        <w:rPr>
          <w:sz w:val="22"/>
          <w:szCs w:val="22"/>
        </w:rPr>
        <w:t>B</w:t>
      </w:r>
      <w:r w:rsidRPr="00630129">
        <w:rPr>
          <w:sz w:val="22"/>
          <w:szCs w:val="22"/>
        </w:rPr>
        <w:tab/>
        <w:t>Metering Systems which are 100kW Metering Systems (equivalent to Measurement Class "C"); or</w:t>
      </w:r>
    </w:p>
    <w:p w14:paraId="09C1A4BF" w14:textId="77777777" w:rsidR="002A68CF" w:rsidRPr="00630129" w:rsidRDefault="001C7564">
      <w:pPr>
        <w:spacing w:after="220"/>
        <w:ind w:left="1984" w:hanging="992"/>
        <w:jc w:val="both"/>
        <w:rPr>
          <w:sz w:val="22"/>
          <w:szCs w:val="22"/>
        </w:rPr>
      </w:pPr>
      <w:r w:rsidRPr="00630129">
        <w:rPr>
          <w:sz w:val="22"/>
          <w:szCs w:val="22"/>
        </w:rPr>
        <w:t>Null</w:t>
      </w:r>
      <w:r w:rsidRPr="00630129">
        <w:rPr>
          <w:sz w:val="22"/>
          <w:szCs w:val="22"/>
        </w:rPr>
        <w:tab/>
        <w:t>Not applicable, shown as a hyphen (-), including export, NHH and unmetered MSIDs.</w:t>
      </w:r>
    </w:p>
    <w:p w14:paraId="64D9E968" w14:textId="77777777" w:rsidR="002A68CF" w:rsidRPr="00630129" w:rsidRDefault="001C7564">
      <w:pPr>
        <w:spacing w:after="220"/>
        <w:ind w:left="992" w:hanging="992"/>
        <w:jc w:val="both"/>
        <w:rPr>
          <w:sz w:val="22"/>
          <w:szCs w:val="22"/>
        </w:rPr>
      </w:pPr>
      <w:r w:rsidRPr="00630129">
        <w:rPr>
          <w:sz w:val="22"/>
          <w:szCs w:val="22"/>
        </w:rPr>
        <w:t>viii)</w:t>
      </w:r>
      <w:r w:rsidRPr="00630129">
        <w:rPr>
          <w:sz w:val="22"/>
          <w:szCs w:val="22"/>
        </w:rPr>
        <w:tab/>
        <w:t>Measurement Class as defined in Table X-6.</w:t>
      </w:r>
    </w:p>
    <w:p w14:paraId="16DC3990" w14:textId="77777777" w:rsidR="002A68CF" w:rsidRPr="00630129" w:rsidRDefault="002A68CF">
      <w:pPr>
        <w:spacing w:after="220"/>
        <w:ind w:left="992" w:hanging="992"/>
        <w:jc w:val="both"/>
        <w:rPr>
          <w:sz w:val="22"/>
          <w:szCs w:val="22"/>
        </w:rPr>
      </w:pPr>
    </w:p>
    <w:p w14:paraId="199909AE" w14:textId="77777777" w:rsidR="002A68CF" w:rsidRPr="00630129" w:rsidRDefault="001C7564">
      <w:pPr>
        <w:pageBreakBefore/>
        <w:spacing w:after="220"/>
        <w:ind w:left="992" w:hanging="992"/>
        <w:jc w:val="center"/>
        <w:rPr>
          <w:b/>
          <w:sz w:val="22"/>
          <w:szCs w:val="22"/>
        </w:rPr>
      </w:pPr>
      <w:r w:rsidRPr="00630129">
        <w:rPr>
          <w:b/>
          <w:sz w:val="22"/>
          <w:szCs w:val="22"/>
        </w:rPr>
        <w:lastRenderedPageBreak/>
        <w:t>Table X–9</w:t>
      </w:r>
    </w:p>
    <w:p w14:paraId="1F150CD0" w14:textId="77777777" w:rsidR="002A68CF" w:rsidRPr="00630129" w:rsidRDefault="001C7564">
      <w:pPr>
        <w:spacing w:after="220"/>
        <w:rPr>
          <w:sz w:val="22"/>
          <w:szCs w:val="22"/>
        </w:rPr>
      </w:pPr>
      <w:r w:rsidRPr="00630129">
        <w:rPr>
          <w:sz w:val="22"/>
          <w:szCs w:val="22"/>
        </w:rPr>
        <w:t>List of Supplier Volume Reporting Groups and associated relationships used for the purposes of the Supplier Quarterly Volume Report determined according to paragraph 9A of Annex S-2:</w:t>
      </w:r>
    </w:p>
    <w:tbl>
      <w:tblPr>
        <w:tblStyle w:val="TableGrid1"/>
        <w:tblW w:w="5000" w:type="pct"/>
        <w:tblLayout w:type="fixed"/>
        <w:tblLook w:val="04A0" w:firstRow="1" w:lastRow="0" w:firstColumn="1" w:lastColumn="0" w:noHBand="0" w:noVBand="1"/>
      </w:tblPr>
      <w:tblGrid>
        <w:gridCol w:w="2159"/>
        <w:gridCol w:w="4080"/>
        <w:gridCol w:w="2824"/>
      </w:tblGrid>
      <w:tr w:rsidR="00630129" w:rsidRPr="00630129" w14:paraId="29A347EC" w14:textId="77777777">
        <w:trPr>
          <w:cantSplit/>
        </w:trPr>
        <w:tc>
          <w:tcPr>
            <w:tcW w:w="1191" w:type="pct"/>
            <w:tcMar>
              <w:top w:w="85" w:type="dxa"/>
              <w:left w:w="85" w:type="dxa"/>
              <w:bottom w:w="85" w:type="dxa"/>
              <w:right w:w="85" w:type="dxa"/>
            </w:tcMar>
            <w:hideMark/>
          </w:tcPr>
          <w:p w14:paraId="05994EAC" w14:textId="77777777" w:rsidR="002A68CF" w:rsidRPr="00630129" w:rsidRDefault="001C7564">
            <w:pPr>
              <w:rPr>
                <w:rFonts w:ascii="Times New Roman" w:eastAsia="Times New Roman" w:hAnsi="Times New Roman" w:cs="Times New Roman"/>
                <w:b/>
                <w:bCs/>
                <w:sz w:val="22"/>
              </w:rPr>
            </w:pPr>
            <w:r w:rsidRPr="00630129">
              <w:rPr>
                <w:rFonts w:ascii="Times New Roman" w:hAnsi="Times New Roman" w:cs="Times New Roman"/>
                <w:b/>
                <w:bCs/>
                <w:sz w:val="22"/>
              </w:rPr>
              <w:t>Supplier Volume Reporting Group</w:t>
            </w:r>
          </w:p>
        </w:tc>
        <w:tc>
          <w:tcPr>
            <w:tcW w:w="2251" w:type="pct"/>
            <w:tcMar>
              <w:top w:w="85" w:type="dxa"/>
              <w:left w:w="85" w:type="dxa"/>
              <w:bottom w:w="85" w:type="dxa"/>
              <w:right w:w="85" w:type="dxa"/>
            </w:tcMar>
          </w:tcPr>
          <w:p w14:paraId="656BDE6B" w14:textId="77777777" w:rsidR="002A68CF" w:rsidRPr="00630129" w:rsidRDefault="001C7564">
            <w:pPr>
              <w:jc w:val="both"/>
              <w:rPr>
                <w:rFonts w:ascii="Times New Roman" w:eastAsia="Times New Roman" w:hAnsi="Times New Roman" w:cs="Times New Roman"/>
                <w:b/>
                <w:bCs/>
                <w:sz w:val="22"/>
              </w:rPr>
            </w:pPr>
            <w:r w:rsidRPr="00630129">
              <w:rPr>
                <w:rFonts w:ascii="Times New Roman" w:hAnsi="Times New Roman" w:cs="Times New Roman"/>
                <w:b/>
                <w:bCs/>
                <w:sz w:val="22"/>
              </w:rPr>
              <w:t>Consumption Component Classes</w:t>
            </w:r>
          </w:p>
        </w:tc>
        <w:tc>
          <w:tcPr>
            <w:tcW w:w="1558" w:type="pct"/>
            <w:tcMar>
              <w:top w:w="85" w:type="dxa"/>
              <w:left w:w="85" w:type="dxa"/>
              <w:bottom w:w="85" w:type="dxa"/>
              <w:right w:w="85" w:type="dxa"/>
            </w:tcMar>
            <w:hideMark/>
          </w:tcPr>
          <w:p w14:paraId="7640A913" w14:textId="77777777" w:rsidR="002A68CF" w:rsidRPr="00630129" w:rsidRDefault="001C7564">
            <w:pPr>
              <w:rPr>
                <w:rFonts w:ascii="Times New Roman" w:eastAsia="Times New Roman" w:hAnsi="Times New Roman" w:cs="Times New Roman"/>
                <w:b/>
                <w:bCs/>
                <w:sz w:val="22"/>
              </w:rPr>
            </w:pPr>
            <w:r w:rsidRPr="00630129">
              <w:rPr>
                <w:rFonts w:ascii="Times New Roman" w:hAnsi="Times New Roman" w:cs="Times New Roman"/>
                <w:b/>
                <w:bCs/>
                <w:sz w:val="22"/>
              </w:rPr>
              <w:t>Profile Classes (where used and/or applicable)</w:t>
            </w:r>
          </w:p>
        </w:tc>
      </w:tr>
      <w:tr w:rsidR="00630129" w:rsidRPr="00630129" w14:paraId="1063753B" w14:textId="77777777">
        <w:trPr>
          <w:cantSplit/>
        </w:trPr>
        <w:tc>
          <w:tcPr>
            <w:tcW w:w="1191" w:type="pct"/>
            <w:noWrap/>
            <w:tcMar>
              <w:top w:w="85" w:type="dxa"/>
              <w:left w:w="85" w:type="dxa"/>
              <w:bottom w:w="85" w:type="dxa"/>
              <w:right w:w="85" w:type="dxa"/>
            </w:tcMar>
            <w:hideMark/>
          </w:tcPr>
          <w:p w14:paraId="780AF2AF"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1</w:t>
            </w:r>
          </w:p>
        </w:tc>
        <w:tc>
          <w:tcPr>
            <w:tcW w:w="2251" w:type="pct"/>
            <w:tcMar>
              <w:top w:w="85" w:type="dxa"/>
              <w:left w:w="85" w:type="dxa"/>
              <w:bottom w:w="85" w:type="dxa"/>
              <w:right w:w="85" w:type="dxa"/>
            </w:tcMar>
          </w:tcPr>
          <w:p w14:paraId="570D2E7D"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17, 18, 20, 21</w:t>
            </w:r>
          </w:p>
        </w:tc>
        <w:tc>
          <w:tcPr>
            <w:tcW w:w="1558" w:type="pct"/>
            <w:noWrap/>
            <w:tcMar>
              <w:top w:w="85" w:type="dxa"/>
              <w:left w:w="85" w:type="dxa"/>
              <w:bottom w:w="85" w:type="dxa"/>
              <w:right w:w="85" w:type="dxa"/>
            </w:tcMar>
            <w:hideMark/>
          </w:tcPr>
          <w:p w14:paraId="2FBD689F"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1, 2</w:t>
            </w:r>
          </w:p>
        </w:tc>
      </w:tr>
      <w:tr w:rsidR="00630129" w:rsidRPr="00630129" w14:paraId="54F41294" w14:textId="77777777">
        <w:trPr>
          <w:cantSplit/>
        </w:trPr>
        <w:tc>
          <w:tcPr>
            <w:tcW w:w="1191" w:type="pct"/>
            <w:noWrap/>
            <w:tcMar>
              <w:top w:w="85" w:type="dxa"/>
              <w:left w:w="85" w:type="dxa"/>
              <w:bottom w:w="85" w:type="dxa"/>
              <w:right w:w="85" w:type="dxa"/>
            </w:tcMar>
          </w:tcPr>
          <w:p w14:paraId="52950743"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2</w:t>
            </w:r>
          </w:p>
        </w:tc>
        <w:tc>
          <w:tcPr>
            <w:tcW w:w="2251" w:type="pct"/>
            <w:tcMar>
              <w:top w:w="85" w:type="dxa"/>
              <w:left w:w="85" w:type="dxa"/>
              <w:bottom w:w="85" w:type="dxa"/>
              <w:right w:w="85" w:type="dxa"/>
            </w:tcMar>
          </w:tcPr>
          <w:p w14:paraId="3A448356"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17, 18, 20, 21</w:t>
            </w:r>
          </w:p>
        </w:tc>
        <w:tc>
          <w:tcPr>
            <w:tcW w:w="1558" w:type="pct"/>
            <w:noWrap/>
            <w:tcMar>
              <w:top w:w="85" w:type="dxa"/>
              <w:left w:w="85" w:type="dxa"/>
              <w:bottom w:w="85" w:type="dxa"/>
              <w:right w:w="85" w:type="dxa"/>
            </w:tcMar>
          </w:tcPr>
          <w:p w14:paraId="716F4697"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3, 4</w:t>
            </w:r>
          </w:p>
        </w:tc>
      </w:tr>
      <w:tr w:rsidR="00630129" w:rsidRPr="00630129" w14:paraId="3D23CDC5" w14:textId="77777777">
        <w:trPr>
          <w:cantSplit/>
        </w:trPr>
        <w:tc>
          <w:tcPr>
            <w:tcW w:w="1191" w:type="pct"/>
            <w:noWrap/>
            <w:tcMar>
              <w:top w:w="85" w:type="dxa"/>
              <w:left w:w="85" w:type="dxa"/>
              <w:bottom w:w="85" w:type="dxa"/>
              <w:right w:w="85" w:type="dxa"/>
            </w:tcMar>
          </w:tcPr>
          <w:p w14:paraId="32799E32"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3</w:t>
            </w:r>
          </w:p>
        </w:tc>
        <w:tc>
          <w:tcPr>
            <w:tcW w:w="2251" w:type="pct"/>
            <w:tcMar>
              <w:top w:w="85" w:type="dxa"/>
              <w:left w:w="85" w:type="dxa"/>
              <w:bottom w:w="85" w:type="dxa"/>
              <w:right w:w="85" w:type="dxa"/>
            </w:tcMar>
          </w:tcPr>
          <w:p w14:paraId="7EB6A340"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17, 18, 20, 21</w:t>
            </w:r>
          </w:p>
        </w:tc>
        <w:tc>
          <w:tcPr>
            <w:tcW w:w="1558" w:type="pct"/>
            <w:noWrap/>
            <w:tcMar>
              <w:top w:w="85" w:type="dxa"/>
              <w:left w:w="85" w:type="dxa"/>
              <w:bottom w:w="85" w:type="dxa"/>
              <w:right w:w="85" w:type="dxa"/>
            </w:tcMar>
          </w:tcPr>
          <w:p w14:paraId="3FA1CC34"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5, 6, 7, 8</w:t>
            </w:r>
          </w:p>
        </w:tc>
      </w:tr>
      <w:tr w:rsidR="00630129" w:rsidRPr="00630129" w14:paraId="6B424692" w14:textId="77777777">
        <w:trPr>
          <w:cantSplit/>
        </w:trPr>
        <w:tc>
          <w:tcPr>
            <w:tcW w:w="1191" w:type="pct"/>
            <w:noWrap/>
            <w:tcMar>
              <w:top w:w="85" w:type="dxa"/>
              <w:left w:w="85" w:type="dxa"/>
              <w:bottom w:w="85" w:type="dxa"/>
              <w:right w:w="85" w:type="dxa"/>
            </w:tcMar>
            <w:hideMark/>
          </w:tcPr>
          <w:p w14:paraId="2199C11B"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4</w:t>
            </w:r>
          </w:p>
        </w:tc>
        <w:tc>
          <w:tcPr>
            <w:tcW w:w="2251" w:type="pct"/>
            <w:tcMar>
              <w:top w:w="85" w:type="dxa"/>
              <w:left w:w="85" w:type="dxa"/>
              <w:bottom w:w="85" w:type="dxa"/>
              <w:right w:w="85" w:type="dxa"/>
            </w:tcMar>
          </w:tcPr>
          <w:p w14:paraId="2291E7AD"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19, 22</w:t>
            </w:r>
          </w:p>
        </w:tc>
        <w:tc>
          <w:tcPr>
            <w:tcW w:w="1558" w:type="pct"/>
            <w:noWrap/>
            <w:tcMar>
              <w:top w:w="85" w:type="dxa"/>
              <w:left w:w="85" w:type="dxa"/>
              <w:bottom w:w="85" w:type="dxa"/>
              <w:right w:w="85" w:type="dxa"/>
            </w:tcMar>
            <w:hideMark/>
          </w:tcPr>
          <w:p w14:paraId="52719A88"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Not used</w:t>
            </w:r>
          </w:p>
        </w:tc>
      </w:tr>
      <w:tr w:rsidR="00630129" w:rsidRPr="00630129" w14:paraId="414BF301" w14:textId="77777777">
        <w:trPr>
          <w:cantSplit/>
        </w:trPr>
        <w:tc>
          <w:tcPr>
            <w:tcW w:w="1191" w:type="pct"/>
            <w:noWrap/>
            <w:tcMar>
              <w:top w:w="85" w:type="dxa"/>
              <w:left w:w="85" w:type="dxa"/>
              <w:bottom w:w="85" w:type="dxa"/>
              <w:right w:w="85" w:type="dxa"/>
            </w:tcMar>
            <w:hideMark/>
          </w:tcPr>
          <w:p w14:paraId="689A2FD8"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5</w:t>
            </w:r>
          </w:p>
        </w:tc>
        <w:tc>
          <w:tcPr>
            <w:tcW w:w="2251" w:type="pct"/>
            <w:tcMar>
              <w:top w:w="85" w:type="dxa"/>
              <w:left w:w="85" w:type="dxa"/>
              <w:bottom w:w="85" w:type="dxa"/>
              <w:right w:w="85" w:type="dxa"/>
            </w:tcMar>
          </w:tcPr>
          <w:p w14:paraId="7E2A6561"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32, 33, 34, 35</w:t>
            </w:r>
          </w:p>
        </w:tc>
        <w:tc>
          <w:tcPr>
            <w:tcW w:w="1558" w:type="pct"/>
            <w:noWrap/>
            <w:tcMar>
              <w:top w:w="85" w:type="dxa"/>
              <w:left w:w="85" w:type="dxa"/>
              <w:bottom w:w="85" w:type="dxa"/>
              <w:right w:w="85" w:type="dxa"/>
            </w:tcMar>
            <w:hideMark/>
          </w:tcPr>
          <w:p w14:paraId="3B803A5E"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Not used</w:t>
            </w:r>
          </w:p>
        </w:tc>
      </w:tr>
      <w:tr w:rsidR="00630129" w:rsidRPr="00630129" w14:paraId="4CA67773" w14:textId="77777777">
        <w:trPr>
          <w:cantSplit/>
        </w:trPr>
        <w:tc>
          <w:tcPr>
            <w:tcW w:w="1191" w:type="pct"/>
            <w:noWrap/>
            <w:tcMar>
              <w:top w:w="85" w:type="dxa"/>
              <w:left w:w="85" w:type="dxa"/>
              <w:bottom w:w="85" w:type="dxa"/>
              <w:right w:w="85" w:type="dxa"/>
            </w:tcMar>
            <w:hideMark/>
          </w:tcPr>
          <w:p w14:paraId="19B63273"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6</w:t>
            </w:r>
          </w:p>
        </w:tc>
        <w:tc>
          <w:tcPr>
            <w:tcW w:w="2251" w:type="pct"/>
            <w:tcMar>
              <w:top w:w="85" w:type="dxa"/>
              <w:left w:w="85" w:type="dxa"/>
              <w:bottom w:w="85" w:type="dxa"/>
              <w:right w:w="85" w:type="dxa"/>
            </w:tcMar>
          </w:tcPr>
          <w:p w14:paraId="7DBA2B62"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1, 3, 4, 9, 11, 12, 23, 25, 26, 28, 30, 31, 42, 43, 44, 45, 46, 47, 54, 55, 56, 57, 58, 59</w:t>
            </w:r>
          </w:p>
        </w:tc>
        <w:tc>
          <w:tcPr>
            <w:tcW w:w="1558" w:type="pct"/>
            <w:noWrap/>
            <w:tcMar>
              <w:top w:w="85" w:type="dxa"/>
              <w:left w:w="85" w:type="dxa"/>
              <w:bottom w:w="85" w:type="dxa"/>
              <w:right w:w="85" w:type="dxa"/>
            </w:tcMar>
            <w:hideMark/>
          </w:tcPr>
          <w:p w14:paraId="6A1F44FC"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Not applicable</w:t>
            </w:r>
          </w:p>
        </w:tc>
      </w:tr>
      <w:tr w:rsidR="00630129" w:rsidRPr="00630129" w14:paraId="6BE6F4F8" w14:textId="77777777">
        <w:trPr>
          <w:cantSplit/>
        </w:trPr>
        <w:tc>
          <w:tcPr>
            <w:tcW w:w="1191" w:type="pct"/>
            <w:noWrap/>
            <w:tcMar>
              <w:top w:w="85" w:type="dxa"/>
              <w:left w:w="85" w:type="dxa"/>
              <w:bottom w:w="85" w:type="dxa"/>
              <w:right w:w="85" w:type="dxa"/>
            </w:tcMar>
            <w:hideMark/>
          </w:tcPr>
          <w:p w14:paraId="294152F1"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7</w:t>
            </w:r>
          </w:p>
        </w:tc>
        <w:tc>
          <w:tcPr>
            <w:tcW w:w="2251" w:type="pct"/>
            <w:tcMar>
              <w:top w:w="85" w:type="dxa"/>
              <w:left w:w="85" w:type="dxa"/>
              <w:bottom w:w="85" w:type="dxa"/>
              <w:right w:w="85" w:type="dxa"/>
            </w:tcMar>
          </w:tcPr>
          <w:p w14:paraId="4A17AB10"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2, 5, 10, 13</w:t>
            </w:r>
          </w:p>
        </w:tc>
        <w:tc>
          <w:tcPr>
            <w:tcW w:w="1558" w:type="pct"/>
            <w:noWrap/>
            <w:tcMar>
              <w:top w:w="85" w:type="dxa"/>
              <w:left w:w="85" w:type="dxa"/>
              <w:bottom w:w="85" w:type="dxa"/>
              <w:right w:w="85" w:type="dxa"/>
            </w:tcMar>
            <w:hideMark/>
          </w:tcPr>
          <w:p w14:paraId="090A518B"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Not applicable</w:t>
            </w:r>
          </w:p>
        </w:tc>
      </w:tr>
      <w:tr w:rsidR="002A68CF" w:rsidRPr="00630129" w14:paraId="749F50C3" w14:textId="77777777">
        <w:trPr>
          <w:cantSplit/>
        </w:trPr>
        <w:tc>
          <w:tcPr>
            <w:tcW w:w="1191" w:type="pct"/>
            <w:noWrap/>
            <w:tcMar>
              <w:top w:w="85" w:type="dxa"/>
              <w:left w:w="85" w:type="dxa"/>
              <w:bottom w:w="85" w:type="dxa"/>
              <w:right w:w="85" w:type="dxa"/>
            </w:tcMar>
            <w:hideMark/>
          </w:tcPr>
          <w:p w14:paraId="1650C622"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8</w:t>
            </w:r>
          </w:p>
        </w:tc>
        <w:tc>
          <w:tcPr>
            <w:tcW w:w="2251" w:type="pct"/>
            <w:tcMar>
              <w:top w:w="85" w:type="dxa"/>
              <w:left w:w="85" w:type="dxa"/>
              <w:bottom w:w="85" w:type="dxa"/>
              <w:right w:w="85" w:type="dxa"/>
            </w:tcMar>
          </w:tcPr>
          <w:p w14:paraId="33CDB987"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6, 7, 8, 14, 15, 16, 36, 37, 38, 39, 40, 41, 48, 49, 50, 51, 52, 53, 60, 61, 62, 63, 64, 65</w:t>
            </w:r>
          </w:p>
        </w:tc>
        <w:tc>
          <w:tcPr>
            <w:tcW w:w="1558" w:type="pct"/>
            <w:noWrap/>
            <w:tcMar>
              <w:top w:w="85" w:type="dxa"/>
              <w:left w:w="85" w:type="dxa"/>
              <w:bottom w:w="85" w:type="dxa"/>
              <w:right w:w="85" w:type="dxa"/>
            </w:tcMar>
            <w:hideMark/>
          </w:tcPr>
          <w:p w14:paraId="76534C34" w14:textId="77777777" w:rsidR="002A68CF" w:rsidRPr="00630129" w:rsidRDefault="001C7564">
            <w:pPr>
              <w:jc w:val="both"/>
              <w:rPr>
                <w:rFonts w:ascii="Times New Roman" w:eastAsia="Times New Roman" w:hAnsi="Times New Roman" w:cs="Times New Roman"/>
                <w:sz w:val="22"/>
              </w:rPr>
            </w:pPr>
            <w:r w:rsidRPr="00630129">
              <w:rPr>
                <w:rFonts w:ascii="Times New Roman" w:hAnsi="Times New Roman" w:cs="Times New Roman"/>
                <w:sz w:val="22"/>
              </w:rPr>
              <w:t>Not applicable</w:t>
            </w:r>
          </w:p>
        </w:tc>
      </w:tr>
    </w:tbl>
    <w:p w14:paraId="1EEA3C02" w14:textId="77777777" w:rsidR="002A68CF" w:rsidRPr="00630129" w:rsidRDefault="002A68CF">
      <w:pPr>
        <w:spacing w:after="220"/>
        <w:rPr>
          <w:sz w:val="22"/>
          <w:szCs w:val="22"/>
        </w:rPr>
      </w:pPr>
    </w:p>
    <w:p w14:paraId="1B0CD340" w14:textId="77777777" w:rsidR="002A68CF" w:rsidRPr="00630129" w:rsidRDefault="001C7564">
      <w:pPr>
        <w:spacing w:after="220"/>
        <w:jc w:val="both"/>
        <w:rPr>
          <w:sz w:val="22"/>
          <w:szCs w:val="22"/>
        </w:rPr>
      </w:pPr>
      <w:r w:rsidRPr="00630129">
        <w:rPr>
          <w:sz w:val="22"/>
          <w:szCs w:val="22"/>
        </w:rPr>
        <w:t>For the Supplier Quarterly Volume Report as set out in paragraph 4.2.10 of Section V, the Supplier Volume Reporting Groups with the numbers in the far left column of the table above shall be given the following descriptive labels in the actual report:</w:t>
      </w:r>
    </w:p>
    <w:p w14:paraId="5610EC68" w14:textId="77777777" w:rsidR="002A68CF" w:rsidRPr="00630129" w:rsidRDefault="001C7564">
      <w:pPr>
        <w:spacing w:after="220"/>
        <w:ind w:left="357"/>
        <w:jc w:val="both"/>
        <w:rPr>
          <w:sz w:val="22"/>
          <w:szCs w:val="22"/>
        </w:rPr>
      </w:pPr>
      <w:r w:rsidRPr="00630129">
        <w:rPr>
          <w:sz w:val="22"/>
          <w:szCs w:val="22"/>
        </w:rPr>
        <w:t>1.</w:t>
      </w:r>
      <w:r w:rsidRPr="00630129">
        <w:rPr>
          <w:sz w:val="22"/>
          <w:szCs w:val="22"/>
        </w:rPr>
        <w:tab/>
        <w:t>"</w:t>
      </w:r>
      <w:proofErr w:type="spellStart"/>
      <w:r w:rsidRPr="00630129">
        <w:rPr>
          <w:sz w:val="22"/>
          <w:szCs w:val="22"/>
        </w:rPr>
        <w:t>Non half</w:t>
      </w:r>
      <w:proofErr w:type="spellEnd"/>
      <w:r w:rsidRPr="00630129">
        <w:rPr>
          <w:sz w:val="22"/>
          <w:szCs w:val="22"/>
        </w:rPr>
        <w:t xml:space="preserve"> hourly metered import, Profile Classes 1 and 2";</w:t>
      </w:r>
    </w:p>
    <w:p w14:paraId="624A276C" w14:textId="77777777" w:rsidR="002A68CF" w:rsidRPr="00630129" w:rsidRDefault="001C7564">
      <w:pPr>
        <w:spacing w:after="220"/>
        <w:ind w:left="357"/>
        <w:jc w:val="both"/>
        <w:rPr>
          <w:sz w:val="22"/>
          <w:szCs w:val="22"/>
        </w:rPr>
      </w:pPr>
      <w:r w:rsidRPr="00630129">
        <w:rPr>
          <w:sz w:val="22"/>
          <w:szCs w:val="22"/>
        </w:rPr>
        <w:t>2.</w:t>
      </w:r>
      <w:r w:rsidRPr="00630129">
        <w:rPr>
          <w:sz w:val="22"/>
          <w:szCs w:val="22"/>
        </w:rPr>
        <w:tab/>
        <w:t>"</w:t>
      </w:r>
      <w:proofErr w:type="spellStart"/>
      <w:r w:rsidRPr="00630129">
        <w:rPr>
          <w:sz w:val="22"/>
          <w:szCs w:val="22"/>
        </w:rPr>
        <w:t>Non half</w:t>
      </w:r>
      <w:proofErr w:type="spellEnd"/>
      <w:r w:rsidRPr="00630129">
        <w:rPr>
          <w:sz w:val="22"/>
          <w:szCs w:val="22"/>
        </w:rPr>
        <w:t xml:space="preserve"> hourly metered import, Profile Classes 3 and 4";</w:t>
      </w:r>
    </w:p>
    <w:p w14:paraId="51D74BAD" w14:textId="77777777" w:rsidR="002A68CF" w:rsidRPr="00630129" w:rsidRDefault="001C7564">
      <w:pPr>
        <w:spacing w:after="220"/>
        <w:ind w:left="357"/>
        <w:jc w:val="both"/>
        <w:rPr>
          <w:sz w:val="22"/>
          <w:szCs w:val="22"/>
        </w:rPr>
      </w:pPr>
      <w:r w:rsidRPr="00630129">
        <w:rPr>
          <w:sz w:val="22"/>
          <w:szCs w:val="22"/>
        </w:rPr>
        <w:t>3.</w:t>
      </w:r>
      <w:r w:rsidRPr="00630129">
        <w:rPr>
          <w:sz w:val="22"/>
          <w:szCs w:val="22"/>
        </w:rPr>
        <w:tab/>
        <w:t>"</w:t>
      </w:r>
      <w:proofErr w:type="spellStart"/>
      <w:r w:rsidRPr="00630129">
        <w:rPr>
          <w:sz w:val="22"/>
          <w:szCs w:val="22"/>
        </w:rPr>
        <w:t>Non half</w:t>
      </w:r>
      <w:proofErr w:type="spellEnd"/>
      <w:r w:rsidRPr="00630129">
        <w:rPr>
          <w:sz w:val="22"/>
          <w:szCs w:val="22"/>
        </w:rPr>
        <w:t xml:space="preserve"> hourly metered import, Profile Classes 5, 6, 7 and 8";</w:t>
      </w:r>
    </w:p>
    <w:p w14:paraId="4B7F05D6" w14:textId="77777777" w:rsidR="002A68CF" w:rsidRPr="00630129" w:rsidRDefault="001C7564">
      <w:pPr>
        <w:spacing w:after="220"/>
        <w:ind w:left="357"/>
        <w:jc w:val="both"/>
        <w:rPr>
          <w:sz w:val="22"/>
          <w:szCs w:val="22"/>
        </w:rPr>
      </w:pPr>
      <w:r w:rsidRPr="00630129">
        <w:rPr>
          <w:sz w:val="22"/>
          <w:szCs w:val="22"/>
        </w:rPr>
        <w:t>4.</w:t>
      </w:r>
      <w:r w:rsidRPr="00630129">
        <w:rPr>
          <w:sz w:val="22"/>
          <w:szCs w:val="22"/>
        </w:rPr>
        <w:tab/>
        <w:t>"</w:t>
      </w:r>
      <w:proofErr w:type="spellStart"/>
      <w:r w:rsidRPr="00630129">
        <w:rPr>
          <w:sz w:val="22"/>
          <w:szCs w:val="22"/>
        </w:rPr>
        <w:t>Non half</w:t>
      </w:r>
      <w:proofErr w:type="spellEnd"/>
      <w:r w:rsidRPr="00630129">
        <w:rPr>
          <w:sz w:val="22"/>
          <w:szCs w:val="22"/>
        </w:rPr>
        <w:t xml:space="preserve"> hourly unmetered import";</w:t>
      </w:r>
    </w:p>
    <w:p w14:paraId="630FC259" w14:textId="77777777" w:rsidR="002A68CF" w:rsidRPr="00630129" w:rsidRDefault="001C7564">
      <w:pPr>
        <w:spacing w:after="220"/>
        <w:ind w:left="357"/>
        <w:jc w:val="both"/>
        <w:rPr>
          <w:sz w:val="22"/>
          <w:szCs w:val="22"/>
        </w:rPr>
      </w:pPr>
      <w:r w:rsidRPr="00630129">
        <w:rPr>
          <w:sz w:val="22"/>
          <w:szCs w:val="22"/>
        </w:rPr>
        <w:t>5.</w:t>
      </w:r>
      <w:r w:rsidRPr="00630129">
        <w:rPr>
          <w:sz w:val="22"/>
          <w:szCs w:val="22"/>
        </w:rPr>
        <w:tab/>
        <w:t>"</w:t>
      </w:r>
      <w:proofErr w:type="spellStart"/>
      <w:r w:rsidRPr="00630129">
        <w:rPr>
          <w:sz w:val="22"/>
          <w:szCs w:val="22"/>
        </w:rPr>
        <w:t>Non half</w:t>
      </w:r>
      <w:proofErr w:type="spellEnd"/>
      <w:r w:rsidRPr="00630129">
        <w:rPr>
          <w:sz w:val="22"/>
          <w:szCs w:val="22"/>
        </w:rPr>
        <w:t xml:space="preserve"> hourly metered export";</w:t>
      </w:r>
    </w:p>
    <w:p w14:paraId="6E9FC7D7" w14:textId="77777777" w:rsidR="002A68CF" w:rsidRPr="00630129" w:rsidRDefault="001C7564">
      <w:pPr>
        <w:spacing w:after="220"/>
        <w:ind w:left="357"/>
        <w:jc w:val="both"/>
        <w:rPr>
          <w:sz w:val="22"/>
          <w:szCs w:val="22"/>
        </w:rPr>
      </w:pPr>
      <w:r w:rsidRPr="00630129">
        <w:rPr>
          <w:sz w:val="22"/>
          <w:szCs w:val="22"/>
        </w:rPr>
        <w:t>6.</w:t>
      </w:r>
      <w:r w:rsidRPr="00630129">
        <w:rPr>
          <w:sz w:val="22"/>
          <w:szCs w:val="22"/>
        </w:rPr>
        <w:tab/>
        <w:t>"Half hourly metered import";</w:t>
      </w:r>
    </w:p>
    <w:p w14:paraId="02C27872" w14:textId="77777777" w:rsidR="002A68CF" w:rsidRPr="00630129" w:rsidRDefault="001C7564">
      <w:pPr>
        <w:spacing w:after="220"/>
        <w:ind w:left="357"/>
        <w:jc w:val="both"/>
        <w:rPr>
          <w:sz w:val="22"/>
          <w:szCs w:val="22"/>
        </w:rPr>
      </w:pPr>
      <w:r w:rsidRPr="00630129">
        <w:rPr>
          <w:sz w:val="22"/>
          <w:szCs w:val="22"/>
        </w:rPr>
        <w:t>7.</w:t>
      </w:r>
      <w:r w:rsidRPr="00630129">
        <w:rPr>
          <w:sz w:val="22"/>
          <w:szCs w:val="22"/>
        </w:rPr>
        <w:tab/>
        <w:t>"Half hourly unmetered import"; and</w:t>
      </w:r>
    </w:p>
    <w:p w14:paraId="79937245" w14:textId="77777777" w:rsidR="002A68CF" w:rsidRPr="00630129" w:rsidRDefault="001C7564">
      <w:pPr>
        <w:spacing w:after="220"/>
        <w:ind w:left="357"/>
        <w:jc w:val="both"/>
        <w:rPr>
          <w:sz w:val="22"/>
          <w:szCs w:val="22"/>
        </w:rPr>
      </w:pPr>
      <w:r w:rsidRPr="00630129">
        <w:rPr>
          <w:sz w:val="22"/>
          <w:szCs w:val="22"/>
        </w:rPr>
        <w:t>8.</w:t>
      </w:r>
      <w:r w:rsidRPr="00630129">
        <w:rPr>
          <w:sz w:val="22"/>
          <w:szCs w:val="22"/>
        </w:rPr>
        <w:tab/>
        <w:t>"Half hourly metered export".</w:t>
      </w:r>
    </w:p>
    <w:p w14:paraId="2893BE80" w14:textId="77777777" w:rsidR="002A68CF" w:rsidRPr="00630129" w:rsidRDefault="002A68CF">
      <w:pPr>
        <w:spacing w:after="220"/>
        <w:jc w:val="both"/>
        <w:rPr>
          <w:sz w:val="22"/>
          <w:szCs w:val="22"/>
        </w:rPr>
      </w:pPr>
    </w:p>
    <w:sectPr w:rsidR="002A68CF" w:rsidRPr="00630129">
      <w:headerReference w:type="even" r:id="rId12"/>
      <w:headerReference w:type="default" r:id="rId13"/>
      <w:footerReference w:type="even" r:id="rId14"/>
      <w:footerReference w:type="default" r:id="rId15"/>
      <w:headerReference w:type="first" r:id="rId16"/>
      <w:footerReference w:type="first" r:id="rId17"/>
      <w:endnotePr>
        <w:numFmt w:val="decimal"/>
      </w:endnotePr>
      <w:pgSz w:w="11909" w:h="16834" w:code="9"/>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6B70F" w14:textId="77777777" w:rsidR="002501FA" w:rsidRDefault="002501FA">
      <w:pPr>
        <w:spacing w:line="20" w:lineRule="exact"/>
      </w:pPr>
    </w:p>
  </w:endnote>
  <w:endnote w:type="continuationSeparator" w:id="0">
    <w:p w14:paraId="18BF738A" w14:textId="77777777" w:rsidR="002501FA" w:rsidRDefault="002501FA">
      <w:r>
        <w:t></w:t>
      </w:r>
    </w:p>
  </w:endnote>
  <w:endnote w:type="continuationNotice" w:id="1">
    <w:p w14:paraId="026C061A" w14:textId="77777777" w:rsidR="002501FA" w:rsidRDefault="002501FA">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CG Omega">
    <w:panose1 w:val="00000000000000000000"/>
    <w:charset w:val="00"/>
    <w:family w:val="auto"/>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3ED8" w14:textId="77777777" w:rsidR="002501FA" w:rsidRDefault="002501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4B288" w14:textId="26CCE8FF" w:rsidR="002501FA" w:rsidRDefault="002501FA">
    <w:pPr>
      <w:pStyle w:val="Footer"/>
      <w:tabs>
        <w:tab w:val="clear" w:pos="4320"/>
        <w:tab w:val="clear" w:pos="8640"/>
        <w:tab w:val="clear" w:pos="8784"/>
        <w:tab w:val="right" w:pos="9072"/>
      </w:tabs>
      <w:ind w:left="3402"/>
      <w:jc w:val="right"/>
      <w:rPr>
        <w:rStyle w:val="PageNumber"/>
        <w:spacing w:val="0"/>
        <w:lang w:val="en-GB"/>
      </w:rPr>
    </w:pPr>
    <w:r>
      <w:rPr>
        <w:rStyle w:val="PageNumber"/>
      </w:rPr>
      <w:t xml:space="preserve">X-2 –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sidR="00D47628">
      <w:rPr>
        <w:rStyle w:val="PageNumber"/>
        <w:noProof/>
        <w:snapToGrid w:val="0"/>
      </w:rPr>
      <w:t>21</w:t>
    </w:r>
    <w:r>
      <w:rPr>
        <w:rStyle w:val="PageNumber"/>
        <w:snapToGrid w:val="0"/>
      </w:rPr>
      <w:fldChar w:fldCharType="end"/>
    </w:r>
    <w:r>
      <w:rPr>
        <w:rStyle w:val="PageNumber"/>
        <w:snapToGrid w:val="0"/>
      </w:rPr>
      <w:t xml:space="preserve"> of </w:t>
    </w:r>
    <w:r>
      <w:rPr>
        <w:rStyle w:val="PageNumber"/>
        <w:snapToGrid w:val="0"/>
      </w:rPr>
      <w:fldChar w:fldCharType="begin"/>
    </w:r>
    <w:r>
      <w:rPr>
        <w:rStyle w:val="PageNumber"/>
        <w:snapToGrid w:val="0"/>
      </w:rPr>
      <w:instrText xml:space="preserve"> NUMPAGES </w:instrText>
    </w:r>
    <w:r>
      <w:rPr>
        <w:rStyle w:val="PageNumber"/>
        <w:snapToGrid w:val="0"/>
      </w:rPr>
      <w:fldChar w:fldCharType="separate"/>
    </w:r>
    <w:r w:rsidR="00D47628">
      <w:rPr>
        <w:rStyle w:val="PageNumber"/>
        <w:noProof/>
        <w:snapToGrid w:val="0"/>
      </w:rPr>
      <w:t>94</w:t>
    </w:r>
    <w:r>
      <w:rPr>
        <w:rStyle w:val="PageNumber"/>
        <w:snapToGrid w:val="0"/>
      </w:rPr>
      <w:fldChar w:fldCharType="end"/>
    </w:r>
    <w:r>
      <w:rPr>
        <w:rStyle w:val="PageNumber"/>
      </w:rPr>
      <w:tab/>
    </w:r>
    <w:r>
      <w:rPr>
        <w:rStyle w:val="PageNumber"/>
        <w:spacing w:val="0"/>
        <w:lang w:val="en-GB"/>
      </w:rPr>
      <w:t xml:space="preserve">Effective Date: </w:t>
    </w:r>
    <w:ins w:id="136" w:author="P376" w:date="2021-03-23T15:09:00Z">
      <w:r>
        <w:rPr>
          <w:rStyle w:val="PageNumber"/>
          <w:spacing w:val="0"/>
          <w:lang w:val="en-GB"/>
        </w:rPr>
        <w:t>XXXX</w:t>
      </w:r>
    </w:ins>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C96FF" w14:textId="77777777" w:rsidR="002501FA" w:rsidRDefault="002501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B95F8" w14:textId="77777777" w:rsidR="002501FA" w:rsidRDefault="002501FA">
      <w:r>
        <w:separator/>
      </w:r>
    </w:p>
  </w:footnote>
  <w:footnote w:type="continuationSeparator" w:id="0">
    <w:p w14:paraId="63316EE1" w14:textId="77777777" w:rsidR="002501FA" w:rsidRDefault="002501FA">
      <w:r>
        <w:continuationSeparator/>
      </w:r>
    </w:p>
  </w:footnote>
  <w:footnote w:type="continuationNotice" w:id="1">
    <w:p w14:paraId="5B5613DC" w14:textId="77777777" w:rsidR="002501FA" w:rsidRDefault="002501F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9D659" w14:textId="77777777" w:rsidR="002501FA" w:rsidRDefault="002501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A88CC" w14:textId="4D76C01E" w:rsidR="002501FA" w:rsidRDefault="002501FA">
    <w:pPr>
      <w:pStyle w:val="Header"/>
      <w:tabs>
        <w:tab w:val="clear" w:pos="4153"/>
        <w:tab w:val="clear" w:pos="8306"/>
      </w:tabs>
      <w:jc w:val="right"/>
      <w:rPr>
        <w:sz w:val="20"/>
      </w:rPr>
    </w:pPr>
    <w:r>
      <w:rPr>
        <w:sz w:val="20"/>
      </w:rPr>
      <w:t>BSC/V48.4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42585" w14:textId="77777777" w:rsidR="002501FA" w:rsidRDefault="002501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E4E98"/>
    <w:multiLevelType w:val="singleLevel"/>
    <w:tmpl w:val="04B4E52A"/>
    <w:lvl w:ilvl="0">
      <w:start w:val="1"/>
      <w:numFmt w:val="lowerRoman"/>
      <w:pStyle w:val="ExecutiveSummary"/>
      <w:lvlText w:val="%1"/>
      <w:lvlJc w:val="left"/>
      <w:pPr>
        <w:tabs>
          <w:tab w:val="num" w:pos="720"/>
        </w:tabs>
        <w:ind w:left="720" w:hanging="720"/>
      </w:pPr>
      <w:rPr>
        <w:rFonts w:hint="default"/>
      </w:rPr>
    </w:lvl>
  </w:abstractNum>
  <w:abstractNum w:abstractNumId="2" w15:restartNumberingAfterBreak="0">
    <w:nsid w:val="18FC402E"/>
    <w:multiLevelType w:val="multilevel"/>
    <w:tmpl w:val="716A8A8A"/>
    <w:lvl w:ilvl="0">
      <w:start w:val="1"/>
      <w:numFmt w:val="decimal"/>
      <w:pStyle w:val="Level1Heading"/>
      <w:lvlText w:val="%1."/>
      <w:lvlJc w:val="left"/>
      <w:pPr>
        <w:tabs>
          <w:tab w:val="num" w:pos="568"/>
        </w:tabs>
        <w:ind w:left="568" w:hanging="709"/>
      </w:pPr>
      <w:rPr>
        <w:rFonts w:hint="default"/>
      </w:rPr>
    </w:lvl>
    <w:lvl w:ilvl="1">
      <w:start w:val="1"/>
      <w:numFmt w:val="decimal"/>
      <w:pStyle w:val="Level2Heading"/>
      <w:lvlText w:val="%1.%2"/>
      <w:lvlJc w:val="left"/>
      <w:pPr>
        <w:tabs>
          <w:tab w:val="num" w:pos="568"/>
        </w:tabs>
        <w:ind w:left="568" w:hanging="709"/>
      </w:pPr>
      <w:rPr>
        <w:rFonts w:hint="default"/>
      </w:rPr>
    </w:lvl>
    <w:lvl w:ilvl="2">
      <w:start w:val="1"/>
      <w:numFmt w:val="decimal"/>
      <w:pStyle w:val="Level3Heading"/>
      <w:lvlText w:val="%1.%2.%3"/>
      <w:lvlJc w:val="left"/>
      <w:pPr>
        <w:tabs>
          <w:tab w:val="num" w:pos="1560"/>
        </w:tabs>
        <w:ind w:left="568" w:firstLine="0"/>
      </w:pPr>
      <w:rPr>
        <w:rFonts w:hint="default"/>
      </w:rPr>
    </w:lvl>
    <w:lvl w:ilvl="3">
      <w:start w:val="1"/>
      <w:numFmt w:val="lowerLetter"/>
      <w:pStyle w:val="Level4Heading"/>
      <w:lvlText w:val="(%4)"/>
      <w:lvlJc w:val="left"/>
      <w:pPr>
        <w:tabs>
          <w:tab w:val="num" w:pos="1985"/>
        </w:tabs>
        <w:ind w:left="1985" w:hanging="708"/>
      </w:pPr>
      <w:rPr>
        <w:rFonts w:hint="default"/>
      </w:rPr>
    </w:lvl>
    <w:lvl w:ilvl="4">
      <w:start w:val="1"/>
      <w:numFmt w:val="lowerRoman"/>
      <w:pStyle w:val="Level5Heading"/>
      <w:lvlText w:val="(%5)"/>
      <w:lvlJc w:val="left"/>
      <w:pPr>
        <w:tabs>
          <w:tab w:val="num" w:pos="2694"/>
        </w:tabs>
        <w:ind w:left="2694" w:hanging="709"/>
      </w:pPr>
      <w:rPr>
        <w:rFonts w:hint="default"/>
      </w:rPr>
    </w:lvl>
    <w:lvl w:ilvl="5">
      <w:start w:val="1"/>
      <w:numFmt w:val="upperLetter"/>
      <w:pStyle w:val="Level6Heading"/>
      <w:lvlText w:val="(%6)"/>
      <w:lvlJc w:val="left"/>
      <w:pPr>
        <w:tabs>
          <w:tab w:val="num" w:pos="3403"/>
        </w:tabs>
        <w:ind w:left="3403" w:hanging="709"/>
      </w:pPr>
      <w:rPr>
        <w:rFonts w:hint="default"/>
      </w:rPr>
    </w:lvl>
    <w:lvl w:ilvl="6">
      <w:start w:val="1"/>
      <w:numFmt w:val="decimal"/>
      <w:lvlText w:val="%7."/>
      <w:lvlJc w:val="left"/>
      <w:pPr>
        <w:tabs>
          <w:tab w:val="num" w:pos="568"/>
        </w:tabs>
        <w:ind w:left="568" w:hanging="709"/>
      </w:pPr>
      <w:rPr>
        <w:rFonts w:hint="default"/>
      </w:rPr>
    </w:lvl>
    <w:lvl w:ilvl="7">
      <w:start w:val="1"/>
      <w:numFmt w:val="lowerLetter"/>
      <w:lvlText w:val="(%8)"/>
      <w:lvlJc w:val="left"/>
      <w:pPr>
        <w:tabs>
          <w:tab w:val="num" w:pos="1277"/>
        </w:tabs>
        <w:ind w:left="1277" w:hanging="709"/>
      </w:pPr>
      <w:rPr>
        <w:rFonts w:hint="default"/>
      </w:rPr>
    </w:lvl>
    <w:lvl w:ilvl="8">
      <w:start w:val="1"/>
      <w:numFmt w:val="lowerRoman"/>
      <w:lvlText w:val="(%9)"/>
      <w:lvlJc w:val="left"/>
      <w:pPr>
        <w:tabs>
          <w:tab w:val="num" w:pos="1985"/>
        </w:tabs>
        <w:ind w:left="1985" w:hanging="708"/>
      </w:pPr>
      <w:rPr>
        <w:rFonts w:hint="default"/>
      </w:rPr>
    </w:lvl>
  </w:abstractNum>
  <w:abstractNum w:abstractNumId="3" w15:restartNumberingAfterBreak="0">
    <w:nsid w:val="1CF475FD"/>
    <w:multiLevelType w:val="hybridMultilevel"/>
    <w:tmpl w:val="0F881B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D917E75"/>
    <w:multiLevelType w:val="singleLevel"/>
    <w:tmpl w:val="618A6F0A"/>
    <w:lvl w:ilvl="0">
      <w:start w:val="1"/>
      <w:numFmt w:val="lowerLetter"/>
      <w:lvlText w:val="(%1)"/>
      <w:lvlJc w:val="left"/>
      <w:pPr>
        <w:tabs>
          <w:tab w:val="num" w:pos="1440"/>
        </w:tabs>
        <w:ind w:left="1440" w:hanging="720"/>
      </w:pPr>
      <w:rPr>
        <w:rFonts w:hint="default"/>
      </w:rPr>
    </w:lvl>
  </w:abstractNum>
  <w:abstractNum w:abstractNumId="5" w15:restartNumberingAfterBreak="0">
    <w:nsid w:val="32AD556E"/>
    <w:multiLevelType w:val="singleLevel"/>
    <w:tmpl w:val="BF4EB154"/>
    <w:lvl w:ilvl="0">
      <w:start w:val="1"/>
      <w:numFmt w:val="bullet"/>
      <w:pStyle w:val="ListBullet"/>
      <w:lvlText w:val=""/>
      <w:lvlJc w:val="left"/>
      <w:pPr>
        <w:tabs>
          <w:tab w:val="num" w:pos="1080"/>
        </w:tabs>
        <w:ind w:left="1080" w:hanging="360"/>
      </w:pPr>
      <w:rPr>
        <w:rFonts w:ascii="Symbol" w:hAnsi="Symbol" w:hint="default"/>
      </w:rPr>
    </w:lvl>
  </w:abstractNum>
  <w:abstractNum w:abstractNumId="6" w15:restartNumberingAfterBreak="0">
    <w:nsid w:val="3A48166A"/>
    <w:multiLevelType w:val="singleLevel"/>
    <w:tmpl w:val="2DF6B1B2"/>
    <w:lvl w:ilvl="0">
      <w:start w:val="1"/>
      <w:numFmt w:val="lowerRoman"/>
      <w:lvlText w:val="(%1)"/>
      <w:lvlJc w:val="left"/>
      <w:pPr>
        <w:tabs>
          <w:tab w:val="num" w:pos="990"/>
        </w:tabs>
        <w:ind w:left="990" w:hanging="990"/>
      </w:pPr>
      <w:rPr>
        <w:rFonts w:hint="default"/>
      </w:rPr>
    </w:lvl>
  </w:abstractNum>
  <w:abstractNum w:abstractNumId="7" w15:restartNumberingAfterBreak="0">
    <w:nsid w:val="3A633546"/>
    <w:multiLevelType w:val="singleLevel"/>
    <w:tmpl w:val="2ECA7830"/>
    <w:lvl w:ilvl="0">
      <w:start w:val="1"/>
      <w:numFmt w:val="bullet"/>
      <w:lvlText w:val=""/>
      <w:lvlJc w:val="left"/>
      <w:pPr>
        <w:tabs>
          <w:tab w:val="num" w:pos="1440"/>
        </w:tabs>
        <w:ind w:left="1440" w:hanging="720"/>
      </w:pPr>
      <w:rPr>
        <w:rFonts w:ascii="Symbol" w:hAnsi="Symbol" w:hint="default"/>
      </w:rPr>
    </w:lvl>
  </w:abstractNum>
  <w:abstractNum w:abstractNumId="8" w15:restartNumberingAfterBreak="0">
    <w:nsid w:val="41262386"/>
    <w:multiLevelType w:val="singleLevel"/>
    <w:tmpl w:val="EAEE55B2"/>
    <w:lvl w:ilvl="0">
      <w:start w:val="2"/>
      <w:numFmt w:val="lowerRoman"/>
      <w:lvlText w:val="(%1)"/>
      <w:lvlJc w:val="left"/>
      <w:pPr>
        <w:tabs>
          <w:tab w:val="num" w:pos="720"/>
        </w:tabs>
        <w:ind w:left="720" w:hanging="720"/>
      </w:pPr>
      <w:rPr>
        <w:rFonts w:hint="default"/>
      </w:rPr>
    </w:lvl>
  </w:abstractNum>
  <w:abstractNum w:abstractNumId="9" w15:restartNumberingAfterBreak="0">
    <w:nsid w:val="45EF34FC"/>
    <w:multiLevelType w:val="singleLevel"/>
    <w:tmpl w:val="1F1A9F72"/>
    <w:lvl w:ilvl="0">
      <w:start w:val="1"/>
      <w:numFmt w:val="lowerLetter"/>
      <w:pStyle w:val="ListNumber1"/>
      <w:lvlText w:val="(%1)"/>
      <w:lvlJc w:val="left"/>
      <w:pPr>
        <w:tabs>
          <w:tab w:val="num" w:pos="1440"/>
        </w:tabs>
        <w:ind w:left="1440" w:hanging="720"/>
      </w:pPr>
    </w:lvl>
  </w:abstractNum>
  <w:abstractNum w:abstractNumId="10" w15:restartNumberingAfterBreak="0">
    <w:nsid w:val="5BED50D6"/>
    <w:multiLevelType w:val="multilevel"/>
    <w:tmpl w:val="F15AA5D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DAE1E74"/>
    <w:multiLevelType w:val="multilevel"/>
    <w:tmpl w:val="F134135C"/>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B235E48"/>
    <w:multiLevelType w:val="singleLevel"/>
    <w:tmpl w:val="5F8CFBE0"/>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462348D"/>
    <w:multiLevelType w:val="singleLevel"/>
    <w:tmpl w:val="AD52BD20"/>
    <w:lvl w:ilvl="0">
      <w:start w:val="1"/>
      <w:numFmt w:val="lowerLetter"/>
      <w:pStyle w:val="listabc"/>
      <w:lvlText w:val="(%1)"/>
      <w:lvlJc w:val="left"/>
      <w:pPr>
        <w:tabs>
          <w:tab w:val="num" w:pos="720"/>
        </w:tabs>
        <w:ind w:left="720" w:hanging="720"/>
      </w:pPr>
    </w:lvl>
  </w:abstractNum>
  <w:abstractNum w:abstractNumId="14" w15:restartNumberingAfterBreak="0">
    <w:nsid w:val="7BF417A2"/>
    <w:multiLevelType w:val="multilevel"/>
    <w:tmpl w:val="911AFF12"/>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5"/>
  </w:num>
  <w:num w:numId="4">
    <w:abstractNumId w:val="10"/>
  </w:num>
  <w:num w:numId="5">
    <w:abstractNumId w:val="11"/>
  </w:num>
  <w:num w:numId="6">
    <w:abstractNumId w:val="8"/>
  </w:num>
  <w:num w:numId="7">
    <w:abstractNumId w:val="4"/>
  </w:num>
  <w:num w:numId="8">
    <w:abstractNumId w:val="14"/>
  </w:num>
  <w:num w:numId="9">
    <w:abstractNumId w:val="6"/>
  </w:num>
  <w:num w:numId="10">
    <w:abstractNumId w:val="13"/>
  </w:num>
  <w:num w:numId="11">
    <w:abstractNumId w:val="12"/>
  </w:num>
  <w:num w:numId="12">
    <w:abstractNumId w:val="7"/>
  </w:num>
  <w:num w:numId="13">
    <w:abstractNumId w:val="9"/>
  </w:num>
  <w:num w:numId="14">
    <w:abstractNumId w:val="2"/>
  </w:num>
  <w:num w:numId="1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 Arnold">
    <w15:presenceInfo w15:providerId="AD" w15:userId="S-1-5-21-1396533007-1231890247-332797987-19150"/>
  </w15:person>
  <w15:person w15:author="Aditi Tulpule">
    <w15:presenceInfo w15:providerId="None" w15:userId="Aditi Tulpule"/>
  </w15:person>
  <w15:person w15:author="P376">
    <w15:presenceInfo w15:providerId="None" w15:userId="P3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8194" fillcolor="white">
      <v:fill color="white"/>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8CF"/>
    <w:rsid w:val="00003934"/>
    <w:rsid w:val="00056169"/>
    <w:rsid w:val="00073A0F"/>
    <w:rsid w:val="000965D1"/>
    <w:rsid w:val="000F072E"/>
    <w:rsid w:val="00132B50"/>
    <w:rsid w:val="00156A0E"/>
    <w:rsid w:val="00196ADF"/>
    <w:rsid w:val="001A3F45"/>
    <w:rsid w:val="001A726F"/>
    <w:rsid w:val="001C7564"/>
    <w:rsid w:val="001D4CE0"/>
    <w:rsid w:val="001E0CFF"/>
    <w:rsid w:val="001E1513"/>
    <w:rsid w:val="001E56FC"/>
    <w:rsid w:val="002075AE"/>
    <w:rsid w:val="002431A0"/>
    <w:rsid w:val="00245E15"/>
    <w:rsid w:val="002501FA"/>
    <w:rsid w:val="0025363D"/>
    <w:rsid w:val="00257713"/>
    <w:rsid w:val="00262F7E"/>
    <w:rsid w:val="00271EC3"/>
    <w:rsid w:val="00280DA2"/>
    <w:rsid w:val="00281D97"/>
    <w:rsid w:val="002951CD"/>
    <w:rsid w:val="00295414"/>
    <w:rsid w:val="002A08E7"/>
    <w:rsid w:val="002A68CF"/>
    <w:rsid w:val="002B4C1E"/>
    <w:rsid w:val="0031587E"/>
    <w:rsid w:val="0032597C"/>
    <w:rsid w:val="00342C07"/>
    <w:rsid w:val="00345450"/>
    <w:rsid w:val="00363FD2"/>
    <w:rsid w:val="003859AF"/>
    <w:rsid w:val="00387963"/>
    <w:rsid w:val="003945C1"/>
    <w:rsid w:val="003A32ED"/>
    <w:rsid w:val="003D3740"/>
    <w:rsid w:val="003F259D"/>
    <w:rsid w:val="00411D44"/>
    <w:rsid w:val="00420D75"/>
    <w:rsid w:val="004336F2"/>
    <w:rsid w:val="004714B6"/>
    <w:rsid w:val="00474A4A"/>
    <w:rsid w:val="004C71B2"/>
    <w:rsid w:val="00507A1B"/>
    <w:rsid w:val="0054697E"/>
    <w:rsid w:val="005805DD"/>
    <w:rsid w:val="00586AF3"/>
    <w:rsid w:val="0058731E"/>
    <w:rsid w:val="005A0E7D"/>
    <w:rsid w:val="005A63B5"/>
    <w:rsid w:val="005B3F50"/>
    <w:rsid w:val="005B4B87"/>
    <w:rsid w:val="005D2F89"/>
    <w:rsid w:val="005D6366"/>
    <w:rsid w:val="00607020"/>
    <w:rsid w:val="00622AE5"/>
    <w:rsid w:val="00630129"/>
    <w:rsid w:val="006508AB"/>
    <w:rsid w:val="00655CEF"/>
    <w:rsid w:val="00670A3A"/>
    <w:rsid w:val="006A038E"/>
    <w:rsid w:val="006A10DE"/>
    <w:rsid w:val="006D2ED3"/>
    <w:rsid w:val="006E1641"/>
    <w:rsid w:val="006E54E2"/>
    <w:rsid w:val="006F1618"/>
    <w:rsid w:val="00705D00"/>
    <w:rsid w:val="00756AD2"/>
    <w:rsid w:val="00792D40"/>
    <w:rsid w:val="007B7D2E"/>
    <w:rsid w:val="007D60E2"/>
    <w:rsid w:val="007F51D0"/>
    <w:rsid w:val="0082638A"/>
    <w:rsid w:val="00833530"/>
    <w:rsid w:val="00834716"/>
    <w:rsid w:val="008979C0"/>
    <w:rsid w:val="008A682F"/>
    <w:rsid w:val="008D5D6F"/>
    <w:rsid w:val="008D6A1E"/>
    <w:rsid w:val="008F3697"/>
    <w:rsid w:val="008F530A"/>
    <w:rsid w:val="00914087"/>
    <w:rsid w:val="009256F4"/>
    <w:rsid w:val="009446F3"/>
    <w:rsid w:val="009905FC"/>
    <w:rsid w:val="0099110B"/>
    <w:rsid w:val="00993AE7"/>
    <w:rsid w:val="009C5E54"/>
    <w:rsid w:val="009D329D"/>
    <w:rsid w:val="00A13786"/>
    <w:rsid w:val="00A40151"/>
    <w:rsid w:val="00A62A1A"/>
    <w:rsid w:val="00A63BA8"/>
    <w:rsid w:val="00AC5E97"/>
    <w:rsid w:val="00AC64C1"/>
    <w:rsid w:val="00AF3E4D"/>
    <w:rsid w:val="00AF58E0"/>
    <w:rsid w:val="00B23009"/>
    <w:rsid w:val="00B266F6"/>
    <w:rsid w:val="00B273D9"/>
    <w:rsid w:val="00B27D7B"/>
    <w:rsid w:val="00B40932"/>
    <w:rsid w:val="00B472CB"/>
    <w:rsid w:val="00B62773"/>
    <w:rsid w:val="00B65C1C"/>
    <w:rsid w:val="00B77B86"/>
    <w:rsid w:val="00B81A7B"/>
    <w:rsid w:val="00B81AA4"/>
    <w:rsid w:val="00B841C4"/>
    <w:rsid w:val="00B87569"/>
    <w:rsid w:val="00BA1415"/>
    <w:rsid w:val="00BE3E10"/>
    <w:rsid w:val="00C0003B"/>
    <w:rsid w:val="00C12F82"/>
    <w:rsid w:val="00C262AA"/>
    <w:rsid w:val="00C835E6"/>
    <w:rsid w:val="00CB7499"/>
    <w:rsid w:val="00CB7D2C"/>
    <w:rsid w:val="00CC475B"/>
    <w:rsid w:val="00CC6C58"/>
    <w:rsid w:val="00CF73CC"/>
    <w:rsid w:val="00D11619"/>
    <w:rsid w:val="00D33E76"/>
    <w:rsid w:val="00D44F90"/>
    <w:rsid w:val="00D47628"/>
    <w:rsid w:val="00D60C79"/>
    <w:rsid w:val="00D635F8"/>
    <w:rsid w:val="00D90366"/>
    <w:rsid w:val="00D96DC2"/>
    <w:rsid w:val="00DD3658"/>
    <w:rsid w:val="00E054EC"/>
    <w:rsid w:val="00E55FC9"/>
    <w:rsid w:val="00E85292"/>
    <w:rsid w:val="00EB6D98"/>
    <w:rsid w:val="00EB7172"/>
    <w:rsid w:val="00EC2611"/>
    <w:rsid w:val="00ED0D2E"/>
    <w:rsid w:val="00EE5386"/>
    <w:rsid w:val="00F248AA"/>
    <w:rsid w:val="00F4238D"/>
    <w:rsid w:val="00F60AD8"/>
    <w:rsid w:val="00F91F1C"/>
    <w:rsid w:val="00F94C8E"/>
    <w:rsid w:val="00FA6F10"/>
    <w:rsid w:val="00FC0D03"/>
    <w:rsid w:val="00FF4B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8194" fillcolor="white">
      <v:fill color="white"/>
    </o:shapedefaults>
    <o:shapelayout v:ext="edit">
      <o:idmap v:ext="edit" data="1"/>
    </o:shapelayout>
  </w:shapeDefaults>
  <w:decimalSymbol w:val="."/>
  <w:listSeparator w:val=","/>
  <w14:docId w14:val="315172A0"/>
  <w15:docId w15:val="{0F9D2745-E903-428B-A7DA-3A632E7E9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E76"/>
    <w:rPr>
      <w:sz w:val="24"/>
      <w:lang w:eastAsia="en-US"/>
    </w:rPr>
  </w:style>
  <w:style w:type="paragraph" w:styleId="Heading1">
    <w:name w:val="heading 1"/>
    <w:basedOn w:val="Normal"/>
    <w:next w:val="Normal"/>
    <w:qFormat/>
    <w:pPr>
      <w:keepNext/>
      <w:tabs>
        <w:tab w:val="left" w:pos="-720"/>
        <w:tab w:val="left" w:pos="0"/>
        <w:tab w:val="left" w:pos="720"/>
        <w:tab w:val="left" w:pos="1440"/>
        <w:tab w:val="left" w:pos="2160"/>
        <w:tab w:val="left" w:pos="2835"/>
      </w:tabs>
      <w:suppressAutoHyphens/>
      <w:ind w:left="4995" w:hanging="2835"/>
      <w:outlineLvl w:val="0"/>
    </w:pPr>
    <w:rPr>
      <w:rFonts w:ascii="CG Times" w:hAnsi="CG Times"/>
    </w:rPr>
  </w:style>
  <w:style w:type="paragraph" w:styleId="Heading2">
    <w:name w:val="heading 2"/>
    <w:aliases w:val="Chapter"/>
    <w:basedOn w:val="Normal"/>
    <w:next w:val="Normal"/>
    <w:qFormat/>
    <w:pPr>
      <w:keepNext/>
      <w:jc w:val="center"/>
      <w:outlineLvl w:val="1"/>
    </w:pPr>
    <w:rPr>
      <w:b/>
      <w:sz w:val="28"/>
      <w:u w:val="single"/>
    </w:rPr>
  </w:style>
  <w:style w:type="paragraph" w:styleId="Heading3">
    <w:name w:val="heading 3"/>
    <w:basedOn w:val="Normal"/>
    <w:next w:val="Normal"/>
    <w:qFormat/>
    <w:pPr>
      <w:keepNext/>
      <w:jc w:val="center"/>
      <w:outlineLvl w:val="2"/>
    </w:pPr>
    <w:rPr>
      <w:b/>
      <w:sz w:val="20"/>
    </w:rPr>
  </w:style>
  <w:style w:type="paragraph" w:styleId="Heading4">
    <w:name w:val="heading 4"/>
    <w:aliases w:val="Clause"/>
    <w:basedOn w:val="Normal"/>
    <w:next w:val="Normal"/>
    <w:qFormat/>
    <w:pPr>
      <w:keepNext/>
      <w:outlineLvl w:val="3"/>
    </w:pPr>
    <w:rPr>
      <w:i/>
      <w:sz w:val="20"/>
    </w:rPr>
  </w:style>
  <w:style w:type="paragraph" w:styleId="Heading5">
    <w:name w:val="heading 5"/>
    <w:basedOn w:val="Normal"/>
    <w:next w:val="Normal"/>
    <w:qFormat/>
    <w:pPr>
      <w:keepNext/>
      <w:tabs>
        <w:tab w:val="left" w:pos="-720"/>
        <w:tab w:val="left" w:pos="0"/>
        <w:tab w:val="left" w:pos="720"/>
        <w:tab w:val="left" w:pos="1440"/>
        <w:tab w:val="left" w:pos="2160"/>
        <w:tab w:val="left" w:pos="2977"/>
      </w:tabs>
      <w:suppressAutoHyphens/>
      <w:ind w:left="5137" w:hanging="2977"/>
      <w:outlineLvl w:val="4"/>
    </w:pPr>
    <w:rPr>
      <w:rFonts w:ascii="CG Times" w:hAnsi="CG Times"/>
    </w:rPr>
  </w:style>
  <w:style w:type="paragraph" w:styleId="Heading6">
    <w:name w:val="heading 6"/>
    <w:basedOn w:val="Normal"/>
    <w:next w:val="Normal"/>
    <w:qFormat/>
    <w:pPr>
      <w:keepNext/>
      <w:tabs>
        <w:tab w:val="left" w:pos="-720"/>
        <w:tab w:val="left" w:pos="0"/>
        <w:tab w:val="left" w:pos="720"/>
      </w:tabs>
      <w:suppressAutoHyphens/>
      <w:ind w:left="1440" w:hanging="1440"/>
      <w:outlineLvl w:val="5"/>
    </w:pPr>
    <w:rPr>
      <w:rFonts w:ascii="CG Times" w:hAnsi="CG Times"/>
      <w:b/>
      <w:bCs/>
      <w:sz w:val="28"/>
    </w:rPr>
  </w:style>
  <w:style w:type="paragraph" w:styleId="Heading7">
    <w:name w:val="heading 7"/>
    <w:basedOn w:val="Normal"/>
    <w:next w:val="Normal"/>
    <w:qFormat/>
    <w:pPr>
      <w:keepNext/>
      <w:tabs>
        <w:tab w:val="center" w:pos="4513"/>
      </w:tabs>
      <w:suppressAutoHyphens/>
      <w:jc w:val="both"/>
      <w:outlineLvl w:val="6"/>
    </w:pPr>
    <w:rPr>
      <w:b/>
      <w:spacing w:val="-3"/>
    </w:rPr>
  </w:style>
  <w:style w:type="paragraph" w:styleId="Heading8">
    <w:name w:val="heading 8"/>
    <w:basedOn w:val="Normal"/>
    <w:next w:val="Normal"/>
    <w:qFormat/>
    <w:pPr>
      <w:keepNext/>
      <w:outlineLvl w:val="7"/>
    </w:pPr>
    <w:rPr>
      <w:sz w:val="28"/>
    </w:rPr>
  </w:style>
  <w:style w:type="paragraph" w:styleId="Heading9">
    <w:name w:val="heading 9"/>
    <w:basedOn w:val="Normal"/>
    <w:next w:val="Normal"/>
    <w:qFormat/>
    <w:pPr>
      <w:keepNext/>
      <w:jc w:val="both"/>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customStyle="1" w:styleId="a1111">
    <w:name w:val="a1.11.1"/>
    <w:pPr>
      <w:keepNext/>
      <w:keepLines/>
      <w:tabs>
        <w:tab w:val="left" w:pos="-763"/>
        <w:tab w:val="left" w:pos="-43"/>
        <w:tab w:val="left" w:pos="677"/>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 w:val="left" w:pos="12197"/>
        <w:tab w:val="left" w:pos="12917"/>
        <w:tab w:val="left" w:pos="13637"/>
        <w:tab w:val="left" w:pos="14357"/>
        <w:tab w:val="left" w:pos="15077"/>
        <w:tab w:val="left" w:pos="15797"/>
        <w:tab w:val="left" w:pos="16517"/>
        <w:tab w:val="left" w:pos="17237"/>
        <w:tab w:val="left" w:pos="17957"/>
        <w:tab w:val="left" w:pos="18677"/>
      </w:tabs>
      <w:suppressAutoHyphens/>
    </w:pPr>
    <w:rPr>
      <w:rFonts w:ascii="Book Antiqua" w:hAnsi="Book Antiqua"/>
      <w:b/>
      <w:sz w:val="24"/>
      <w:lang w:val="en-US" w:eastAsia="en-US"/>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MT Extra" w:hAnsi="MT Extra"/>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MT Extra" w:hAnsi="MT Extra"/>
      <w:sz w:val="24"/>
      <w:lang w:val="en-US" w:eastAsia="en-US"/>
    </w:rPr>
  </w:style>
  <w:style w:type="paragraph" w:customStyle="1" w:styleId="RightPar2">
    <w:name w:val="Right Par 2"/>
    <w:pPr>
      <w:tabs>
        <w:tab w:val="left" w:pos="-720"/>
        <w:tab w:val="left" w:pos="0"/>
        <w:tab w:val="left" w:pos="720"/>
        <w:tab w:val="decimal" w:pos="1440"/>
      </w:tabs>
      <w:suppressAutoHyphens/>
      <w:ind w:left="1440"/>
    </w:pPr>
    <w:rPr>
      <w:rFonts w:ascii="MT Extra" w:hAnsi="MT Extra"/>
      <w:sz w:val="24"/>
      <w:lang w:val="en-US" w:eastAsia="en-US"/>
    </w:rPr>
  </w:style>
  <w:style w:type="character" w:customStyle="1" w:styleId="Document3">
    <w:name w:val="Document 3"/>
    <w:basedOn w:val="DefaultParagraphFont"/>
    <w:rPr>
      <w:rFonts w:ascii="MT Extra" w:hAnsi="MT Extra"/>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MT Extra" w:hAnsi="MT Extra"/>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MT Extra" w:hAnsi="MT Extra"/>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MT Extra" w:hAnsi="MT Extra"/>
      <w:sz w:val="24"/>
      <w:lang w:val="en-US"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MT Extra" w:hAnsi="MT Extra"/>
      <w:sz w:val="24"/>
      <w:lang w:val="en-US"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MT Extra" w:hAnsi="MT Extra"/>
      <w:sz w:val="24"/>
      <w:lang w:val="en-US"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MT Extra" w:hAnsi="MT Extra"/>
      <w:sz w:val="24"/>
      <w:lang w:val="en-US" w:eastAsia="en-US"/>
    </w:rPr>
  </w:style>
  <w:style w:type="paragraph" w:customStyle="1" w:styleId="Document1">
    <w:name w:val="Document 1"/>
    <w:pPr>
      <w:keepNext/>
      <w:keepLines/>
      <w:tabs>
        <w:tab w:val="left" w:pos="-720"/>
      </w:tabs>
      <w:suppressAutoHyphens/>
    </w:pPr>
    <w:rPr>
      <w:rFonts w:ascii="MT Extra" w:hAnsi="MT Extra"/>
      <w:sz w:val="24"/>
      <w:lang w:val="en-US" w:eastAsia="en-US"/>
    </w:rPr>
  </w:style>
  <w:style w:type="character" w:customStyle="1" w:styleId="TechInit">
    <w:name w:val="Tech Init"/>
    <w:basedOn w:val="DefaultParagraphFont"/>
    <w:rPr>
      <w:rFonts w:ascii="MT Extra" w:hAnsi="MT Extra"/>
      <w:noProof w:val="0"/>
      <w:sz w:val="24"/>
      <w:lang w:val="en-US"/>
    </w:rPr>
  </w:style>
  <w:style w:type="paragraph" w:customStyle="1" w:styleId="Technical5">
    <w:name w:val="Technical 5"/>
    <w:pPr>
      <w:tabs>
        <w:tab w:val="left" w:pos="-720"/>
      </w:tabs>
      <w:suppressAutoHyphens/>
      <w:ind w:firstLine="720"/>
    </w:pPr>
    <w:rPr>
      <w:rFonts w:ascii="MT Extra" w:hAnsi="MT Extra"/>
      <w:b/>
      <w:sz w:val="24"/>
      <w:lang w:val="en-US" w:eastAsia="en-US"/>
    </w:rPr>
  </w:style>
  <w:style w:type="paragraph" w:customStyle="1" w:styleId="Technical6">
    <w:name w:val="Technical 6"/>
    <w:pPr>
      <w:tabs>
        <w:tab w:val="left" w:pos="-720"/>
      </w:tabs>
      <w:suppressAutoHyphens/>
      <w:ind w:firstLine="720"/>
    </w:pPr>
    <w:rPr>
      <w:rFonts w:ascii="MT Extra" w:hAnsi="MT Extra"/>
      <w:b/>
      <w:sz w:val="24"/>
      <w:lang w:val="en-US" w:eastAsia="en-US"/>
    </w:rPr>
  </w:style>
  <w:style w:type="character" w:customStyle="1" w:styleId="Technical2">
    <w:name w:val="Technical 2"/>
    <w:basedOn w:val="DefaultParagraphFont"/>
    <w:rPr>
      <w:rFonts w:ascii="MT Extra" w:hAnsi="MT Extra"/>
      <w:noProof w:val="0"/>
      <w:sz w:val="24"/>
      <w:lang w:val="en-US"/>
    </w:rPr>
  </w:style>
  <w:style w:type="character" w:customStyle="1" w:styleId="Technical3">
    <w:name w:val="Technical 3"/>
    <w:basedOn w:val="DefaultParagraphFont"/>
    <w:rPr>
      <w:rFonts w:ascii="MT Extra" w:hAnsi="MT Extra"/>
      <w:noProof w:val="0"/>
      <w:sz w:val="24"/>
      <w:lang w:val="en-US"/>
    </w:rPr>
  </w:style>
  <w:style w:type="paragraph" w:customStyle="1" w:styleId="Technical4">
    <w:name w:val="Technical 4"/>
    <w:pPr>
      <w:tabs>
        <w:tab w:val="left" w:pos="-720"/>
      </w:tabs>
      <w:suppressAutoHyphens/>
    </w:pPr>
    <w:rPr>
      <w:rFonts w:ascii="MT Extra" w:hAnsi="MT Extra"/>
      <w:b/>
      <w:sz w:val="24"/>
      <w:lang w:val="en-US" w:eastAsia="en-US"/>
    </w:rPr>
  </w:style>
  <w:style w:type="character" w:customStyle="1" w:styleId="Technical1">
    <w:name w:val="Technical 1"/>
    <w:basedOn w:val="DefaultParagraphFont"/>
    <w:rPr>
      <w:rFonts w:ascii="MT Extra" w:hAnsi="MT Extra"/>
      <w:noProof w:val="0"/>
      <w:sz w:val="24"/>
      <w:lang w:val="en-US"/>
    </w:rPr>
  </w:style>
  <w:style w:type="paragraph" w:customStyle="1" w:styleId="Technical7">
    <w:name w:val="Technical 7"/>
    <w:pPr>
      <w:tabs>
        <w:tab w:val="left" w:pos="-720"/>
      </w:tabs>
      <w:suppressAutoHyphens/>
      <w:ind w:firstLine="720"/>
    </w:pPr>
    <w:rPr>
      <w:rFonts w:ascii="MT Extra" w:hAnsi="MT Extra"/>
      <w:b/>
      <w:sz w:val="24"/>
      <w:lang w:val="en-US" w:eastAsia="en-US"/>
    </w:rPr>
  </w:style>
  <w:style w:type="paragraph" w:customStyle="1" w:styleId="Technical8">
    <w:name w:val="Technical 8"/>
    <w:pPr>
      <w:tabs>
        <w:tab w:val="left" w:pos="-720"/>
      </w:tabs>
      <w:suppressAutoHyphens/>
      <w:ind w:firstLine="720"/>
    </w:pPr>
    <w:rPr>
      <w:rFonts w:ascii="MT Extra" w:hAnsi="MT Extra"/>
      <w:b/>
      <w:sz w:val="24"/>
      <w:lang w:val="en-US" w:eastAsia="en-US"/>
    </w:rPr>
  </w:style>
  <w:style w:type="character" w:customStyle="1" w:styleId="DocInit">
    <w:name w:val="Doc Init"/>
    <w:basedOn w:val="DefaultParagraphFont"/>
  </w:style>
  <w:style w:type="character" w:customStyle="1" w:styleId="a1">
    <w:name w:val="a1"/>
    <w:basedOn w:val="DefaultParagraphFont"/>
    <w:rPr>
      <w:rFonts w:ascii="MT Extra" w:hAnsi="MT Extra"/>
      <w:noProof w:val="0"/>
      <w:sz w:val="24"/>
      <w:lang w:val="en-US"/>
    </w:rPr>
  </w:style>
  <w:style w:type="character" w:customStyle="1" w:styleId="a2">
    <w:name w:val="a2"/>
    <w:basedOn w:val="DefaultParagraphFont"/>
    <w:rPr>
      <w:rFonts w:ascii="MT Extra" w:hAnsi="MT Extra"/>
      <w:noProof w:val="0"/>
      <w:sz w:val="24"/>
      <w:lang w:val="en-US"/>
    </w:rPr>
  </w:style>
  <w:style w:type="character" w:customStyle="1" w:styleId="a3">
    <w:name w:val="a3"/>
    <w:basedOn w:val="DefaultParagraphFont"/>
    <w:rPr>
      <w:rFonts w:ascii="MT Extra" w:hAnsi="MT Extra"/>
      <w:noProof w:val="0"/>
      <w:sz w:val="24"/>
      <w:lang w:val="en-US"/>
    </w:rPr>
  </w:style>
  <w:style w:type="character" w:customStyle="1" w:styleId="bullet1">
    <w:name w:val="bullet 1"/>
    <w:basedOn w:val="DefaultParagraphFont"/>
  </w:style>
  <w:style w:type="character" w:customStyle="1" w:styleId="bullet2">
    <w:name w:val="bullet 2"/>
    <w:basedOn w:val="DefaultParagraphFont"/>
  </w:style>
  <w:style w:type="character" w:customStyle="1" w:styleId="-Header">
    <w:name w:val="- Header"/>
    <w:basedOn w:val="DefaultParagraphFont"/>
  </w:style>
  <w:style w:type="paragraph" w:customStyle="1" w:styleId="a11110">
    <w:name w:val="a1.1.1.1"/>
    <w:pPr>
      <w:tabs>
        <w:tab w:val="left" w:pos="-720"/>
        <w:tab w:val="left" w:pos="0"/>
        <w:tab w:val="left" w:pos="720"/>
      </w:tabs>
      <w:suppressAutoHyphens/>
      <w:ind w:left="1200" w:hanging="1200"/>
    </w:pPr>
    <w:rPr>
      <w:rFonts w:ascii="MT Extra" w:hAnsi="MT Extra"/>
      <w:sz w:val="24"/>
      <w:lang w:val="en-US" w:eastAsia="en-US"/>
    </w:rPr>
  </w:style>
  <w:style w:type="paragraph" w:customStyle="1" w:styleId="a10">
    <w:name w:val="a1."/>
    <w:pPr>
      <w:tabs>
        <w:tab w:val="left" w:pos="-720"/>
        <w:tab w:val="left" w:pos="0"/>
        <w:tab w:val="left" w:pos="720"/>
      </w:tabs>
      <w:suppressAutoHyphens/>
      <w:ind w:left="1200" w:hanging="1200"/>
    </w:pPr>
    <w:rPr>
      <w:rFonts w:ascii="MT Extra" w:hAnsi="MT Extra"/>
      <w:b/>
      <w:sz w:val="24"/>
      <w:lang w:val="en-US" w:eastAsia="en-US"/>
    </w:rPr>
  </w:style>
  <w:style w:type="paragraph" w:customStyle="1" w:styleId="a11">
    <w:name w:val="a1.1"/>
    <w:pPr>
      <w:tabs>
        <w:tab w:val="left" w:pos="-720"/>
        <w:tab w:val="left" w:pos="0"/>
        <w:tab w:val="left" w:pos="720"/>
      </w:tabs>
      <w:suppressAutoHyphens/>
      <w:ind w:left="1200" w:hanging="1200"/>
    </w:pPr>
    <w:rPr>
      <w:rFonts w:ascii="MT Extra" w:hAnsi="MT Extra"/>
      <w:b/>
      <w:sz w:val="24"/>
      <w:lang w:val="en-US" w:eastAsia="en-US"/>
    </w:rPr>
  </w:style>
  <w:style w:type="paragraph" w:customStyle="1" w:styleId="a111">
    <w:name w:val="a1.1.1"/>
    <w:pPr>
      <w:tabs>
        <w:tab w:val="left" w:pos="-720"/>
        <w:tab w:val="left" w:pos="0"/>
        <w:tab w:val="left" w:pos="720"/>
      </w:tabs>
      <w:suppressAutoHyphens/>
      <w:ind w:left="1200" w:hanging="1200"/>
    </w:pPr>
    <w:rPr>
      <w:rFonts w:ascii="MT Extra" w:hAnsi="MT Extra"/>
      <w:sz w:val="24"/>
      <w:lang w:val="en-US" w:eastAsia="en-US"/>
    </w:rPr>
  </w:style>
  <w:style w:type="paragraph" w:styleId="Footer">
    <w:name w:val="footer"/>
    <w:basedOn w:val="Normal"/>
    <w:pPr>
      <w:tabs>
        <w:tab w:val="center" w:pos="4320"/>
        <w:tab w:val="right" w:pos="8640"/>
        <w:tab w:val="right" w:pos="8784"/>
      </w:tabs>
      <w:suppressAutoHyphens/>
      <w:jc w:val="both"/>
    </w:pPr>
    <w:rPr>
      <w:spacing w:val="-2"/>
      <w:sz w:val="20"/>
      <w:lang w:val="en-US"/>
    </w:rPr>
  </w:style>
  <w:style w:type="paragraph" w:customStyle="1" w:styleId="report">
    <w:name w:val="report"/>
    <w:pPr>
      <w:tabs>
        <w:tab w:val="left" w:pos="846"/>
        <w:tab w:val="left" w:pos="2124"/>
        <w:tab w:val="left" w:pos="2694"/>
        <w:tab w:val="left" w:pos="3258"/>
        <w:tab w:val="left" w:pos="3402"/>
        <w:tab w:val="left" w:pos="3828"/>
        <w:tab w:val="left" w:pos="5808"/>
        <w:tab w:val="left" w:pos="7200"/>
        <w:tab w:val="left" w:pos="7938"/>
      </w:tabs>
      <w:suppressAutoHyphens/>
      <w:jc w:val="both"/>
    </w:pPr>
    <w:rPr>
      <w:spacing w:val="-2"/>
      <w:sz w:val="16"/>
      <w:lang w:val="en-US" w:eastAsia="en-US"/>
    </w:rPr>
  </w:style>
  <w:style w:type="paragraph" w:customStyle="1" w:styleId="Note">
    <w:name w:val="Note:"/>
    <w:pPr>
      <w:tabs>
        <w:tab w:val="left" w:pos="1080"/>
      </w:tabs>
      <w:suppressAutoHyphens/>
      <w:ind w:left="1080" w:hanging="1080"/>
    </w:pPr>
    <w:rPr>
      <w:rFonts w:ascii="MT Extra" w:hAnsi="MT Extra"/>
      <w:sz w:val="24"/>
      <w:lang w:val="en-US" w:eastAsia="en-US"/>
    </w:rPr>
  </w:style>
  <w:style w:type="paragraph" w:customStyle="1" w:styleId="Lowercasea">
    <w:name w:val="Lower case a"/>
    <w:pPr>
      <w:keepNext/>
      <w:keepLines/>
      <w:tabs>
        <w:tab w:val="left" w:pos="-720"/>
        <w:tab w:val="left" w:pos="0"/>
      </w:tabs>
      <w:suppressAutoHyphens/>
      <w:ind w:left="720" w:hanging="720"/>
    </w:pPr>
    <w:rPr>
      <w:rFonts w:ascii="MT Extra" w:hAnsi="MT Extra"/>
      <w:sz w:val="24"/>
      <w:lang w:val="en-US" w:eastAsia="en-US"/>
    </w:rPr>
  </w:style>
  <w:style w:type="paragraph" w:customStyle="1" w:styleId="Lowercaser">
    <w:name w:val="Lower case r"/>
    <w:pPr>
      <w:keepNext/>
      <w:keepLines/>
      <w:tabs>
        <w:tab w:val="left" w:pos="-720"/>
        <w:tab w:val="left" w:pos="0"/>
      </w:tabs>
      <w:suppressAutoHyphens/>
      <w:ind w:left="720" w:hanging="720"/>
    </w:pPr>
    <w:rPr>
      <w:rFonts w:ascii="MT Extra" w:hAnsi="MT Extra"/>
      <w:sz w:val="24"/>
      <w:lang w:val="en-US" w:eastAsia="en-US"/>
    </w:rPr>
  </w:style>
  <w:style w:type="paragraph" w:customStyle="1" w:styleId="MainSection">
    <w:name w:val="Main Section"/>
    <w:pPr>
      <w:tabs>
        <w:tab w:val="left" w:pos="-720"/>
      </w:tabs>
      <w:suppressAutoHyphens/>
      <w:jc w:val="both"/>
    </w:pPr>
    <w:rPr>
      <w:rFonts w:ascii="Book Antiqua" w:hAnsi="Book Antiqua"/>
      <w:spacing w:val="-3"/>
      <w:sz w:val="24"/>
      <w:lang w:val="en-US" w:eastAsia="en-US"/>
    </w:rPr>
  </w:style>
  <w:style w:type="paragraph" w:customStyle="1" w:styleId="a11111">
    <w:name w:val="a1.1.1.1.1"/>
    <w:pPr>
      <w:tabs>
        <w:tab w:val="left" w:pos="-720"/>
        <w:tab w:val="left" w:pos="0"/>
      </w:tabs>
      <w:suppressAutoHyphens/>
      <w:ind w:left="720" w:hanging="720"/>
    </w:pPr>
    <w:rPr>
      <w:rFonts w:ascii="MT Extra" w:hAnsi="MT Extra"/>
      <w:b/>
      <w:sz w:val="24"/>
      <w:lang w:val="en-US" w:eastAsia="en-US"/>
    </w:rPr>
  </w:style>
  <w:style w:type="paragraph" w:customStyle="1" w:styleId="a1stLevAlgo">
    <w:name w:val="a1st Lev Algo"/>
    <w:pPr>
      <w:tabs>
        <w:tab w:val="left" w:pos="-720"/>
        <w:tab w:val="left" w:pos="0"/>
        <w:tab w:val="left" w:pos="720"/>
        <w:tab w:val="left" w:pos="1440"/>
      </w:tabs>
      <w:suppressAutoHyphens/>
      <w:ind w:left="1920" w:hanging="480"/>
    </w:pPr>
    <w:rPr>
      <w:rFonts w:ascii="MT Extra" w:hAnsi="MT Extra"/>
      <w:sz w:val="24"/>
      <w:lang w:val="en-US" w:eastAsia="en-US"/>
    </w:rPr>
  </w:style>
  <w:style w:type="paragraph" w:customStyle="1" w:styleId="Heading">
    <w:name w:val="Heading"/>
    <w:uiPriority w:val="1"/>
    <w:qFormat/>
    <w:pPr>
      <w:tabs>
        <w:tab w:val="center" w:pos="4680"/>
      </w:tabs>
      <w:suppressAutoHyphens/>
      <w:ind w:firstLine="4680"/>
    </w:pPr>
    <w:rPr>
      <w:rFonts w:ascii="MT Extra" w:hAnsi="MT Extra"/>
      <w:b/>
      <w:sz w:val="29"/>
      <w:lang w:val="en-US" w:eastAsia="en-US"/>
    </w:rPr>
  </w:style>
  <w:style w:type="character" w:customStyle="1" w:styleId="SubEntryForm">
    <w:name w:val="Sub Entry Form"/>
    <w:basedOn w:val="DefaultParagraphFont"/>
  </w:style>
  <w:style w:type="character" w:customStyle="1" w:styleId="BulletList">
    <w:name w:val="Bullet List"/>
    <w:basedOn w:val="DefaultParagraphFont"/>
  </w:style>
  <w:style w:type="paragraph" w:customStyle="1" w:styleId="PropF1">
    <w:name w:val="PropF 1"/>
    <w:pPr>
      <w:tabs>
        <w:tab w:val="left" w:pos="-720"/>
        <w:tab w:val="left" w:pos="0"/>
      </w:tabs>
      <w:suppressAutoHyphens/>
      <w:ind w:left="720" w:hanging="720"/>
    </w:pPr>
    <w:rPr>
      <w:rFonts w:ascii="MT Extra" w:hAnsi="MT Extra"/>
      <w:sz w:val="24"/>
      <w:lang w:val="en-US" w:eastAsia="en-US"/>
    </w:rPr>
  </w:style>
  <w:style w:type="paragraph" w:customStyle="1" w:styleId="PropF2">
    <w:name w:val="PropF 2"/>
    <w:pPr>
      <w:tabs>
        <w:tab w:val="left" w:pos="-720"/>
        <w:tab w:val="left" w:pos="0"/>
        <w:tab w:val="left" w:pos="720"/>
      </w:tabs>
      <w:suppressAutoHyphens/>
      <w:ind w:left="1440" w:hanging="720"/>
    </w:pPr>
    <w:rPr>
      <w:rFonts w:ascii="MT Extra" w:hAnsi="MT Extra"/>
      <w:sz w:val="24"/>
      <w:lang w:val="en-US" w:eastAsia="en-US"/>
    </w:rPr>
  </w:style>
  <w:style w:type="paragraph" w:customStyle="1" w:styleId="PropF3">
    <w:name w:val="PropF 3"/>
    <w:pPr>
      <w:tabs>
        <w:tab w:val="left" w:pos="-720"/>
        <w:tab w:val="left" w:pos="0"/>
        <w:tab w:val="left" w:pos="720"/>
        <w:tab w:val="left" w:pos="1440"/>
      </w:tabs>
      <w:suppressAutoHyphens/>
      <w:ind w:left="2160" w:hanging="720"/>
    </w:pPr>
    <w:rPr>
      <w:rFonts w:ascii="MT Extra" w:hAnsi="MT Extra"/>
      <w:sz w:val="24"/>
      <w:lang w:val="en-US" w:eastAsia="en-US"/>
    </w:rPr>
  </w:style>
  <w:style w:type="paragraph" w:customStyle="1" w:styleId="PropF4">
    <w:name w:val="PropF 4"/>
    <w:pPr>
      <w:tabs>
        <w:tab w:val="left" w:pos="-720"/>
        <w:tab w:val="left" w:pos="0"/>
        <w:tab w:val="left" w:pos="720"/>
        <w:tab w:val="left" w:pos="1440"/>
        <w:tab w:val="left" w:pos="2160"/>
      </w:tabs>
      <w:suppressAutoHyphens/>
      <w:ind w:left="2880" w:hanging="720"/>
    </w:pPr>
    <w:rPr>
      <w:rFonts w:ascii="MT Extra" w:hAnsi="MT Extra"/>
      <w:sz w:val="24"/>
      <w:lang w:val="en-US" w:eastAsia="en-US"/>
    </w:rPr>
  </w:style>
  <w:style w:type="paragraph" w:customStyle="1" w:styleId="PropF5">
    <w:name w:val="PropF 5"/>
    <w:pPr>
      <w:tabs>
        <w:tab w:val="left" w:pos="-720"/>
        <w:tab w:val="left" w:pos="0"/>
        <w:tab w:val="left" w:pos="720"/>
        <w:tab w:val="left" w:pos="1440"/>
        <w:tab w:val="left" w:pos="2160"/>
        <w:tab w:val="left" w:pos="2880"/>
      </w:tabs>
      <w:suppressAutoHyphens/>
      <w:ind w:left="3600" w:hanging="720"/>
    </w:pPr>
    <w:rPr>
      <w:rFonts w:ascii="MT Extra" w:hAnsi="MT Extra"/>
      <w:sz w:val="24"/>
      <w:lang w:val="en-US" w:eastAsia="en-US"/>
    </w:rPr>
  </w:style>
  <w:style w:type="paragraph" w:customStyle="1" w:styleId="PropF6">
    <w:name w:val="PropF 6"/>
    <w:pPr>
      <w:tabs>
        <w:tab w:val="left" w:pos="-720"/>
        <w:tab w:val="left" w:pos="0"/>
        <w:tab w:val="left" w:pos="720"/>
        <w:tab w:val="left" w:pos="1440"/>
        <w:tab w:val="left" w:pos="2160"/>
        <w:tab w:val="left" w:pos="2880"/>
        <w:tab w:val="left" w:pos="3600"/>
      </w:tabs>
      <w:suppressAutoHyphens/>
      <w:ind w:left="4320" w:hanging="720"/>
    </w:pPr>
    <w:rPr>
      <w:rFonts w:ascii="MT Extra" w:hAnsi="MT Extra"/>
      <w:sz w:val="24"/>
      <w:lang w:val="en-US" w:eastAsia="en-US"/>
    </w:rPr>
  </w:style>
  <w:style w:type="paragraph" w:customStyle="1" w:styleId="DocF1">
    <w:name w:val="DocF 1"/>
    <w:pPr>
      <w:tabs>
        <w:tab w:val="left" w:pos="-720"/>
        <w:tab w:val="left" w:pos="0"/>
      </w:tabs>
      <w:suppressAutoHyphens/>
      <w:ind w:left="720" w:hanging="720"/>
    </w:pPr>
    <w:rPr>
      <w:rFonts w:ascii="MT Extra" w:hAnsi="MT Extra"/>
      <w:sz w:val="24"/>
      <w:lang w:val="en-US" w:eastAsia="en-US"/>
    </w:rPr>
  </w:style>
  <w:style w:type="paragraph" w:customStyle="1" w:styleId="DocF2">
    <w:name w:val="DocF 2"/>
    <w:pPr>
      <w:tabs>
        <w:tab w:val="left" w:pos="-720"/>
        <w:tab w:val="left" w:pos="0"/>
      </w:tabs>
      <w:suppressAutoHyphens/>
      <w:ind w:left="720" w:hanging="720"/>
    </w:pPr>
    <w:rPr>
      <w:rFonts w:ascii="MT Extra" w:hAnsi="MT Extra"/>
      <w:sz w:val="24"/>
      <w:lang w:val="en-US" w:eastAsia="en-US"/>
    </w:rPr>
  </w:style>
  <w:style w:type="paragraph" w:customStyle="1" w:styleId="DocF3">
    <w:name w:val="DocF 3"/>
    <w:pPr>
      <w:tabs>
        <w:tab w:val="left" w:pos="-720"/>
        <w:tab w:val="left" w:pos="0"/>
        <w:tab w:val="left" w:pos="720"/>
      </w:tabs>
      <w:suppressAutoHyphens/>
      <w:ind w:left="1440" w:hanging="720"/>
    </w:pPr>
    <w:rPr>
      <w:rFonts w:ascii="MT Extra" w:hAnsi="MT Extra"/>
      <w:sz w:val="24"/>
      <w:lang w:val="en-US" w:eastAsia="en-US"/>
    </w:rPr>
  </w:style>
  <w:style w:type="paragraph" w:customStyle="1" w:styleId="DocF4">
    <w:name w:val="DocF 4"/>
    <w:pPr>
      <w:tabs>
        <w:tab w:val="left" w:pos="-720"/>
        <w:tab w:val="left" w:pos="0"/>
        <w:tab w:val="left" w:pos="720"/>
      </w:tabs>
      <w:suppressAutoHyphens/>
      <w:ind w:left="1440" w:hanging="720"/>
    </w:pPr>
    <w:rPr>
      <w:rFonts w:ascii="MT Extra" w:hAnsi="MT Extra"/>
      <w:sz w:val="24"/>
      <w:lang w:val="en-US" w:eastAsia="en-US"/>
    </w:rPr>
  </w:style>
  <w:style w:type="paragraph" w:customStyle="1" w:styleId="DocF5">
    <w:name w:val="DocF 5"/>
    <w:pPr>
      <w:tabs>
        <w:tab w:val="left" w:pos="-720"/>
        <w:tab w:val="left" w:pos="0"/>
        <w:tab w:val="left" w:pos="720"/>
        <w:tab w:val="left" w:pos="1440"/>
      </w:tabs>
      <w:suppressAutoHyphens/>
      <w:ind w:left="2160" w:hanging="720"/>
    </w:pPr>
    <w:rPr>
      <w:rFonts w:ascii="MT Extra" w:hAnsi="MT Extra"/>
      <w:sz w:val="24"/>
      <w:lang w:val="en-US" w:eastAsia="en-US"/>
    </w:rPr>
  </w:style>
  <w:style w:type="paragraph" w:customStyle="1" w:styleId="DocF6">
    <w:name w:val="DocF 6"/>
    <w:pPr>
      <w:tabs>
        <w:tab w:val="left" w:pos="-720"/>
        <w:tab w:val="left" w:pos="0"/>
        <w:tab w:val="left" w:pos="720"/>
        <w:tab w:val="left" w:pos="1440"/>
      </w:tabs>
      <w:suppressAutoHyphens/>
      <w:ind w:left="2160" w:hanging="720"/>
    </w:pPr>
    <w:rPr>
      <w:rFonts w:ascii="MT Extra" w:hAnsi="MT Extra"/>
      <w:sz w:val="24"/>
      <w:lang w:val="en-US" w:eastAsia="en-US"/>
    </w:rPr>
  </w:style>
  <w:style w:type="paragraph" w:customStyle="1" w:styleId="DocF7">
    <w:name w:val="DocF 7"/>
    <w:pPr>
      <w:tabs>
        <w:tab w:val="left" w:pos="-720"/>
        <w:tab w:val="left" w:pos="0"/>
        <w:tab w:val="left" w:pos="720"/>
        <w:tab w:val="left" w:pos="1440"/>
        <w:tab w:val="left" w:pos="2160"/>
      </w:tabs>
      <w:suppressAutoHyphens/>
      <w:ind w:left="2880" w:hanging="720"/>
    </w:pPr>
    <w:rPr>
      <w:rFonts w:ascii="MT Extra" w:hAnsi="MT Extra"/>
      <w:sz w:val="24"/>
      <w:lang w:val="en-US" w:eastAsia="en-US"/>
    </w:rPr>
  </w:style>
  <w:style w:type="paragraph" w:customStyle="1" w:styleId="DocF8">
    <w:name w:val="DocF 8"/>
    <w:pPr>
      <w:tabs>
        <w:tab w:val="left" w:pos="-720"/>
        <w:tab w:val="left" w:pos="0"/>
        <w:tab w:val="left" w:pos="720"/>
        <w:tab w:val="left" w:pos="1440"/>
        <w:tab w:val="left" w:pos="2160"/>
      </w:tabs>
      <w:suppressAutoHyphens/>
      <w:ind w:left="2880" w:hanging="720"/>
    </w:pPr>
    <w:rPr>
      <w:rFonts w:ascii="MT Extra" w:hAnsi="MT Extra"/>
      <w:sz w:val="24"/>
      <w:lang w:val="en-US" w:eastAsia="en-US"/>
    </w:rPr>
  </w:style>
  <w:style w:type="paragraph" w:customStyle="1" w:styleId="DocFBanking1">
    <w:name w:val="DocFBanking 1"/>
    <w:pPr>
      <w:tabs>
        <w:tab w:val="left" w:pos="-720"/>
        <w:tab w:val="left" w:pos="0"/>
      </w:tabs>
      <w:suppressAutoHyphens/>
      <w:ind w:left="720" w:hanging="720"/>
    </w:pPr>
    <w:rPr>
      <w:rFonts w:ascii="MT Extra" w:hAnsi="MT Extra"/>
      <w:sz w:val="24"/>
      <w:lang w:val="en-US" w:eastAsia="en-US"/>
    </w:rPr>
  </w:style>
  <w:style w:type="paragraph" w:customStyle="1" w:styleId="DocFBanking2">
    <w:name w:val="DocFBanking 2"/>
    <w:pPr>
      <w:tabs>
        <w:tab w:val="left" w:pos="-720"/>
        <w:tab w:val="left" w:pos="0"/>
      </w:tabs>
      <w:suppressAutoHyphens/>
      <w:ind w:left="720" w:hanging="720"/>
    </w:pPr>
    <w:rPr>
      <w:rFonts w:ascii="MT Extra" w:hAnsi="MT Extra"/>
      <w:sz w:val="24"/>
      <w:lang w:val="en-US" w:eastAsia="en-US"/>
    </w:rPr>
  </w:style>
  <w:style w:type="paragraph" w:customStyle="1" w:styleId="DocFBanking3">
    <w:name w:val="DocFBanking 3"/>
    <w:pPr>
      <w:tabs>
        <w:tab w:val="left" w:pos="-720"/>
        <w:tab w:val="left" w:pos="0"/>
        <w:tab w:val="left" w:pos="720"/>
      </w:tabs>
      <w:suppressAutoHyphens/>
      <w:ind w:left="1440" w:hanging="720"/>
    </w:pPr>
    <w:rPr>
      <w:rFonts w:ascii="MT Extra" w:hAnsi="MT Extra"/>
      <w:sz w:val="24"/>
      <w:lang w:val="en-US" w:eastAsia="en-US"/>
    </w:rPr>
  </w:style>
  <w:style w:type="paragraph" w:customStyle="1" w:styleId="DocFBanking4">
    <w:name w:val="DocFBanking 4"/>
    <w:pPr>
      <w:tabs>
        <w:tab w:val="left" w:pos="-720"/>
        <w:tab w:val="left" w:pos="0"/>
        <w:tab w:val="left" w:pos="720"/>
        <w:tab w:val="left" w:pos="1440"/>
      </w:tabs>
      <w:suppressAutoHyphens/>
      <w:ind w:left="2160" w:hanging="720"/>
    </w:pPr>
    <w:rPr>
      <w:rFonts w:ascii="MT Extra" w:hAnsi="MT Extra"/>
      <w:sz w:val="24"/>
      <w:lang w:val="en-US" w:eastAsia="en-US"/>
    </w:rPr>
  </w:style>
  <w:style w:type="paragraph" w:customStyle="1" w:styleId="DocFBanking5">
    <w:name w:val="DocFBanking 5"/>
    <w:pPr>
      <w:tabs>
        <w:tab w:val="left" w:pos="-720"/>
        <w:tab w:val="left" w:pos="0"/>
        <w:tab w:val="left" w:pos="720"/>
        <w:tab w:val="left" w:pos="1440"/>
        <w:tab w:val="left" w:pos="2160"/>
      </w:tabs>
      <w:suppressAutoHyphens/>
      <w:ind w:left="2880" w:hanging="720"/>
    </w:pPr>
    <w:rPr>
      <w:rFonts w:ascii="MT Extra" w:hAnsi="MT Extra"/>
      <w:sz w:val="24"/>
      <w:lang w:val="en-US" w:eastAsia="en-US"/>
    </w:rPr>
  </w:style>
  <w:style w:type="paragraph" w:customStyle="1" w:styleId="DocFProperty1">
    <w:name w:val="DocFProperty 1"/>
    <w:pPr>
      <w:tabs>
        <w:tab w:val="left" w:pos="-720"/>
        <w:tab w:val="left" w:pos="0"/>
      </w:tabs>
      <w:suppressAutoHyphens/>
      <w:ind w:left="720" w:hanging="720"/>
    </w:pPr>
    <w:rPr>
      <w:rFonts w:ascii="MT Extra" w:hAnsi="MT Extra"/>
      <w:sz w:val="24"/>
      <w:lang w:val="en-US" w:eastAsia="en-US"/>
    </w:rPr>
  </w:style>
  <w:style w:type="paragraph" w:customStyle="1" w:styleId="DocFProperty2">
    <w:name w:val="DocFProperty 2"/>
    <w:pPr>
      <w:tabs>
        <w:tab w:val="left" w:pos="-720"/>
        <w:tab w:val="left" w:pos="0"/>
        <w:tab w:val="left" w:pos="720"/>
      </w:tabs>
      <w:suppressAutoHyphens/>
      <w:ind w:left="1440" w:hanging="720"/>
    </w:pPr>
    <w:rPr>
      <w:rFonts w:ascii="MT Extra" w:hAnsi="MT Extra"/>
      <w:sz w:val="24"/>
      <w:lang w:val="en-US" w:eastAsia="en-US"/>
    </w:rPr>
  </w:style>
  <w:style w:type="paragraph" w:customStyle="1" w:styleId="DocFProperty3">
    <w:name w:val="DocFProperty 3"/>
    <w:pPr>
      <w:tabs>
        <w:tab w:val="left" w:pos="-720"/>
        <w:tab w:val="left" w:pos="0"/>
        <w:tab w:val="left" w:pos="720"/>
        <w:tab w:val="left" w:pos="1440"/>
      </w:tabs>
      <w:suppressAutoHyphens/>
      <w:ind w:left="2160" w:hanging="720"/>
    </w:pPr>
    <w:rPr>
      <w:rFonts w:ascii="MT Extra" w:hAnsi="MT Extra"/>
      <w:sz w:val="24"/>
      <w:lang w:val="en-US" w:eastAsia="en-US"/>
    </w:rPr>
  </w:style>
  <w:style w:type="paragraph" w:customStyle="1" w:styleId="DocFProperty4">
    <w:name w:val="DocFProperty 4"/>
    <w:pPr>
      <w:tabs>
        <w:tab w:val="left" w:pos="-720"/>
        <w:tab w:val="left" w:pos="0"/>
        <w:tab w:val="left" w:pos="720"/>
        <w:tab w:val="left" w:pos="1440"/>
        <w:tab w:val="left" w:pos="2160"/>
      </w:tabs>
      <w:suppressAutoHyphens/>
      <w:ind w:left="2880" w:hanging="720"/>
    </w:pPr>
    <w:rPr>
      <w:rFonts w:ascii="MT Extra" w:hAnsi="MT Extra"/>
      <w:sz w:val="24"/>
      <w:lang w:val="en-US" w:eastAsia="en-US"/>
    </w:rPr>
  </w:style>
  <w:style w:type="paragraph" w:customStyle="1" w:styleId="DocFProperty5">
    <w:name w:val="DocFProperty 5"/>
    <w:pPr>
      <w:tabs>
        <w:tab w:val="left" w:pos="-720"/>
        <w:tab w:val="left" w:pos="0"/>
        <w:tab w:val="left" w:pos="720"/>
        <w:tab w:val="left" w:pos="1440"/>
        <w:tab w:val="left" w:pos="2160"/>
        <w:tab w:val="left" w:pos="2880"/>
      </w:tabs>
      <w:suppressAutoHyphens/>
      <w:ind w:left="3600" w:hanging="720"/>
    </w:pPr>
    <w:rPr>
      <w:rFonts w:ascii="MT Extra" w:hAnsi="MT Extra"/>
      <w:sz w:val="24"/>
      <w:lang w:val="en-US" w:eastAsia="en-US"/>
    </w:rPr>
  </w:style>
  <w:style w:type="paragraph" w:customStyle="1" w:styleId="DocFProperty6">
    <w:name w:val="DocFProperty 6"/>
    <w:pPr>
      <w:tabs>
        <w:tab w:val="left" w:pos="-720"/>
        <w:tab w:val="left" w:pos="0"/>
        <w:tab w:val="left" w:pos="720"/>
        <w:tab w:val="left" w:pos="1440"/>
        <w:tab w:val="left" w:pos="2160"/>
        <w:tab w:val="left" w:pos="2880"/>
        <w:tab w:val="left" w:pos="3600"/>
      </w:tabs>
      <w:suppressAutoHyphens/>
      <w:ind w:left="4320" w:hanging="720"/>
    </w:pPr>
    <w:rPr>
      <w:rFonts w:ascii="MT Extra" w:hAnsi="MT Extra"/>
      <w:sz w:val="24"/>
      <w:lang w:val="en-US" w:eastAsia="en-US"/>
    </w:rPr>
  </w:style>
  <w:style w:type="paragraph" w:customStyle="1" w:styleId="DocFProperty7">
    <w:name w:val="DocFProperty 7"/>
    <w:pPr>
      <w:tabs>
        <w:tab w:val="left" w:pos="-720"/>
        <w:tab w:val="left" w:pos="0"/>
        <w:tab w:val="left" w:pos="720"/>
        <w:tab w:val="left" w:pos="1440"/>
        <w:tab w:val="left" w:pos="2160"/>
        <w:tab w:val="left" w:pos="2880"/>
        <w:tab w:val="left" w:pos="3600"/>
        <w:tab w:val="left" w:pos="4320"/>
      </w:tabs>
      <w:suppressAutoHyphens/>
      <w:ind w:left="5040" w:hanging="720"/>
    </w:pPr>
    <w:rPr>
      <w:rFonts w:ascii="MT Extra" w:hAnsi="MT Extra"/>
      <w:sz w:val="24"/>
      <w:lang w:val="en-US" w:eastAsia="en-US"/>
    </w:rPr>
  </w:style>
  <w:style w:type="paragraph" w:customStyle="1" w:styleId="DocFProperty8">
    <w:name w:val="DocFProperty 8"/>
    <w:pPr>
      <w:tabs>
        <w:tab w:val="left" w:pos="-720"/>
        <w:tab w:val="left" w:pos="0"/>
        <w:tab w:val="left" w:pos="720"/>
        <w:tab w:val="left" w:pos="1440"/>
        <w:tab w:val="left" w:pos="2160"/>
        <w:tab w:val="left" w:pos="2880"/>
        <w:tab w:val="left" w:pos="3600"/>
        <w:tab w:val="left" w:pos="4320"/>
        <w:tab w:val="left" w:pos="5040"/>
      </w:tabs>
      <w:suppressAutoHyphens/>
      <w:ind w:left="5760" w:hanging="720"/>
    </w:pPr>
    <w:rPr>
      <w:rFonts w:ascii="MT Extra" w:hAnsi="MT Extra"/>
      <w:sz w:val="24"/>
      <w:lang w:val="en-US" w:eastAsia="en-US"/>
    </w:rPr>
  </w:style>
  <w:style w:type="paragraph" w:styleId="TOC1">
    <w:name w:val="toc 1"/>
    <w:basedOn w:val="Normal"/>
    <w:next w:val="Normal"/>
    <w:semiHidden/>
    <w:pPr>
      <w:tabs>
        <w:tab w:val="right" w:leader="dot" w:pos="9360"/>
      </w:tabs>
      <w:suppressAutoHyphens/>
      <w:spacing w:before="480"/>
      <w:ind w:left="720" w:right="720" w:hanging="720"/>
    </w:pPr>
    <w:rPr>
      <w:lang w:val="en-US"/>
    </w:rPr>
  </w:style>
  <w:style w:type="paragraph" w:styleId="TOC2">
    <w:name w:val="toc 2"/>
    <w:basedOn w:val="Normal"/>
    <w:next w:val="Normal"/>
    <w:semiHidden/>
    <w:pPr>
      <w:tabs>
        <w:tab w:val="right" w:leader="dot" w:pos="9360"/>
      </w:tabs>
      <w:suppressAutoHyphens/>
      <w:ind w:left="720" w:right="720"/>
    </w:pPr>
    <w:rPr>
      <w:lang w:val="en-US"/>
    </w:rPr>
  </w:style>
  <w:style w:type="paragraph" w:styleId="TOC3">
    <w:name w:val="toc 3"/>
    <w:basedOn w:val="Normal"/>
    <w:next w:val="Normal"/>
    <w:semiHidden/>
    <w:pPr>
      <w:tabs>
        <w:tab w:val="right" w:leader="dot" w:pos="9360"/>
      </w:tabs>
      <w:suppressAutoHyphens/>
      <w:ind w:left="720" w:right="720"/>
    </w:pPr>
    <w:rPr>
      <w:lang w:val="en-US"/>
    </w:rPr>
  </w:style>
  <w:style w:type="paragraph" w:styleId="TOC4">
    <w:name w:val="toc 4"/>
    <w:basedOn w:val="Normal"/>
    <w:next w:val="Normal"/>
    <w:semiHidden/>
    <w:pPr>
      <w:tabs>
        <w:tab w:val="right" w:leader="dot" w:pos="9360"/>
      </w:tabs>
      <w:suppressAutoHyphens/>
      <w:ind w:left="720" w:right="720"/>
    </w:pPr>
    <w:rPr>
      <w:lang w:val="en-US"/>
    </w:rPr>
  </w:style>
  <w:style w:type="paragraph" w:styleId="TOC5">
    <w:name w:val="toc 5"/>
    <w:basedOn w:val="Normal"/>
    <w:next w:val="Normal"/>
    <w:semiHidden/>
    <w:pPr>
      <w:tabs>
        <w:tab w:val="right" w:leader="dot" w:pos="9360"/>
      </w:tabs>
      <w:suppressAutoHyphens/>
      <w:ind w:left="720" w:right="720"/>
    </w:pPr>
    <w:rPr>
      <w:lang w:val="en-US"/>
    </w:rPr>
  </w:style>
  <w:style w:type="paragraph" w:styleId="TOC6">
    <w:name w:val="toc 6"/>
    <w:basedOn w:val="Normal"/>
    <w:next w:val="Normal"/>
    <w:semiHidden/>
    <w:pPr>
      <w:tabs>
        <w:tab w:val="right" w:pos="9360"/>
      </w:tabs>
      <w:suppressAutoHyphens/>
      <w:ind w:left="720" w:hanging="720"/>
    </w:pPr>
    <w:rPr>
      <w:lang w:val="en-US"/>
    </w:rPr>
  </w:style>
  <w:style w:type="paragraph" w:styleId="TOC7">
    <w:name w:val="toc 7"/>
    <w:basedOn w:val="Normal"/>
    <w:next w:val="Normal"/>
    <w:semiHidden/>
    <w:pPr>
      <w:suppressAutoHyphens/>
      <w:ind w:left="720" w:hanging="720"/>
    </w:pPr>
    <w:rPr>
      <w:lang w:val="en-US"/>
    </w:rPr>
  </w:style>
  <w:style w:type="paragraph" w:styleId="TOC8">
    <w:name w:val="toc 8"/>
    <w:basedOn w:val="Normal"/>
    <w:next w:val="Normal"/>
    <w:semiHidden/>
    <w:pPr>
      <w:tabs>
        <w:tab w:val="right" w:pos="9360"/>
      </w:tabs>
      <w:suppressAutoHyphens/>
      <w:ind w:left="720" w:hanging="720"/>
    </w:pPr>
    <w:rPr>
      <w:lang w:val="en-US"/>
    </w:rPr>
  </w:style>
  <w:style w:type="paragraph" w:styleId="TOC9">
    <w:name w:val="toc 9"/>
    <w:basedOn w:val="Normal"/>
    <w:next w:val="Normal"/>
    <w:semiHidden/>
    <w:pPr>
      <w:tabs>
        <w:tab w:val="right" w:leader="dot" w:pos="9360"/>
      </w:tabs>
      <w:suppressAutoHyphens/>
      <w:ind w:left="720" w:hanging="720"/>
    </w:pPr>
    <w:rPr>
      <w:lang w:val="en-US"/>
    </w:rPr>
  </w:style>
  <w:style w:type="paragraph" w:styleId="Index1">
    <w:name w:val="index 1"/>
    <w:basedOn w:val="Normal"/>
    <w:next w:val="Normal"/>
    <w:semiHidden/>
    <w:pPr>
      <w:tabs>
        <w:tab w:val="right" w:leader="dot" w:pos="9360"/>
      </w:tabs>
      <w:suppressAutoHyphens/>
      <w:ind w:left="720" w:hanging="720"/>
    </w:pPr>
    <w:rPr>
      <w:lang w:val="en-US"/>
    </w:rPr>
  </w:style>
  <w:style w:type="paragraph" w:styleId="Index2">
    <w:name w:val="index 2"/>
    <w:basedOn w:val="Normal"/>
    <w:next w:val="Normal"/>
    <w:semiHidden/>
    <w:pPr>
      <w:tabs>
        <w:tab w:val="right" w:leader="dot" w:pos="9360"/>
      </w:tabs>
      <w:suppressAutoHyphens/>
      <w:ind w:left="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BodyText2">
    <w:name w:val="Body Text 2"/>
    <w:basedOn w:val="Normal"/>
    <w:pPr>
      <w:tabs>
        <w:tab w:val="left" w:pos="-720"/>
        <w:tab w:val="left" w:pos="142"/>
        <w:tab w:val="left" w:pos="720"/>
        <w:tab w:val="left" w:pos="1440"/>
        <w:tab w:val="left" w:pos="2268"/>
        <w:tab w:val="left" w:pos="2835"/>
      </w:tabs>
      <w:suppressAutoHyphens/>
      <w:ind w:left="2835" w:hanging="2693"/>
    </w:pPr>
    <w:rPr>
      <w:rFonts w:ascii="CG Times" w:hAnsi="CG Times"/>
    </w:rPr>
  </w:style>
  <w:style w:type="paragraph" w:styleId="BodyTextIndent2">
    <w:name w:val="Body Text Indent 2"/>
    <w:basedOn w:val="Normal"/>
    <w:pPr>
      <w:tabs>
        <w:tab w:val="left" w:pos="-720"/>
        <w:tab w:val="left" w:pos="142"/>
        <w:tab w:val="left" w:pos="720"/>
        <w:tab w:val="left" w:pos="1440"/>
        <w:tab w:val="left" w:pos="2160"/>
        <w:tab w:val="left" w:pos="2880"/>
      </w:tabs>
      <w:suppressAutoHyphens/>
      <w:ind w:left="2835" w:hanging="675"/>
    </w:pPr>
    <w:rPr>
      <w:rFonts w:ascii="CG Times" w:hAnsi="CG Times"/>
    </w:rPr>
  </w:style>
  <w:style w:type="paragraph" w:styleId="BodyTextIndent3">
    <w:name w:val="Body Text Indent 3"/>
    <w:basedOn w:val="Normal"/>
    <w:pPr>
      <w:tabs>
        <w:tab w:val="left" w:pos="-720"/>
        <w:tab w:val="left" w:pos="0"/>
        <w:tab w:val="left" w:pos="720"/>
        <w:tab w:val="left" w:pos="1440"/>
        <w:tab w:val="left" w:pos="2160"/>
        <w:tab w:val="left" w:pos="2977"/>
      </w:tabs>
      <w:suppressAutoHyphens/>
      <w:spacing w:after="220"/>
      <w:ind w:left="2981" w:hanging="2981"/>
    </w:pPr>
    <w:rPr>
      <w:rFonts w:ascii="CG Times" w:hAnsi="CG Times"/>
    </w:rPr>
  </w:style>
  <w:style w:type="character" w:styleId="Hyperlink">
    <w:name w:val="Hyperlink"/>
    <w:basedOn w:val="DefaultParagraphFont"/>
    <w:uiPriority w:val="99"/>
    <w:rPr>
      <w:color w:val="0000FF"/>
      <w:u w:val="single"/>
    </w:rPr>
  </w:style>
  <w:style w:type="paragraph" w:customStyle="1" w:styleId="Heading1N">
    <w:name w:val="Heading 1 N"/>
    <w:basedOn w:val="Heading1"/>
    <w:pPr>
      <w:keepLines/>
      <w:pageBreakBefore/>
      <w:tabs>
        <w:tab w:val="clear" w:pos="-720"/>
        <w:tab w:val="clear" w:pos="0"/>
        <w:tab w:val="clear" w:pos="720"/>
        <w:tab w:val="clear" w:pos="1440"/>
        <w:tab w:val="clear" w:pos="2160"/>
        <w:tab w:val="clear" w:pos="2835"/>
        <w:tab w:val="num" w:pos="360"/>
      </w:tabs>
      <w:suppressAutoHyphens w:val="0"/>
      <w:spacing w:line="360" w:lineRule="auto"/>
      <w:ind w:left="0" w:firstLine="0"/>
    </w:pPr>
    <w:rPr>
      <w:rFonts w:ascii="CG Omega" w:hAnsi="CG Omega"/>
      <w:b/>
      <w:kern w:val="14"/>
      <w:sz w:val="32"/>
    </w:rPr>
  </w:style>
  <w:style w:type="paragraph" w:customStyle="1" w:styleId="GlossaryDefinition">
    <w:name w:val="Glossary Definition"/>
    <w:basedOn w:val="Normal"/>
    <w:pPr>
      <w:spacing w:line="360" w:lineRule="auto"/>
      <w:ind w:left="1440"/>
    </w:pPr>
    <w:rPr>
      <w:rFonts w:ascii="CG Omega" w:hAnsi="CG Omega"/>
      <w:kern w:val="14"/>
      <w:sz w:val="22"/>
    </w:rPr>
  </w:style>
  <w:style w:type="paragraph" w:customStyle="1" w:styleId="NormalBold">
    <w:name w:val="Normal Bold"/>
    <w:basedOn w:val="Normal"/>
    <w:autoRedefine/>
    <w:pPr>
      <w:tabs>
        <w:tab w:val="left" w:pos="720"/>
      </w:tabs>
      <w:spacing w:after="120" w:line="360" w:lineRule="auto"/>
    </w:pPr>
    <w:rPr>
      <w:rFonts w:ascii="CG Omega" w:hAnsi="CG Omega"/>
      <w:b/>
      <w:sz w:val="22"/>
    </w:rPr>
  </w:style>
  <w:style w:type="character" w:styleId="PageNumber">
    <w:name w:val="page number"/>
    <w:basedOn w:val="DefaultParagraphFont"/>
  </w:style>
  <w:style w:type="paragraph" w:styleId="BodyText">
    <w:name w:val="Body Text"/>
    <w:basedOn w:val="Normal"/>
    <w:pPr>
      <w:spacing w:line="360" w:lineRule="auto"/>
    </w:pPr>
    <w:rPr>
      <w:rFonts w:ascii="CG Omega" w:hAnsi="CG Omega"/>
      <w:kern w:val="14"/>
      <w:sz w:val="22"/>
    </w:rPr>
  </w:style>
  <w:style w:type="paragraph" w:styleId="ListBullet">
    <w:name w:val="List Bullet"/>
    <w:basedOn w:val="Normal"/>
    <w:autoRedefine/>
    <w:pPr>
      <w:numPr>
        <w:numId w:val="3"/>
      </w:numPr>
      <w:tabs>
        <w:tab w:val="clear" w:pos="1080"/>
        <w:tab w:val="left" w:pos="540"/>
      </w:tabs>
      <w:spacing w:line="360" w:lineRule="auto"/>
      <w:ind w:left="540" w:hanging="540"/>
    </w:pPr>
    <w:rPr>
      <w:rFonts w:ascii="CG Omega" w:hAnsi="CG Omega"/>
      <w:kern w:val="14"/>
      <w:sz w:val="22"/>
    </w:rPr>
  </w:style>
  <w:style w:type="paragraph" w:customStyle="1" w:styleId="ExecutiveSummary">
    <w:name w:val="Executive Summary"/>
    <w:basedOn w:val="Normal"/>
    <w:pPr>
      <w:numPr>
        <w:numId w:val="1"/>
      </w:numPr>
      <w:spacing w:line="360" w:lineRule="auto"/>
    </w:pPr>
    <w:rPr>
      <w:rFonts w:ascii="CG Omega" w:hAnsi="CG Omega"/>
      <w:kern w:val="14"/>
      <w:sz w:val="22"/>
    </w:rPr>
  </w:style>
  <w:style w:type="paragraph" w:customStyle="1" w:styleId="Heading1NN">
    <w:name w:val="Heading 1 NN"/>
    <w:basedOn w:val="Heading1"/>
    <w:pPr>
      <w:keepLines/>
      <w:pageBreakBefore/>
      <w:tabs>
        <w:tab w:val="clear" w:pos="-720"/>
        <w:tab w:val="clear" w:pos="0"/>
        <w:tab w:val="clear" w:pos="720"/>
        <w:tab w:val="clear" w:pos="1440"/>
        <w:tab w:val="clear" w:pos="2160"/>
        <w:tab w:val="clear" w:pos="2835"/>
        <w:tab w:val="num" w:pos="360"/>
      </w:tabs>
      <w:suppressAutoHyphens w:val="0"/>
      <w:spacing w:line="360" w:lineRule="auto"/>
      <w:ind w:left="0" w:firstLine="0"/>
    </w:pPr>
    <w:rPr>
      <w:rFonts w:ascii="CG Omega" w:hAnsi="CG Omega"/>
      <w:b/>
      <w:kern w:val="14"/>
      <w:sz w:val="32"/>
    </w:rPr>
  </w:style>
  <w:style w:type="paragraph" w:customStyle="1" w:styleId="GlossaryTerm">
    <w:name w:val="Glossary Term"/>
    <w:basedOn w:val="Normal"/>
    <w:next w:val="GlossaryDefinition"/>
    <w:pPr>
      <w:keepNext/>
      <w:keepLines/>
      <w:tabs>
        <w:tab w:val="left" w:pos="1440"/>
      </w:tabs>
      <w:spacing w:line="360" w:lineRule="auto"/>
      <w:ind w:left="1440" w:hanging="1440"/>
      <w:outlineLvl w:val="6"/>
    </w:pPr>
    <w:rPr>
      <w:rFonts w:ascii="CG Omega" w:hAnsi="CG Omega"/>
      <w:b/>
      <w:kern w:val="14"/>
      <w:sz w:val="22"/>
    </w:rPr>
  </w:style>
  <w:style w:type="paragraph" w:styleId="BodyTextIndent">
    <w:name w:val="Body Text Indent"/>
    <w:basedOn w:val="Normal"/>
    <w:pPr>
      <w:tabs>
        <w:tab w:val="left" w:pos="-720"/>
        <w:tab w:val="left" w:pos="0"/>
        <w:tab w:val="left" w:pos="720"/>
        <w:tab w:val="left" w:pos="1440"/>
      </w:tabs>
      <w:suppressAutoHyphens/>
      <w:ind w:left="2160" w:hanging="2160"/>
    </w:pPr>
    <w:rPr>
      <w:rFonts w:ascii="CG Times" w:hAnsi="CG Times"/>
      <w:strike/>
    </w:rPr>
  </w:style>
  <w:style w:type="paragraph" w:customStyle="1" w:styleId="BodyTextIndent4">
    <w:name w:val="Body Text Indent 4"/>
    <w:basedOn w:val="BodyTextIndent3"/>
    <w:autoRedefine/>
    <w:pPr>
      <w:tabs>
        <w:tab w:val="clear" w:pos="-720"/>
        <w:tab w:val="clear" w:pos="0"/>
        <w:tab w:val="clear" w:pos="720"/>
        <w:tab w:val="clear" w:pos="1440"/>
        <w:tab w:val="clear" w:pos="2160"/>
        <w:tab w:val="clear" w:pos="2977"/>
      </w:tabs>
      <w:suppressAutoHyphens w:val="0"/>
      <w:spacing w:line="360" w:lineRule="auto"/>
      <w:ind w:left="3240" w:hanging="2340"/>
    </w:pPr>
    <w:rPr>
      <w:rFonts w:ascii="CG Omega" w:hAnsi="CG Omega"/>
      <w:kern w:val="14"/>
      <w:sz w:val="22"/>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styleId="Title">
    <w:name w:val="Title"/>
    <w:basedOn w:val="Normal"/>
    <w:qFormat/>
    <w:pPr>
      <w:jc w:val="center"/>
    </w:pPr>
    <w:rPr>
      <w:b/>
      <w:bCs/>
      <w:szCs w:val="24"/>
    </w:rPr>
  </w:style>
  <w:style w:type="character" w:styleId="FollowedHyperlink">
    <w:name w:val="FollowedHyperlink"/>
    <w:basedOn w:val="DefaultParagraphFont"/>
    <w:rPr>
      <w:color w:val="800080"/>
      <w:u w:val="single"/>
    </w:rPr>
  </w:style>
  <w:style w:type="paragraph" w:customStyle="1" w:styleId="dheading3">
    <w:name w:val="dheading 3"/>
    <w:basedOn w:val="Normal"/>
    <w:pPr>
      <w:keepNext/>
      <w:tabs>
        <w:tab w:val="num" w:pos="851"/>
      </w:tabs>
      <w:spacing w:before="240" w:after="60"/>
      <w:ind w:left="851" w:hanging="851"/>
      <w:outlineLvl w:val="2"/>
    </w:pPr>
  </w:style>
  <w:style w:type="paragraph" w:customStyle="1" w:styleId="New1">
    <w:name w:val="New1"/>
    <w:basedOn w:val="Normal"/>
    <w:pPr>
      <w:tabs>
        <w:tab w:val="num" w:pos="720"/>
      </w:tabs>
      <w:spacing w:after="120"/>
      <w:jc w:val="both"/>
    </w:pPr>
    <w:rPr>
      <w:b/>
      <w:kern w:val="14"/>
    </w:rPr>
  </w:style>
  <w:style w:type="paragraph" w:styleId="BodyText3">
    <w:name w:val="Body Text 3"/>
    <w:basedOn w:val="Normal"/>
    <w:rPr>
      <w:b/>
      <w:i/>
      <w:sz w:val="22"/>
    </w:rPr>
  </w:style>
  <w:style w:type="character" w:styleId="Emphasis">
    <w:name w:val="Emphasis"/>
    <w:basedOn w:val="DefaultParagraphFont"/>
    <w:qFormat/>
    <w:rPr>
      <w:i/>
    </w:rPr>
  </w:style>
  <w:style w:type="paragraph" w:customStyle="1" w:styleId="listabc">
    <w:name w:val="list(abc)"/>
    <w:basedOn w:val="Normal"/>
    <w:pPr>
      <w:numPr>
        <w:numId w:val="10"/>
      </w:numPr>
      <w:spacing w:after="240" w:line="360" w:lineRule="auto"/>
    </w:pPr>
    <w:rPr>
      <w:rFonts w:ascii="CG Omega" w:hAnsi="CG Omega"/>
      <w:i/>
      <w:sz w:val="22"/>
    </w:rPr>
  </w:style>
  <w:style w:type="paragraph" w:customStyle="1" w:styleId="bullet">
    <w:name w:val="bullet"/>
    <w:basedOn w:val="Listabc0"/>
    <w:pPr>
      <w:tabs>
        <w:tab w:val="clear" w:pos="720"/>
        <w:tab w:val="num" w:pos="360"/>
      </w:tabs>
      <w:ind w:left="1208" w:hanging="357"/>
    </w:pPr>
  </w:style>
  <w:style w:type="paragraph" w:customStyle="1" w:styleId="Listabc0">
    <w:name w:val="List abc"/>
    <w:basedOn w:val="BodyText"/>
    <w:autoRedefine/>
    <w:pPr>
      <w:tabs>
        <w:tab w:val="num" w:pos="720"/>
      </w:tabs>
      <w:spacing w:after="120"/>
      <w:ind w:left="720" w:hanging="720"/>
    </w:pPr>
    <w:rPr>
      <w:kern w:val="0"/>
    </w:rPr>
  </w:style>
  <w:style w:type="paragraph" w:customStyle="1" w:styleId="ListNumber1">
    <w:name w:val="List Number1"/>
    <w:basedOn w:val="BodyTextIndent2"/>
    <w:autoRedefine/>
    <w:pPr>
      <w:numPr>
        <w:numId w:val="13"/>
      </w:numPr>
      <w:tabs>
        <w:tab w:val="clear" w:pos="-720"/>
        <w:tab w:val="clear" w:pos="142"/>
        <w:tab w:val="clear" w:pos="720"/>
        <w:tab w:val="clear" w:pos="1440"/>
        <w:tab w:val="clear" w:pos="2160"/>
        <w:tab w:val="clear" w:pos="2880"/>
      </w:tabs>
      <w:suppressAutoHyphens w:val="0"/>
      <w:spacing w:after="120" w:line="360" w:lineRule="auto"/>
      <w:ind w:left="2160" w:hanging="1451"/>
    </w:pPr>
    <w:rPr>
      <w:rFonts w:ascii="CG Omega" w:hAnsi="CG Omega"/>
      <w:b/>
      <w:sz w:val="22"/>
    </w:rPr>
  </w:style>
  <w:style w:type="paragraph" w:customStyle="1" w:styleId="Bullet0">
    <w:name w:val="Bullet"/>
    <w:autoRedefine/>
    <w:pPr>
      <w:tabs>
        <w:tab w:val="num" w:pos="1429"/>
      </w:tabs>
      <w:spacing w:after="240" w:line="360" w:lineRule="auto"/>
      <w:ind w:left="1429" w:hanging="709"/>
    </w:pPr>
    <w:rPr>
      <w:rFonts w:ascii="CG Omega" w:hAnsi="CG Omega"/>
      <w:sz w:val="22"/>
    </w:rPr>
  </w:style>
  <w:style w:type="paragraph" w:customStyle="1" w:styleId="Text">
    <w:name w:val="Text"/>
    <w:basedOn w:val="Normal"/>
    <w:autoRedefine/>
    <w:pPr>
      <w:spacing w:after="220"/>
    </w:pPr>
    <w:rPr>
      <w:sz w:val="22"/>
    </w:rPr>
  </w:style>
  <w:style w:type="paragraph" w:styleId="DocumentMap">
    <w:name w:val="Document Map"/>
    <w:basedOn w:val="Normal"/>
    <w:semiHidden/>
    <w:pPr>
      <w:shd w:val="clear" w:color="auto" w:fill="000080"/>
    </w:pPr>
    <w:rPr>
      <w:rFonts w:ascii="Tahoma" w:hAnsi="Tahoma"/>
    </w:rPr>
  </w:style>
  <w:style w:type="paragraph" w:customStyle="1" w:styleId="BodyText1">
    <w:name w:val="Body Text 1"/>
    <w:basedOn w:val="Normal"/>
    <w:pPr>
      <w:spacing w:after="240"/>
      <w:ind w:left="709"/>
      <w:jc w:val="both"/>
    </w:pPr>
    <w:rPr>
      <w:sz w:val="22"/>
    </w:r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extLeft0cmHanging23cm">
    <w:name w:val="Style Text + Left:  0 cm Hanging:  2.3 cm"/>
    <w:basedOn w:val="Text"/>
  </w:style>
  <w:style w:type="paragraph" w:customStyle="1" w:styleId="StyleStyleTextLeft0cmHanging23cmLeft0cmHang">
    <w:name w:val="Style Style Text + Left:  0 cm Hanging:  2.3 cm + Left:  0 cm Hang..."/>
    <w:basedOn w:val="StyleTextLeft0cmHanging23cm"/>
    <w:pPr>
      <w:ind w:left="1019" w:hanging="1019"/>
    </w:pPr>
    <w:rPr>
      <w:szCs w:val="22"/>
    </w:rPr>
  </w:style>
  <w:style w:type="paragraph" w:customStyle="1" w:styleId="Style1">
    <w:name w:val="Style1"/>
    <w:basedOn w:val="Normal"/>
    <w:qFormat/>
    <w:pPr>
      <w:jc w:val="both"/>
    </w:pPr>
    <w:rPr>
      <w:b/>
      <w:sz w:val="20"/>
    </w:rPr>
  </w:style>
  <w:style w:type="paragraph" w:styleId="Revision">
    <w:name w:val="Revision"/>
    <w:hidden/>
    <w:uiPriority w:val="99"/>
    <w:semiHidden/>
    <w:rPr>
      <w:sz w:val="24"/>
      <w:lang w:eastAsia="en-US"/>
    </w:rPr>
  </w:style>
  <w:style w:type="table" w:customStyle="1" w:styleId="TableGrid1">
    <w:name w:val="Table Grid1"/>
    <w:basedOn w:val="TableNormal"/>
    <w:next w:val="TableGrid"/>
    <w:uiPriority w:val="5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F3E4D"/>
    <w:rPr>
      <w:sz w:val="16"/>
      <w:szCs w:val="16"/>
    </w:rPr>
  </w:style>
  <w:style w:type="paragraph" w:styleId="CommentText">
    <w:name w:val="annotation text"/>
    <w:basedOn w:val="Normal"/>
    <w:link w:val="CommentTextChar"/>
    <w:uiPriority w:val="99"/>
    <w:semiHidden/>
    <w:unhideWhenUsed/>
    <w:rsid w:val="00AF3E4D"/>
    <w:rPr>
      <w:sz w:val="20"/>
    </w:rPr>
  </w:style>
  <w:style w:type="character" w:customStyle="1" w:styleId="CommentTextChar">
    <w:name w:val="Comment Text Char"/>
    <w:basedOn w:val="DefaultParagraphFont"/>
    <w:link w:val="CommentText"/>
    <w:uiPriority w:val="99"/>
    <w:semiHidden/>
    <w:rsid w:val="00AF3E4D"/>
    <w:rPr>
      <w:lang w:eastAsia="en-US"/>
    </w:rPr>
  </w:style>
  <w:style w:type="paragraph" w:styleId="CommentSubject">
    <w:name w:val="annotation subject"/>
    <w:basedOn w:val="CommentText"/>
    <w:next w:val="CommentText"/>
    <w:link w:val="CommentSubjectChar"/>
    <w:uiPriority w:val="99"/>
    <w:semiHidden/>
    <w:unhideWhenUsed/>
    <w:rsid w:val="00AF3E4D"/>
    <w:rPr>
      <w:b/>
      <w:bCs/>
    </w:rPr>
  </w:style>
  <w:style w:type="character" w:customStyle="1" w:styleId="CommentSubjectChar">
    <w:name w:val="Comment Subject Char"/>
    <w:basedOn w:val="CommentTextChar"/>
    <w:link w:val="CommentSubject"/>
    <w:uiPriority w:val="99"/>
    <w:semiHidden/>
    <w:rsid w:val="00AF3E4D"/>
    <w:rPr>
      <w:b/>
      <w:bCs/>
      <w:lang w:eastAsia="en-US"/>
    </w:rPr>
  </w:style>
  <w:style w:type="paragraph" w:customStyle="1" w:styleId="Level1Heading">
    <w:name w:val="Level 1 Heading"/>
    <w:basedOn w:val="Heading1"/>
    <w:next w:val="Level2Heading"/>
    <w:rsid w:val="00003934"/>
    <w:pPr>
      <w:keepNext w:val="0"/>
      <w:numPr>
        <w:numId w:val="14"/>
      </w:numPr>
      <w:tabs>
        <w:tab w:val="clear" w:pos="-720"/>
        <w:tab w:val="clear" w:pos="0"/>
        <w:tab w:val="clear" w:pos="568"/>
        <w:tab w:val="clear" w:pos="720"/>
        <w:tab w:val="clear" w:pos="1440"/>
        <w:tab w:val="clear" w:pos="2160"/>
        <w:tab w:val="clear" w:pos="2835"/>
        <w:tab w:val="left" w:pos="992"/>
        <w:tab w:val="left" w:pos="1134"/>
        <w:tab w:val="left" w:pos="1843"/>
        <w:tab w:val="left" w:pos="2552"/>
        <w:tab w:val="left" w:pos="3062"/>
      </w:tabs>
      <w:suppressAutoHyphens w:val="0"/>
      <w:spacing w:after="220"/>
      <w:ind w:left="992" w:hanging="992"/>
      <w:jc w:val="both"/>
      <w:outlineLvl w:val="1"/>
    </w:pPr>
    <w:rPr>
      <w:rFonts w:ascii="Times New Roman" w:hAnsi="Times New Roman" w:cs="Arial"/>
      <w:b/>
      <w:bCs/>
      <w:caps/>
      <w:kern w:val="32"/>
      <w:sz w:val="22"/>
      <w:szCs w:val="22"/>
      <w:lang w:eastAsia="en-GB"/>
    </w:rPr>
  </w:style>
  <w:style w:type="paragraph" w:customStyle="1" w:styleId="Level2Heading">
    <w:name w:val="Level 2 Heading"/>
    <w:basedOn w:val="Heading2"/>
    <w:next w:val="Level3Heading"/>
    <w:rsid w:val="00003934"/>
    <w:pPr>
      <w:keepNext w:val="0"/>
      <w:numPr>
        <w:ilvl w:val="1"/>
        <w:numId w:val="14"/>
      </w:numPr>
      <w:tabs>
        <w:tab w:val="clear" w:pos="568"/>
        <w:tab w:val="left" w:pos="992"/>
        <w:tab w:val="left" w:pos="1134"/>
        <w:tab w:val="left" w:pos="1843"/>
        <w:tab w:val="left" w:pos="2552"/>
        <w:tab w:val="left" w:pos="3062"/>
      </w:tabs>
      <w:spacing w:after="220"/>
      <w:ind w:left="992" w:hanging="992"/>
      <w:jc w:val="both"/>
      <w:outlineLvl w:val="2"/>
    </w:pPr>
    <w:rPr>
      <w:rFonts w:cs="Arial"/>
      <w:bCs/>
      <w:iCs/>
      <w:sz w:val="22"/>
      <w:szCs w:val="22"/>
      <w:u w:val="none"/>
      <w:lang w:eastAsia="en-GB"/>
    </w:rPr>
  </w:style>
  <w:style w:type="paragraph" w:customStyle="1" w:styleId="Level3Heading">
    <w:name w:val="Level 3 Heading"/>
    <w:basedOn w:val="Heading3"/>
    <w:next w:val="Level4Heading"/>
    <w:rsid w:val="00003934"/>
    <w:pPr>
      <w:keepNext w:val="0"/>
      <w:numPr>
        <w:ilvl w:val="2"/>
        <w:numId w:val="14"/>
      </w:numPr>
      <w:tabs>
        <w:tab w:val="left" w:pos="992"/>
        <w:tab w:val="left" w:pos="1134"/>
        <w:tab w:val="left" w:pos="1843"/>
        <w:tab w:val="left" w:pos="2552"/>
        <w:tab w:val="left" w:pos="3062"/>
      </w:tabs>
      <w:spacing w:after="220"/>
      <w:jc w:val="both"/>
      <w:outlineLvl w:val="3"/>
    </w:pPr>
    <w:rPr>
      <w:rFonts w:cs="Arial"/>
      <w:b w:val="0"/>
      <w:bCs/>
      <w:sz w:val="22"/>
      <w:szCs w:val="22"/>
      <w:lang w:eastAsia="en-GB"/>
    </w:rPr>
  </w:style>
  <w:style w:type="paragraph" w:customStyle="1" w:styleId="Level4Heading">
    <w:name w:val="Level 4 Heading"/>
    <w:basedOn w:val="Heading4"/>
    <w:rsid w:val="00003934"/>
    <w:pPr>
      <w:keepNext w:val="0"/>
      <w:numPr>
        <w:ilvl w:val="3"/>
        <w:numId w:val="14"/>
      </w:numPr>
      <w:tabs>
        <w:tab w:val="left" w:pos="1134"/>
        <w:tab w:val="left" w:pos="1843"/>
        <w:tab w:val="left" w:pos="2552"/>
        <w:tab w:val="left" w:pos="3062"/>
      </w:tabs>
      <w:spacing w:after="220"/>
      <w:jc w:val="both"/>
      <w:outlineLvl w:val="4"/>
    </w:pPr>
    <w:rPr>
      <w:bCs/>
      <w:i w:val="0"/>
      <w:sz w:val="22"/>
      <w:szCs w:val="22"/>
      <w:lang w:eastAsia="en-GB"/>
    </w:rPr>
  </w:style>
  <w:style w:type="paragraph" w:customStyle="1" w:styleId="Level5Heading">
    <w:name w:val="Level 5 Heading"/>
    <w:basedOn w:val="Heading5"/>
    <w:rsid w:val="00003934"/>
    <w:pPr>
      <w:keepNext w:val="0"/>
      <w:numPr>
        <w:ilvl w:val="4"/>
        <w:numId w:val="14"/>
      </w:numPr>
      <w:tabs>
        <w:tab w:val="clear" w:pos="-720"/>
        <w:tab w:val="clear" w:pos="0"/>
        <w:tab w:val="clear" w:pos="720"/>
        <w:tab w:val="clear" w:pos="1440"/>
        <w:tab w:val="clear" w:pos="2160"/>
        <w:tab w:val="left" w:pos="992"/>
        <w:tab w:val="left" w:pos="1134"/>
        <w:tab w:val="left" w:pos="1843"/>
        <w:tab w:val="left" w:pos="1985"/>
        <w:tab w:val="left" w:pos="2552"/>
        <w:tab w:val="left" w:pos="3062"/>
        <w:tab w:val="left" w:pos="3969"/>
        <w:tab w:val="left" w:pos="4961"/>
      </w:tabs>
      <w:suppressAutoHyphens w:val="0"/>
      <w:spacing w:after="220"/>
      <w:jc w:val="both"/>
      <w:outlineLvl w:val="5"/>
    </w:pPr>
    <w:rPr>
      <w:rFonts w:ascii="Times New Roman" w:hAnsi="Times New Roman"/>
      <w:bCs/>
      <w:iCs/>
      <w:sz w:val="22"/>
      <w:szCs w:val="22"/>
      <w:lang w:eastAsia="en-GB"/>
    </w:rPr>
  </w:style>
  <w:style w:type="paragraph" w:customStyle="1" w:styleId="Level6Heading">
    <w:name w:val="Level 6 Heading"/>
    <w:basedOn w:val="Heading6"/>
    <w:rsid w:val="00003934"/>
    <w:pPr>
      <w:keepNext w:val="0"/>
      <w:numPr>
        <w:ilvl w:val="5"/>
        <w:numId w:val="14"/>
      </w:numPr>
      <w:tabs>
        <w:tab w:val="clear" w:pos="-720"/>
        <w:tab w:val="clear" w:pos="0"/>
        <w:tab w:val="clear" w:pos="720"/>
        <w:tab w:val="clear" w:pos="3403"/>
        <w:tab w:val="left" w:pos="992"/>
        <w:tab w:val="left" w:pos="1134"/>
        <w:tab w:val="left" w:pos="1843"/>
        <w:tab w:val="left" w:pos="1985"/>
        <w:tab w:val="left" w:pos="2552"/>
        <w:tab w:val="left" w:pos="2977"/>
        <w:tab w:val="left" w:pos="3062"/>
        <w:tab w:val="left" w:pos="3969"/>
        <w:tab w:val="left" w:pos="4961"/>
      </w:tabs>
      <w:suppressAutoHyphens w:val="0"/>
      <w:spacing w:after="220"/>
      <w:ind w:left="3969" w:hanging="992"/>
      <w:jc w:val="both"/>
      <w:outlineLvl w:val="6"/>
    </w:pPr>
    <w:rPr>
      <w:rFonts w:ascii="Times New Roman" w:hAnsi="Times New Roman"/>
      <w:b w:val="0"/>
      <w:sz w:val="22"/>
      <w:szCs w:val="22"/>
      <w:lang w:eastAsia="en-GB"/>
    </w:rPr>
  </w:style>
  <w:style w:type="paragraph" w:styleId="ListParagraph">
    <w:name w:val="List Paragraph"/>
    <w:basedOn w:val="Normal"/>
    <w:uiPriority w:val="34"/>
    <w:qFormat/>
    <w:rsid w:val="00003934"/>
    <w:pPr>
      <w:spacing w:after="200" w:line="276" w:lineRule="auto"/>
      <w:ind w:left="720"/>
      <w:contextualSpacing/>
    </w:pPr>
    <w:rPr>
      <w:rFonts w:asciiTheme="minorHAnsi" w:eastAsiaTheme="minorEastAsia" w:hAnsiTheme="minorHAnsi" w:cstheme="minorBidi"/>
      <w:sz w:val="22"/>
      <w:szCs w:val="22"/>
      <w:lang w:eastAsia="en-GB"/>
    </w:rPr>
  </w:style>
  <w:style w:type="paragraph" w:customStyle="1" w:styleId="Boldheading">
    <w:name w:val="Bold heading"/>
    <w:basedOn w:val="BodyText"/>
    <w:next w:val="BodyText"/>
    <w:uiPriority w:val="3"/>
    <w:qFormat/>
    <w:rsid w:val="00003934"/>
    <w:pPr>
      <w:spacing w:after="113" w:line="260" w:lineRule="atLeast"/>
    </w:pPr>
    <w:rPr>
      <w:rFonts w:ascii="Tahoma" w:hAnsi="Tahoma" w:cs="Tahoma"/>
      <w:b/>
      <w:color w:val="000000" w:themeColor="text1"/>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311603">
      <w:bodyDiv w:val="1"/>
      <w:marLeft w:val="0"/>
      <w:marRight w:val="0"/>
      <w:marTop w:val="0"/>
      <w:marBottom w:val="0"/>
      <w:divBdr>
        <w:top w:val="none" w:sz="0" w:space="0" w:color="auto"/>
        <w:left w:val="none" w:sz="0" w:space="0" w:color="auto"/>
        <w:bottom w:val="none" w:sz="0" w:space="0" w:color="auto"/>
        <w:right w:val="none" w:sz="0" w:space="0" w:color="auto"/>
      </w:divBdr>
    </w:div>
    <w:div w:id="1586837026">
      <w:bodyDiv w:val="1"/>
      <w:marLeft w:val="0"/>
      <w:marRight w:val="0"/>
      <w:marTop w:val="0"/>
      <w:marBottom w:val="0"/>
      <w:divBdr>
        <w:top w:val="none" w:sz="0" w:space="0" w:color="auto"/>
        <w:left w:val="none" w:sz="0" w:space="0" w:color="auto"/>
        <w:bottom w:val="none" w:sz="0" w:space="0" w:color="auto"/>
        <w:right w:val="none" w:sz="0" w:space="0" w:color="auto"/>
      </w:divBdr>
    </w:div>
    <w:div w:id="198758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SC.change@elexon.co.u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EAC03-22F5-4D00-95EC-7CD197769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10</TotalTime>
  <Pages>94</Pages>
  <Words>25703</Words>
  <Characters>137592</Characters>
  <Application>Microsoft Office Word</Application>
  <DocSecurity>0</DocSecurity>
  <Lines>1146</Lines>
  <Paragraphs>325</Paragraphs>
  <ScaleCrop>false</ScaleCrop>
  <HeadingPairs>
    <vt:vector size="2" baseType="variant">
      <vt:variant>
        <vt:lpstr>Title</vt:lpstr>
      </vt:variant>
      <vt:variant>
        <vt:i4>1</vt:i4>
      </vt:variant>
    </vt:vector>
  </HeadingPairs>
  <TitlesOfParts>
    <vt:vector size="1" baseType="lpstr">
      <vt:lpstr>BSC Section X - Annex X-2: Technical Glossary</vt:lpstr>
    </vt:vector>
  </TitlesOfParts>
  <Company>ELEXON</Company>
  <LinksUpToDate>false</LinksUpToDate>
  <CharactersWithSpaces>162970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X - Annex X-2: Technical Glossary</dc:title>
  <dc:subject>Annex X-2 provides a glossary of the BSC's defined (capitalised) technical terms and acronyms, as used in the BSC and Code Subsidiary Documents. It also sets out the BSC's technical and algebraic conventions. It covers: use of mathematical operators; sign conventions; use of summations; interpolation of variables; timing conventions; and use of subscripts and superscripts. For a glossary of general BSC defined terms, please refer to Annex X-1.</dc:subject>
  <dc:creator>ELEXON</dc:creator>
  <cp:keywords>BSC,Section,X,Annex,X-2,Technical,Glossary</cp:keywords>
  <cp:lastModifiedBy>Chris Arnold</cp:lastModifiedBy>
  <cp:revision>4</cp:revision>
  <cp:lastPrinted>2020-04-09T13:05:00Z</cp:lastPrinted>
  <dcterms:created xsi:type="dcterms:W3CDTF">2021-05-06T08:25:00Z</dcterms:created>
  <dcterms:modified xsi:type="dcterms:W3CDTF">2021-05-18T14:38:00Z</dcterms:modified>
  <cp:category>BSC</cp:category>
  <cp:contentStatus>Final</cp:contentStatus>
</cp:coreProperties>
</file>