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E11DCD" w:rsidRPr="00C03F6C" w14:paraId="1ACDFAF7" w14:textId="77777777" w:rsidTr="009B7B08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14:paraId="5BD1CDB8" w14:textId="77777777" w:rsidR="00E11DCD" w:rsidRPr="00C03F6C" w:rsidRDefault="00E11DCD" w:rsidP="009B7B08">
            <w:pPr>
              <w:pStyle w:val="Title"/>
            </w:pPr>
            <w:r>
              <w:t>Agenda</w:t>
            </w:r>
          </w:p>
        </w:tc>
      </w:tr>
      <w:tr w:rsidR="00E11DCD" w:rsidRPr="00E11F1F" w14:paraId="638969AD" w14:textId="77777777" w:rsidTr="00500CE9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14:paraId="6B219784" w14:textId="77777777" w:rsidR="00E11DCD" w:rsidRPr="005423DC" w:rsidRDefault="00E11DCD" w:rsidP="00500CE9">
            <w:pPr>
              <w:pStyle w:val="Introtabletextblue"/>
            </w:pPr>
            <w:r>
              <w:t>meeting name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14:paraId="02BE8F3B" w14:textId="77777777" w:rsidR="00E11DCD" w:rsidRPr="00C03F6C" w:rsidRDefault="004C6F86" w:rsidP="004C6F86">
            <w:pPr>
              <w:pStyle w:val="Introtabletext"/>
            </w:pPr>
            <w:r>
              <w:t>P375/6</w:t>
            </w:r>
            <w:r w:rsidR="00885926">
              <w:t xml:space="preserve"> Workgroup</w:t>
            </w:r>
          </w:p>
        </w:tc>
      </w:tr>
      <w:tr w:rsidR="00500CE9" w14:paraId="6E3B9AB3" w14:textId="77777777" w:rsidTr="00500CE9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14:paraId="29A8083D" w14:textId="77777777" w:rsidR="00500CE9" w:rsidRDefault="00500CE9" w:rsidP="009B7B08">
            <w:pPr>
              <w:pStyle w:val="Introtabletextbold"/>
            </w:pPr>
            <w:r>
              <w:t>Meeting number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14:paraId="2E50D657" w14:textId="59041F08" w:rsidR="00500CE9" w:rsidRPr="007B081C" w:rsidRDefault="003C12B9" w:rsidP="009B7B08">
            <w:pPr>
              <w:pStyle w:val="Date"/>
            </w:pPr>
            <w:r>
              <w:t>3</w:t>
            </w:r>
          </w:p>
        </w:tc>
      </w:tr>
      <w:tr w:rsidR="00E11DCD" w14:paraId="539A40A7" w14:textId="77777777" w:rsidTr="00500CE9">
        <w:tc>
          <w:tcPr>
            <w:tcW w:w="2494" w:type="dxa"/>
            <w:tcMar>
              <w:top w:w="170" w:type="dxa"/>
            </w:tcMar>
          </w:tcPr>
          <w:p w14:paraId="7FAAAFB9" w14:textId="77777777" w:rsidR="00E11DCD" w:rsidRDefault="00E11DCD" w:rsidP="009B7B08">
            <w:pPr>
              <w:pStyle w:val="Introtabletextbold"/>
            </w:pPr>
            <w:r>
              <w:t xml:space="preserve">Date and </w:t>
            </w:r>
            <w:r w:rsidRPr="00C76D37">
              <w:t>time</w:t>
            </w:r>
          </w:p>
        </w:tc>
        <w:tc>
          <w:tcPr>
            <w:tcW w:w="7824" w:type="dxa"/>
            <w:gridSpan w:val="2"/>
            <w:tcMar>
              <w:top w:w="170" w:type="dxa"/>
            </w:tcMar>
          </w:tcPr>
          <w:p w14:paraId="52243F39" w14:textId="38920982" w:rsidR="00E11DCD" w:rsidRDefault="006F7AC6" w:rsidP="00885926">
            <w:pPr>
              <w:pStyle w:val="Date"/>
            </w:pPr>
            <w:r>
              <w:t>16 May</w:t>
            </w:r>
            <w:r w:rsidR="004C6F86">
              <w:t xml:space="preserve"> 2019</w:t>
            </w:r>
            <w:r w:rsidR="00E11DCD" w:rsidRPr="007B081C">
              <w:t xml:space="preserve"> </w:t>
            </w:r>
            <w:r w:rsidR="00885926">
              <w:t>10:00 – 16:00</w:t>
            </w:r>
          </w:p>
        </w:tc>
      </w:tr>
      <w:tr w:rsidR="00E11DCD" w:rsidRPr="00E11F1F" w14:paraId="69C4A60B" w14:textId="77777777" w:rsidTr="009B7B08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14:paraId="5FAF236D" w14:textId="77777777" w:rsidR="00E11DCD" w:rsidRPr="005423DC" w:rsidRDefault="00E11DCD" w:rsidP="009B7B08">
            <w:pPr>
              <w:pStyle w:val="Introtabletextbold"/>
            </w:pPr>
            <w:r>
              <w:t>Venue</w:t>
            </w:r>
          </w:p>
        </w:tc>
        <w:tc>
          <w:tcPr>
            <w:tcW w:w="7809" w:type="dxa"/>
            <w:tcMar>
              <w:top w:w="170" w:type="dxa"/>
            </w:tcMar>
          </w:tcPr>
          <w:p w14:paraId="5CEF07DA" w14:textId="48C88BE1" w:rsidR="00E11DCD" w:rsidRDefault="00FE6908" w:rsidP="009B7B08">
            <w:pPr>
              <w:pStyle w:val="Introtabletext"/>
            </w:pPr>
            <w:r>
              <w:t>Pink Room</w:t>
            </w:r>
          </w:p>
          <w:p w14:paraId="590D2EAE" w14:textId="77777777" w:rsidR="00885926" w:rsidRPr="00E11F1F" w:rsidRDefault="00885926" w:rsidP="009B7B08">
            <w:pPr>
              <w:pStyle w:val="Introtabletext"/>
            </w:pPr>
            <w:r>
              <w:t>ELEXON Ltd, 4</w:t>
            </w:r>
            <w:r w:rsidRPr="00885926">
              <w:rPr>
                <w:vertAlign w:val="superscript"/>
              </w:rPr>
              <w:t>th</w:t>
            </w:r>
            <w:r>
              <w:t xml:space="preserve"> Floor, 350 Euston Road, London, NW1 3AW</w:t>
            </w:r>
          </w:p>
        </w:tc>
      </w:tr>
      <w:tr w:rsidR="00885926" w:rsidRPr="00E11F1F" w14:paraId="40B94E12" w14:textId="77777777" w:rsidTr="009B7B08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14:paraId="3822F639" w14:textId="77777777" w:rsidR="00885926" w:rsidRDefault="00885926" w:rsidP="009B7B08">
            <w:pPr>
              <w:pStyle w:val="Introtabletextbold"/>
            </w:pPr>
            <w:r>
              <w:t>Teleconference</w:t>
            </w:r>
          </w:p>
        </w:tc>
        <w:tc>
          <w:tcPr>
            <w:tcW w:w="7809" w:type="dxa"/>
            <w:tcMar>
              <w:top w:w="170" w:type="dxa"/>
            </w:tcMar>
          </w:tcPr>
          <w:p w14:paraId="304CB6B5" w14:textId="77777777" w:rsidR="00885926" w:rsidRDefault="00374790" w:rsidP="00885926">
            <w:pPr>
              <w:pStyle w:val="Introtabletext"/>
            </w:pPr>
            <w:hyperlink r:id="rId8" w:history="1">
              <w:r w:rsidR="00885926" w:rsidRPr="009606B5">
                <w:rPr>
                  <w:rStyle w:val="Hyperlink"/>
                  <w:lang w:val="en"/>
                </w:rPr>
                <w:t>+44 (0) 207 380 4005</w:t>
              </w:r>
            </w:hyperlink>
          </w:p>
          <w:p w14:paraId="0A0A1AF8" w14:textId="340E7AAB" w:rsidR="00885926" w:rsidRDefault="00D94186" w:rsidP="00885926">
            <w:pPr>
              <w:pStyle w:val="Introtabletext"/>
            </w:pPr>
            <w:r>
              <w:t>Conference ID</w:t>
            </w:r>
            <w:r w:rsidR="00885926">
              <w:t xml:space="preserve">: </w:t>
            </w:r>
            <w:r w:rsidR="004C6F86" w:rsidRPr="0040600B">
              <w:t>3833472</w:t>
            </w:r>
          </w:p>
        </w:tc>
      </w:tr>
      <w:tr w:rsidR="00E11DCD" w:rsidRPr="00E11F1F" w14:paraId="0B559566" w14:textId="77777777" w:rsidTr="009B7B08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14:paraId="1FF4E84D" w14:textId="77777777" w:rsidR="00E11DCD" w:rsidRPr="005423DC" w:rsidRDefault="00E11DCD" w:rsidP="009B7B08">
            <w:pPr>
              <w:pStyle w:val="Introtabletextbold"/>
            </w:pPr>
            <w:r w:rsidRPr="005423DC">
              <w:t>Classification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14:paraId="11808AB2" w14:textId="77777777" w:rsidR="00E11DCD" w:rsidRPr="00E11F1F" w:rsidRDefault="00374790" w:rsidP="009B7B08">
            <w:pPr>
              <w:pStyle w:val="Introtabletext"/>
            </w:pPr>
            <w:sdt>
              <w:sdtPr>
                <w:id w:val="306209521"/>
                <w:placeholder>
                  <w:docPart w:val="7885B1A150CA42B1A7C8AD445D6603EC"/>
                </w:placeholder>
                <w:dropDownList>
                  <w:listItem w:value="Choose an item:"/>
                  <w:listItem w:displayText="Restricted" w:value="Restricted"/>
                  <w:listItem w:displayText="Commercial in confidence" w:value="Commercial in confidence"/>
                  <w:listItem w:displayText="Confidential" w:value="Confidential"/>
                  <w:listItem w:displayText="Public" w:value="Public"/>
                </w:dropDownList>
              </w:sdtPr>
              <w:sdtEndPr/>
              <w:sdtContent>
                <w:r w:rsidR="00885926">
                  <w:t>Public</w:t>
                </w:r>
              </w:sdtContent>
            </w:sdt>
          </w:p>
        </w:tc>
      </w:tr>
      <w:tr w:rsidR="00A7506B" w:rsidRPr="00E11F1F" w14:paraId="5E989D0A" w14:textId="77777777" w:rsidTr="005C0518">
        <w:trPr>
          <w:trHeight w:hRule="exact" w:val="340"/>
        </w:trPr>
        <w:tc>
          <w:tcPr>
            <w:tcW w:w="10318" w:type="dxa"/>
            <w:gridSpan w:val="3"/>
            <w:tcBorders>
              <w:top w:val="single" w:sz="36" w:space="0" w:color="0090AB" w:themeColor="text2"/>
            </w:tcBorders>
          </w:tcPr>
          <w:p w14:paraId="6D512F83" w14:textId="77777777" w:rsidR="00A7506B" w:rsidRPr="00E11F1F" w:rsidRDefault="00A7506B" w:rsidP="005C0518">
            <w:pPr>
              <w:pStyle w:val="1pt"/>
            </w:pPr>
          </w:p>
        </w:tc>
      </w:tr>
    </w:tbl>
    <w:p w14:paraId="1FCD6A91" w14:textId="77777777" w:rsidR="00A611F4" w:rsidRDefault="00A611F4" w:rsidP="00645A0F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E11DCD" w14:paraId="288206BF" w14:textId="77777777" w:rsidTr="009B7B08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14:paraId="267DFFAA" w14:textId="77777777" w:rsidR="00E11DCD" w:rsidRDefault="00E11DCD" w:rsidP="009B7B08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14:paraId="4AC5DF12" w14:textId="77777777" w:rsidR="00E11DCD" w:rsidRDefault="00E11DCD" w:rsidP="009B7B08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14:paraId="240B85DD" w14:textId="77777777" w:rsidR="00E11DCD" w:rsidRDefault="00E11DCD" w:rsidP="009B7B08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14:paraId="691B3E55" w14:textId="77777777" w:rsidR="00E11DCD" w:rsidRDefault="00E11DCD" w:rsidP="009B7B08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14:paraId="553334EB" w14:textId="77777777" w:rsidR="00E11DCD" w:rsidRPr="009845EB" w:rsidRDefault="00E11DCD" w:rsidP="009B7B08">
            <w:pPr>
              <w:pStyle w:val="1pt"/>
            </w:pPr>
          </w:p>
        </w:tc>
      </w:tr>
      <w:tr w:rsidR="00E11DCD" w14:paraId="5BECC81A" w14:textId="77777777" w:rsidTr="009B7B08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14:paraId="1F498C07" w14:textId="77777777" w:rsidR="00E11DCD" w:rsidRPr="00BF573B" w:rsidRDefault="00CD7728" w:rsidP="00E05DA7">
            <w:pPr>
              <w:pStyle w:val="FooterRef1"/>
              <w:framePr w:hSpace="0" w:wrap="auto" w:vAnchor="margin" w:hAnchor="text" w:yAlign="inline"/>
              <w:suppressOverlap w:val="0"/>
            </w:pPr>
            <w:r>
              <w:t>P375/6</w:t>
            </w:r>
            <w:r w:rsidR="00885926">
              <w:t xml:space="preserve"> Workgroup</w:t>
            </w:r>
          </w:p>
        </w:tc>
        <w:tc>
          <w:tcPr>
            <w:tcW w:w="284" w:type="dxa"/>
            <w:shd w:val="clear" w:color="auto" w:fill="FFFFFF" w:themeFill="background1"/>
          </w:tcPr>
          <w:p w14:paraId="638DBCB0" w14:textId="77777777" w:rsidR="00E11DCD" w:rsidRDefault="00E11DCD" w:rsidP="009B7B08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14:paraId="4F8C851A" w14:textId="3600B4FB" w:rsidR="00E11DCD" w:rsidRPr="00B120C5" w:rsidRDefault="00346F59" w:rsidP="009B7B08">
            <w:pPr>
              <w:pStyle w:val="FooterRef2"/>
              <w:framePr w:hSpace="0" w:wrap="auto" w:vAnchor="margin" w:hAnchor="text" w:yAlign="inline"/>
              <w:suppressOverlap w:val="0"/>
            </w:pPr>
            <w:r>
              <w:t>11 March 2019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14:paraId="5CDB1621" w14:textId="77777777" w:rsidR="00E11DCD" w:rsidRDefault="00E11DCD" w:rsidP="009B7B08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35AFFA3B" wp14:editId="3B1F7E54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DCD" w14:paraId="4635BA65" w14:textId="77777777" w:rsidTr="009B7B08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14:paraId="25C57EAA" w14:textId="7299B1F4" w:rsidR="00E11DCD" w:rsidRPr="004873F8" w:rsidRDefault="00E11DCD" w:rsidP="009B7B08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DF29BC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885926">
              <w:rPr>
                <w:noProof/>
              </w:rPr>
              <w:fldChar w:fldCharType="begin"/>
            </w:r>
            <w:r w:rsidR="00885926">
              <w:rPr>
                <w:noProof/>
              </w:rPr>
              <w:instrText xml:space="preserve"> NUMPAGES  \* Arabic  \* MERGEFORMAT </w:instrText>
            </w:r>
            <w:r w:rsidR="00885926">
              <w:rPr>
                <w:noProof/>
              </w:rPr>
              <w:fldChar w:fldCharType="separate"/>
            </w:r>
            <w:r w:rsidR="00DF29BC">
              <w:rPr>
                <w:noProof/>
              </w:rPr>
              <w:t>2</w:t>
            </w:r>
            <w:r w:rsidR="00885926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14:paraId="249904D8" w14:textId="77777777" w:rsidR="00E11DCD" w:rsidRDefault="00E11DCD" w:rsidP="009B7B0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14:paraId="1D5B9814" w14:textId="7654A00B" w:rsidR="00E11DCD" w:rsidRDefault="00346F59" w:rsidP="00500CE9">
            <w:pPr>
              <w:pStyle w:val="FooterDate"/>
              <w:framePr w:hSpace="0" w:wrap="auto" w:vAnchor="margin" w:hAnchor="text" w:yAlign="inline"/>
              <w:suppressOverlap w:val="0"/>
            </w:pPr>
            <w:r>
              <w:t>V1.0</w:t>
            </w:r>
          </w:p>
        </w:tc>
        <w:tc>
          <w:tcPr>
            <w:tcW w:w="2712" w:type="dxa"/>
            <w:shd w:val="clear" w:color="auto" w:fill="FFFFFF" w:themeFill="background1"/>
          </w:tcPr>
          <w:p w14:paraId="5DE6074A" w14:textId="026E9A19" w:rsidR="00E11DCD" w:rsidRDefault="00E11DCD" w:rsidP="009B7B08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B033C7">
              <w:rPr>
                <w:noProof/>
              </w:rPr>
              <w:t>2019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14:paraId="5CB27B6C" w14:textId="77777777" w:rsidR="00E11DCD" w:rsidRDefault="00E11DCD" w:rsidP="009B7B08">
            <w:pPr>
              <w:pStyle w:val="Footer"/>
            </w:pPr>
          </w:p>
        </w:tc>
      </w:tr>
    </w:tbl>
    <w:p w14:paraId="163C9E91" w14:textId="77777777" w:rsidR="00645A0F" w:rsidRDefault="00645A0F" w:rsidP="00645A0F">
      <w:pPr>
        <w:pStyle w:val="1pt"/>
      </w:pPr>
    </w:p>
    <w:tbl>
      <w:tblPr>
        <w:tblStyle w:val="ElexonTable"/>
        <w:tblW w:w="4440" w:type="pct"/>
        <w:jc w:val="center"/>
        <w:tblLook w:val="04A0" w:firstRow="1" w:lastRow="0" w:firstColumn="1" w:lastColumn="0" w:noHBand="0" w:noVBand="1"/>
      </w:tblPr>
      <w:tblGrid>
        <w:gridCol w:w="6764"/>
        <w:gridCol w:w="2384"/>
      </w:tblGrid>
      <w:tr w:rsidR="00032C94" w14:paraId="04916CB3" w14:textId="77777777" w:rsidTr="00032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pct"/>
          </w:tcPr>
          <w:p w14:paraId="2E9BED67" w14:textId="77777777" w:rsidR="00032C94" w:rsidRDefault="00032C94" w:rsidP="007F6A2D">
            <w:pPr>
              <w:pStyle w:val="Tableheading"/>
            </w:pPr>
            <w:r>
              <w:t>Agenda item</w:t>
            </w:r>
          </w:p>
        </w:tc>
        <w:tc>
          <w:tcPr>
            <w:tcW w:w="1303" w:type="pct"/>
          </w:tcPr>
          <w:p w14:paraId="2EEF6242" w14:textId="77777777" w:rsidR="00032C94" w:rsidRDefault="00032C94" w:rsidP="007F6A2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</w:t>
            </w:r>
          </w:p>
        </w:tc>
      </w:tr>
      <w:tr w:rsidR="00032C94" w14:paraId="655340B0" w14:textId="77777777" w:rsidTr="00032C9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pct"/>
          </w:tcPr>
          <w:p w14:paraId="5A03B6E3" w14:textId="77777777" w:rsidR="00032C94" w:rsidRPr="00887588" w:rsidRDefault="00032C94" w:rsidP="00C75625">
            <w:pPr>
              <w:pStyle w:val="Agendalist"/>
            </w:pPr>
            <w:r>
              <w:t>Welcome and apologies</w:t>
            </w:r>
          </w:p>
        </w:tc>
        <w:tc>
          <w:tcPr>
            <w:tcW w:w="1303" w:type="pct"/>
          </w:tcPr>
          <w:p w14:paraId="5B8C1494" w14:textId="6C9A4431" w:rsidR="00032C94" w:rsidRPr="00236E6F" w:rsidRDefault="00827F34" w:rsidP="00827F3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Chair</w:t>
            </w:r>
            <w:r w:rsidR="00790C7F">
              <w:t xml:space="preserve"> (Lawrence Jones)</w:t>
            </w:r>
          </w:p>
        </w:tc>
      </w:tr>
      <w:tr w:rsidR="00032C94" w14:paraId="5C473DE8" w14:textId="77777777" w:rsidTr="00032C9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pct"/>
          </w:tcPr>
          <w:p w14:paraId="45E59AD2" w14:textId="29B21AE0" w:rsidR="00032C94" w:rsidRPr="00887588" w:rsidRDefault="003C12B9" w:rsidP="007C6BF4">
            <w:pPr>
              <w:pStyle w:val="Agendalist"/>
            </w:pPr>
            <w:r>
              <w:t>Review of meeting 2</w:t>
            </w:r>
            <w:r w:rsidR="00032C94">
              <w:t xml:space="preserve"> and actions</w:t>
            </w:r>
          </w:p>
        </w:tc>
        <w:tc>
          <w:tcPr>
            <w:tcW w:w="1303" w:type="pct"/>
          </w:tcPr>
          <w:p w14:paraId="14713FEF" w14:textId="3CE2B016" w:rsidR="00032C94" w:rsidRPr="00236E6F" w:rsidRDefault="0026275A" w:rsidP="00827F3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 Analyst (Tom Darwen)</w:t>
            </w:r>
            <w:r w:rsidR="00827F34">
              <w:t xml:space="preserve">   </w:t>
            </w:r>
          </w:p>
        </w:tc>
      </w:tr>
      <w:tr w:rsidR="00032C94" w14:paraId="4B79486C" w14:textId="77777777" w:rsidTr="00032C9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pct"/>
          </w:tcPr>
          <w:p w14:paraId="00655328" w14:textId="0A247C01" w:rsidR="00032C94" w:rsidRDefault="00124F92" w:rsidP="001A47D9">
            <w:pPr>
              <w:pStyle w:val="Agendalist"/>
            </w:pPr>
            <w:r>
              <w:t>Site load independence</w:t>
            </w:r>
          </w:p>
          <w:p w14:paraId="3C53EC1D" w14:textId="7F5512F1" w:rsidR="00124F92" w:rsidRDefault="00124F92" w:rsidP="00124F92">
            <w:pPr>
              <w:pStyle w:val="Agendalist"/>
              <w:numPr>
                <w:ilvl w:val="0"/>
                <w:numId w:val="0"/>
              </w:numPr>
              <w:ind w:left="851"/>
            </w:pPr>
            <w:r>
              <w:t>Site examples / case studies</w:t>
            </w:r>
          </w:p>
        </w:tc>
        <w:tc>
          <w:tcPr>
            <w:tcW w:w="1303" w:type="pct"/>
          </w:tcPr>
          <w:p w14:paraId="7A95DB1D" w14:textId="1E1F0842" w:rsidR="00032C94" w:rsidRDefault="00D21F0E" w:rsidP="005076A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Proposer</w:t>
            </w:r>
            <w:r w:rsidR="0096496B">
              <w:t xml:space="preserve"> P375</w:t>
            </w:r>
            <w:r w:rsidR="00124F92">
              <w:t xml:space="preserve"> (Alastair Martin)</w:t>
            </w:r>
          </w:p>
        </w:tc>
      </w:tr>
      <w:tr w:rsidR="00A23E78" w14:paraId="034AD8E7" w14:textId="77777777" w:rsidTr="00032C9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pct"/>
          </w:tcPr>
          <w:p w14:paraId="3D0162CA" w14:textId="580E1E9F" w:rsidR="0026275A" w:rsidRDefault="001A4AF9" w:rsidP="007C6BF4">
            <w:pPr>
              <w:pStyle w:val="Agendalist"/>
            </w:pPr>
            <w:r>
              <w:t>A</w:t>
            </w:r>
            <w:r w:rsidR="0026275A">
              <w:t>sset meter technical and commissioning standards</w:t>
            </w:r>
          </w:p>
          <w:p w14:paraId="580C2F42" w14:textId="13FBC6AC" w:rsidR="00A23E78" w:rsidRDefault="001A47D9" w:rsidP="009B2026">
            <w:pPr>
              <w:pStyle w:val="Agendalist"/>
              <w:numPr>
                <w:ilvl w:val="0"/>
                <w:numId w:val="28"/>
              </w:numPr>
            </w:pPr>
            <w:r>
              <w:t xml:space="preserve">Draft </w:t>
            </w:r>
            <w:proofErr w:type="spellStart"/>
            <w:r>
              <w:t>CoP</w:t>
            </w:r>
            <w:proofErr w:type="spellEnd"/>
            <w:r>
              <w:t xml:space="preserve"> for asset metering</w:t>
            </w:r>
          </w:p>
        </w:tc>
        <w:tc>
          <w:tcPr>
            <w:tcW w:w="1303" w:type="pct"/>
          </w:tcPr>
          <w:p w14:paraId="667DCDBE" w14:textId="34F70BC9" w:rsidR="00A23E78" w:rsidRDefault="003831C0" w:rsidP="005076A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Matter Expert (</w:t>
            </w:r>
            <w:r w:rsidR="00D21F0E">
              <w:t>Iain Nicoll</w:t>
            </w:r>
            <w:r>
              <w:t>)</w:t>
            </w:r>
          </w:p>
        </w:tc>
      </w:tr>
      <w:tr w:rsidR="006C2C7B" w14:paraId="35059E42" w14:textId="77777777" w:rsidTr="00032C9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pct"/>
          </w:tcPr>
          <w:p w14:paraId="43E1F915" w14:textId="5DD22DE4" w:rsidR="00F22970" w:rsidRDefault="00043387" w:rsidP="007C6BF4">
            <w:pPr>
              <w:pStyle w:val="Agendalist"/>
            </w:pPr>
            <w:r>
              <w:t>Business r</w:t>
            </w:r>
            <w:r w:rsidR="00C21D13">
              <w:t>equirements</w:t>
            </w:r>
          </w:p>
          <w:p w14:paraId="3C45C2C0" w14:textId="640F20EF" w:rsidR="006C2C7B" w:rsidRDefault="00BF14E0" w:rsidP="009B2026">
            <w:pPr>
              <w:pStyle w:val="Agendalist"/>
              <w:numPr>
                <w:ilvl w:val="0"/>
                <w:numId w:val="28"/>
              </w:numPr>
            </w:pPr>
            <w:r>
              <w:t>Flows and pr</w:t>
            </w:r>
            <w:r w:rsidR="00F22970">
              <w:t xml:space="preserve">ocess </w:t>
            </w:r>
            <w:r w:rsidR="0026275A">
              <w:t>diagram</w:t>
            </w:r>
            <w:r w:rsidR="00F22970">
              <w:t>s</w:t>
            </w:r>
          </w:p>
          <w:p w14:paraId="76C422B1" w14:textId="77777777" w:rsidR="00F22970" w:rsidRDefault="00F22970" w:rsidP="009B2026">
            <w:pPr>
              <w:pStyle w:val="Agendalist"/>
              <w:numPr>
                <w:ilvl w:val="0"/>
                <w:numId w:val="28"/>
              </w:numPr>
            </w:pPr>
            <w:r>
              <w:t>Registration of asset meters</w:t>
            </w:r>
          </w:p>
          <w:p w14:paraId="0542AAD4" w14:textId="77777777" w:rsidR="00F22970" w:rsidRDefault="00F22970" w:rsidP="009B2026">
            <w:pPr>
              <w:pStyle w:val="Agendalist"/>
              <w:numPr>
                <w:ilvl w:val="0"/>
                <w:numId w:val="28"/>
              </w:numPr>
            </w:pPr>
            <w:r>
              <w:t xml:space="preserve">Applying </w:t>
            </w:r>
            <w:r w:rsidR="009B2026">
              <w:t>line loss factors</w:t>
            </w:r>
          </w:p>
          <w:p w14:paraId="0780EDC8" w14:textId="591A8760" w:rsidR="009B2026" w:rsidRDefault="009B2026" w:rsidP="009B2026">
            <w:pPr>
              <w:pStyle w:val="Agendalist"/>
              <w:numPr>
                <w:ilvl w:val="0"/>
                <w:numId w:val="28"/>
              </w:numPr>
            </w:pPr>
            <w:r>
              <w:t>Performance assurance</w:t>
            </w:r>
          </w:p>
        </w:tc>
        <w:tc>
          <w:tcPr>
            <w:tcW w:w="1303" w:type="pct"/>
          </w:tcPr>
          <w:p w14:paraId="782EC341" w14:textId="7D220E88" w:rsidR="006C2C7B" w:rsidRDefault="009B2026" w:rsidP="00CD772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Analyst (</w:t>
            </w:r>
            <w:r w:rsidR="008B75A8">
              <w:t>Paulina</w:t>
            </w:r>
            <w:r>
              <w:t xml:space="preserve"> Stelmach) / </w:t>
            </w:r>
            <w:r w:rsidR="003831C0">
              <w:t>All</w:t>
            </w:r>
          </w:p>
        </w:tc>
      </w:tr>
      <w:tr w:rsidR="00C21D13" w14:paraId="615049E0" w14:textId="77777777" w:rsidTr="00032C9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pct"/>
          </w:tcPr>
          <w:p w14:paraId="660D3D5E" w14:textId="15BFB80A" w:rsidR="00C21D13" w:rsidRDefault="00F22970" w:rsidP="007C6BF4">
            <w:pPr>
              <w:pStyle w:val="Agendalist"/>
            </w:pPr>
            <w:r>
              <w:t xml:space="preserve">P375 </w:t>
            </w:r>
            <w:r w:rsidR="00697FA1">
              <w:t>i</w:t>
            </w:r>
            <w:r w:rsidR="00043387">
              <w:t>ndustry c</w:t>
            </w:r>
            <w:r w:rsidR="00C21D13">
              <w:t>onsultation</w:t>
            </w:r>
            <w:r w:rsidR="00043387">
              <w:t xml:space="preserve"> q</w:t>
            </w:r>
            <w:r w:rsidR="008B75A8">
              <w:t>uestions</w:t>
            </w:r>
          </w:p>
          <w:p w14:paraId="3B6FDD12" w14:textId="480E422B" w:rsidR="00CD30A5" w:rsidRDefault="00CD30A5" w:rsidP="00CD30A5">
            <w:pPr>
              <w:pStyle w:val="Agendalist"/>
              <w:numPr>
                <w:ilvl w:val="0"/>
                <w:numId w:val="0"/>
              </w:numPr>
              <w:ind w:left="624" w:hanging="511"/>
            </w:pPr>
          </w:p>
        </w:tc>
        <w:tc>
          <w:tcPr>
            <w:tcW w:w="1303" w:type="pct"/>
          </w:tcPr>
          <w:p w14:paraId="4D80CD49" w14:textId="4A03B541" w:rsidR="00C21D13" w:rsidRDefault="003831C0" w:rsidP="00CD772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5A6421" w14:paraId="22CC061C" w14:textId="77777777" w:rsidTr="00032C9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pct"/>
          </w:tcPr>
          <w:p w14:paraId="0103AA36" w14:textId="70B86E0E" w:rsidR="00B033C7" w:rsidRDefault="005A6421" w:rsidP="00374790">
            <w:pPr>
              <w:pStyle w:val="Agendalist"/>
            </w:pPr>
            <w:r>
              <w:t xml:space="preserve">P375 Workgroup </w:t>
            </w:r>
            <w:r w:rsidR="00B94DBA">
              <w:t>d</w:t>
            </w:r>
            <w:r w:rsidR="00BF77BF">
              <w:t>iscussions</w:t>
            </w:r>
            <w:r w:rsidR="00374790">
              <w:t xml:space="preserve"> (t</w:t>
            </w:r>
            <w:r w:rsidR="00B033C7">
              <w:t>erms of reference</w:t>
            </w:r>
            <w:r w:rsidR="00374790">
              <w:t>)</w:t>
            </w:r>
          </w:p>
          <w:p w14:paraId="44314A90" w14:textId="4C09F316" w:rsidR="005A6421" w:rsidRDefault="00790C7F" w:rsidP="00AD34E2">
            <w:pPr>
              <w:pStyle w:val="Agendalist"/>
              <w:numPr>
                <w:ilvl w:val="0"/>
                <w:numId w:val="33"/>
              </w:numPr>
            </w:pPr>
            <w:r>
              <w:t>R</w:t>
            </w:r>
            <w:r w:rsidR="005A6421">
              <w:t>ecommendations</w:t>
            </w:r>
            <w:r w:rsidR="00AD34E2">
              <w:t xml:space="preserve"> against objectives</w:t>
            </w:r>
          </w:p>
          <w:p w14:paraId="20164F9E" w14:textId="6C8142AF" w:rsidR="00AD34E2" w:rsidRDefault="00790C7F" w:rsidP="00AD34E2">
            <w:pPr>
              <w:pStyle w:val="Agendalist"/>
              <w:numPr>
                <w:ilvl w:val="0"/>
                <w:numId w:val="32"/>
              </w:numPr>
            </w:pPr>
            <w:r>
              <w:t>S</w:t>
            </w:r>
            <w:r w:rsidR="00AD34E2">
              <w:t>cope of P375 / future proofing</w:t>
            </w:r>
          </w:p>
          <w:p w14:paraId="29FE9243" w14:textId="57AB2BAB" w:rsidR="00AD34E2" w:rsidRDefault="00790C7F" w:rsidP="00790C7F">
            <w:pPr>
              <w:pStyle w:val="Agendalist"/>
              <w:numPr>
                <w:ilvl w:val="0"/>
                <w:numId w:val="31"/>
              </w:numPr>
            </w:pPr>
            <w:r>
              <w:t>P375 progression</w:t>
            </w:r>
          </w:p>
          <w:p w14:paraId="46627772" w14:textId="263DD947" w:rsidR="00790C7F" w:rsidRDefault="00790C7F" w:rsidP="00790C7F">
            <w:pPr>
              <w:pStyle w:val="Agendalist"/>
              <w:numPr>
                <w:ilvl w:val="0"/>
                <w:numId w:val="31"/>
              </w:numPr>
            </w:pPr>
            <w:r>
              <w:t>Update on P376 progression</w:t>
            </w:r>
          </w:p>
        </w:tc>
        <w:tc>
          <w:tcPr>
            <w:tcW w:w="1303" w:type="pct"/>
          </w:tcPr>
          <w:p w14:paraId="4A8D1E30" w14:textId="0ED0B4B2" w:rsidR="005A6421" w:rsidRDefault="00AD34E2" w:rsidP="0096496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bookmarkStart w:id="0" w:name="_GoBack"/>
        <w:bookmarkEnd w:id="0"/>
      </w:tr>
      <w:tr w:rsidR="0096496B" w14:paraId="30E9E130" w14:textId="77777777" w:rsidTr="00032C9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pct"/>
          </w:tcPr>
          <w:p w14:paraId="215242A6" w14:textId="47E78F95" w:rsidR="006C2C7B" w:rsidRDefault="00697FA1" w:rsidP="00790C7F">
            <w:pPr>
              <w:pStyle w:val="Agendalist"/>
            </w:pPr>
            <w:r>
              <w:t>AOB and n</w:t>
            </w:r>
            <w:r w:rsidR="0096496B">
              <w:t>ext steps</w:t>
            </w:r>
          </w:p>
        </w:tc>
        <w:tc>
          <w:tcPr>
            <w:tcW w:w="1303" w:type="pct"/>
          </w:tcPr>
          <w:p w14:paraId="6BD3A18F" w14:textId="197C229E" w:rsidR="0096496B" w:rsidRDefault="009434CB" w:rsidP="0096496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 Analyst</w:t>
            </w:r>
            <w:r w:rsidR="00790C7F">
              <w:t>s</w:t>
            </w:r>
            <w:r>
              <w:t xml:space="preserve"> P375 &amp; P376</w:t>
            </w:r>
          </w:p>
        </w:tc>
      </w:tr>
      <w:tr w:rsidR="009434CB" w14:paraId="05D1A1D9" w14:textId="77777777" w:rsidTr="00032C9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pct"/>
          </w:tcPr>
          <w:p w14:paraId="7494D830" w14:textId="432EEC98" w:rsidR="009434CB" w:rsidRDefault="009434CB" w:rsidP="00B94DBA">
            <w:pPr>
              <w:pStyle w:val="Agendalist"/>
            </w:pPr>
            <w:r>
              <w:t>Close</w:t>
            </w:r>
          </w:p>
        </w:tc>
        <w:tc>
          <w:tcPr>
            <w:tcW w:w="1303" w:type="pct"/>
          </w:tcPr>
          <w:p w14:paraId="0D36AE83" w14:textId="29ED76E1" w:rsidR="009434CB" w:rsidRDefault="009434CB" w:rsidP="0096496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Chair</w:t>
            </w:r>
          </w:p>
        </w:tc>
      </w:tr>
    </w:tbl>
    <w:p w14:paraId="25A5A0BF" w14:textId="77777777" w:rsidR="004B46BC" w:rsidRDefault="004B46BC" w:rsidP="003F1BCB">
      <w:pPr>
        <w:pStyle w:val="BodyText"/>
      </w:pPr>
    </w:p>
    <w:p w14:paraId="5E1475EF" w14:textId="77777777" w:rsidR="00885926" w:rsidRDefault="00885926" w:rsidP="003F1BCB">
      <w:pPr>
        <w:pStyle w:val="BodyText"/>
      </w:pPr>
      <w:r>
        <w:br w:type="page"/>
      </w:r>
    </w:p>
    <w:p w14:paraId="51FD34A7" w14:textId="77777777" w:rsidR="00885926" w:rsidRDefault="00885926" w:rsidP="003F1BCB">
      <w:pPr>
        <w:pStyle w:val="BodyText"/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423E2EA3" wp14:editId="6690000D">
                <wp:extent cx="6544310" cy="2219325"/>
                <wp:effectExtent l="0" t="0" r="27940" b="28575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310" cy="2219325"/>
                        </a:xfrm>
                        <a:prstGeom prst="roundRect">
                          <a:avLst>
                            <a:gd name="adj" fmla="val 1548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EA0E7" w14:textId="77777777" w:rsidR="00885926" w:rsidRPr="00757504" w:rsidRDefault="00885926" w:rsidP="00885926">
                            <w:p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0090AB" w:themeColor="text2"/>
                                <w:sz w:val="16"/>
                                <w:szCs w:val="16"/>
                              </w:rPr>
                            </w:pPr>
                            <w:r w:rsidRPr="00757504">
                              <w:rPr>
                                <w:rFonts w:asciiTheme="minorHAnsi" w:hAnsiTheme="minorHAnsi" w:cstheme="minorHAnsi"/>
                                <w:b/>
                                <w:color w:val="0090AB" w:themeColor="text2"/>
                                <w:sz w:val="16"/>
                                <w:szCs w:val="16"/>
                              </w:rPr>
                              <w:t>The Applicable BSC Objectives are:</w:t>
                            </w:r>
                          </w:p>
                          <w:p w14:paraId="424F8E9E" w14:textId="77777777" w:rsidR="00885926" w:rsidRPr="00757504" w:rsidRDefault="00885926" w:rsidP="00885926">
                            <w:pPr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757504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The efficient discharge by the Transmission Company of the obligations imposed upon it by the Transmission Licence</w:t>
                            </w:r>
                          </w:p>
                          <w:p w14:paraId="011F0EEE" w14:textId="77777777" w:rsidR="00885926" w:rsidRPr="00757504" w:rsidRDefault="00885926" w:rsidP="00885926">
                            <w:pPr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757504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The efficient, economic and co-ordinated operation of the national electricity transmission system</w:t>
                            </w:r>
                          </w:p>
                          <w:p w14:paraId="1F8C7789" w14:textId="77777777" w:rsidR="00885926" w:rsidRPr="00757504" w:rsidRDefault="00885926" w:rsidP="00885926">
                            <w:pPr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757504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Promoting effective competition in the generation and supply of electricity, and (so far as consistent therewith) promoting such competition in the sale and purchase of electricity</w:t>
                            </w:r>
                          </w:p>
                          <w:p w14:paraId="6AD289A7" w14:textId="77777777" w:rsidR="00885926" w:rsidRPr="00757504" w:rsidRDefault="00885926" w:rsidP="00885926">
                            <w:pPr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757504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Promoting efficiency in the implementation and administration of the balancing and settlement arrangements</w:t>
                            </w:r>
                          </w:p>
                          <w:p w14:paraId="29F7AA91" w14:textId="77777777" w:rsidR="00885926" w:rsidRDefault="00885926" w:rsidP="00885926">
                            <w:pPr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757504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Compliance with the Electricity Regulation and any relevant legally binding decision of the European Commission and/or the Agency [for the Co-operation of Energy Regulators]</w:t>
                            </w:r>
                          </w:p>
                          <w:p w14:paraId="1D574549" w14:textId="77777777" w:rsidR="00885926" w:rsidRDefault="00885926" w:rsidP="00885926">
                            <w:pPr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5A71E9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Implementing and administrating the arrangements for the operation of contracts for difference and arrangements that facilitate the operation of a capacity market pursuant to EMR legislation</w:t>
                            </w:r>
                          </w:p>
                          <w:p w14:paraId="3809B55F" w14:textId="77777777" w:rsidR="00885926" w:rsidRPr="005006FF" w:rsidRDefault="00885926" w:rsidP="00885926">
                            <w:pPr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Compliance with the Transmission Losses Principle</w:t>
                            </w:r>
                          </w:p>
                          <w:p w14:paraId="677FCBA9" w14:textId="77777777" w:rsidR="00885926" w:rsidRPr="005006FF" w:rsidRDefault="00885926" w:rsidP="00885926">
                            <w:pPr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5006FF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(g) Compliance with the Transmission Losses Principle</w:t>
                            </w:r>
                          </w:p>
                          <w:p w14:paraId="2CB4FD8B" w14:textId="77777777" w:rsidR="00885926" w:rsidRPr="005006FF" w:rsidRDefault="00885926" w:rsidP="00885926">
                            <w:pPr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5006FF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(g) Compliance with the Transmission Losses Principle</w:t>
                            </w:r>
                          </w:p>
                          <w:p w14:paraId="366F8D98" w14:textId="77777777" w:rsidR="00885926" w:rsidRPr="005006FF" w:rsidRDefault="00885926" w:rsidP="00885926">
                            <w:pPr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5006FF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(g) Compliance with the Transmission Losses Principle</w:t>
                            </w:r>
                          </w:p>
                          <w:p w14:paraId="7097E0B9" w14:textId="77777777" w:rsidR="00885926" w:rsidRPr="00757504" w:rsidRDefault="00885926" w:rsidP="00885926">
                            <w:pPr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5006FF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(g) Compliance with the Transmission Losses Principle</w:t>
                            </w:r>
                          </w:p>
                          <w:p w14:paraId="0D95179D" w14:textId="77777777" w:rsidR="00885926" w:rsidRDefault="00885926" w:rsidP="00885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3E2EA3" id="Rounded Rectangle 2" o:spid="_x0000_s1026" style="width:515.3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seywIAADAGAAAOAAAAZHJzL2Uyb0RvYy54bWysVFFP2zAQfp+0/2D5faQJLYOKFFUgpkkM&#10;EDDx7Dp2k8n2ebbbpvv1nJ00hQGbNK0P6Z19993d57s7PWu1ImvhfAOmpPnBiBJhOFSNWZb0+8Pl&#10;p2NKfGCmYgqMKOlWeHo2+/jhdGOnooAaVCUcQRDjpxtb0joEO80yz2uhmT8AKwxeSnCaBVTdMqsc&#10;2yC6VlkxGh1lG3CVdcCF93h60V3SWcKXUvBwI6UXgaiSYm4hfV36LuI3m52y6dIxWze8T4P9Qxaa&#10;NQaDDlAXLDCycs0rKN1wBx5kOOCgM5Cy4SLVgNXko9+qua+ZFakWJMfbgSb//2D59frWkaYqaUGJ&#10;YRqf6A5WphIVuUPymFkqQYpI08b6KVrf21vXax7FWHMrnY7/WA1pE7XbgVrRBsLx8GgyHh/m+AIc&#10;74oiPzksJhE127tb58MXAZpEoaQuphFzSLyy9ZUPieCqT5NVPyiRWuFzrZki+WR8nJ4TEXtjlHaY&#10;0dODaqrLRqmkxAYT58oRdC4p41yYkKdQaqW/QdWdj0f465oEj7GVuuOj3TGGSK0akVIxL4Io87e4&#10;oU3cRph9dqhFzywy3nGcpLBVIuIpcyckPhmyWqSEhwxe1+JrVonuePJuzgkwIkskZ8DuyHgHu3u5&#10;3j66ijRrg/PoT4l1zoNHigwmDM66MeDeAlD4Qn3kzn5HUkdNZCm0ixZNoriAaou97aAbem/5ZYOd&#10;dcV8uGUO2wa7ETdXuMGPVLApKfQSJTW4X2+dR3scPrylZINbo6T+54o5QYn6anAsT/LxOK6ZpIwn&#10;nwtU3PObxfMbs9LngN2X4460PInRPqidKB3oR1xw8xgVr5jhGLukPLidch66bYYrkov5PJnharEs&#10;XJl7yyN4JDgOwkP7yJztxyvgZF7DbsP0M9ORu7eNngbmqwCyCfFyz2uv4FpC6cXee64nq/2inz0B&#10;AAD//wMAUEsDBBQABgAIAAAAIQB5rWJl3gAAAAYBAAAPAAAAZHJzL2Rvd25yZXYueG1sTI/BTsMw&#10;EETvSPyDtUjcqA0lVQnZVAjEASQOTUGCmxtvk0C8DrGThr+vywUuK41mNPM2W022FSP1vnGMcDlT&#10;IIhLZxquEF43jxdLED5oNrp1TAg/5GGVn55kOjVuz2sai1CJWMI+1Qh1CF0qpS9rstrPXEccvZ3r&#10;rQ5R9pU0vd7HctvKK6UW0uqG40KtO7qvqfwqBouwHga1+XxO7LIs3saX3UPy/fT+gXh+Nt3dggg0&#10;hb8wHPEjOuSRaesGNl60CPGR8HuPnpqrBYgtwvz6JgGZZ/I/fn4AAAD//wMAUEsBAi0AFAAGAAgA&#10;AAAhALaDOJL+AAAA4QEAABMAAAAAAAAAAAAAAAAAAAAAAFtDb250ZW50X1R5cGVzXS54bWxQSwEC&#10;LQAUAAYACAAAACEAOP0h/9YAAACUAQAACwAAAAAAAAAAAAAAAAAvAQAAX3JlbHMvLnJlbHNQSwEC&#10;LQAUAAYACAAAACEAS14bHssCAAAwBgAADgAAAAAAAAAAAAAAAAAuAgAAZHJzL2Uyb0RvYy54bWxQ&#10;SwECLQAUAAYACAAAACEAea1iZd4AAAAGAQAADwAAAAAAAAAAAAAAAAAlBQAAZHJzL2Rvd25yZXYu&#10;eG1sUEsFBgAAAAAEAAQA8wAAADAGAAAAAA==&#10;" fillcolor="#c1e8e6 [1300]" strokecolor="#0090ab [3215]" strokeweight="2pt">
                <v:textbox>
                  <w:txbxContent>
                    <w:p w14:paraId="4D5EA0E7" w14:textId="77777777" w:rsidR="00885926" w:rsidRPr="00757504" w:rsidRDefault="00885926" w:rsidP="00885926">
                      <w:pPr>
                        <w:spacing w:after="120" w:line="240" w:lineRule="auto"/>
                        <w:rPr>
                          <w:rFonts w:asciiTheme="minorHAnsi" w:hAnsiTheme="minorHAnsi" w:cstheme="minorHAnsi"/>
                          <w:b/>
                          <w:color w:val="0090AB" w:themeColor="text2"/>
                          <w:sz w:val="16"/>
                          <w:szCs w:val="16"/>
                        </w:rPr>
                      </w:pPr>
                      <w:r w:rsidRPr="00757504">
                        <w:rPr>
                          <w:rFonts w:asciiTheme="minorHAnsi" w:hAnsiTheme="minorHAnsi" w:cstheme="minorHAnsi"/>
                          <w:b/>
                          <w:color w:val="0090AB" w:themeColor="text2"/>
                          <w:sz w:val="16"/>
                          <w:szCs w:val="16"/>
                        </w:rPr>
                        <w:t>The Applicable BSC Objectives are:</w:t>
                      </w:r>
                    </w:p>
                    <w:p w14:paraId="424F8E9E" w14:textId="77777777" w:rsidR="00885926" w:rsidRPr="00757504" w:rsidRDefault="00885926" w:rsidP="00885926">
                      <w:pPr>
                        <w:numPr>
                          <w:ilvl w:val="0"/>
                          <w:numId w:val="26"/>
                        </w:num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r w:rsidRPr="00757504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The efficient discharge by the Transmission Company of the obligations imposed upon it by the Transmission Licence</w:t>
                      </w:r>
                    </w:p>
                    <w:p w14:paraId="011F0EEE" w14:textId="77777777" w:rsidR="00885926" w:rsidRPr="00757504" w:rsidRDefault="00885926" w:rsidP="00885926">
                      <w:pPr>
                        <w:numPr>
                          <w:ilvl w:val="0"/>
                          <w:numId w:val="26"/>
                        </w:num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r w:rsidRPr="00757504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The efficient, economic and co-ordinated operation of the national electricity transmission system</w:t>
                      </w:r>
                    </w:p>
                    <w:p w14:paraId="1F8C7789" w14:textId="77777777" w:rsidR="00885926" w:rsidRPr="00757504" w:rsidRDefault="00885926" w:rsidP="00885926">
                      <w:pPr>
                        <w:numPr>
                          <w:ilvl w:val="0"/>
                          <w:numId w:val="26"/>
                        </w:num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r w:rsidRPr="00757504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Promoting effective competition in the generation and supply of electricity, and (so far as consistent therewith) promoting such competition in the sale and purchase of electricity</w:t>
                      </w:r>
                    </w:p>
                    <w:p w14:paraId="6AD289A7" w14:textId="77777777" w:rsidR="00885926" w:rsidRPr="00757504" w:rsidRDefault="00885926" w:rsidP="00885926">
                      <w:pPr>
                        <w:numPr>
                          <w:ilvl w:val="0"/>
                          <w:numId w:val="26"/>
                        </w:num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r w:rsidRPr="00757504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Promoting efficiency in the implementation and administration of the balancing and settlement arrangements</w:t>
                      </w:r>
                    </w:p>
                    <w:p w14:paraId="29F7AA91" w14:textId="77777777" w:rsidR="00885926" w:rsidRDefault="00885926" w:rsidP="00885926">
                      <w:pPr>
                        <w:numPr>
                          <w:ilvl w:val="0"/>
                          <w:numId w:val="26"/>
                        </w:num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r w:rsidRPr="00757504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Compliance with the Electricity Regulation and any relevant legally binding decision of the European Commission and/or the Agency [for the Co-operation of Energy Regulators]</w:t>
                      </w:r>
                    </w:p>
                    <w:p w14:paraId="1D574549" w14:textId="77777777" w:rsidR="00885926" w:rsidRDefault="00885926" w:rsidP="00885926">
                      <w:pPr>
                        <w:numPr>
                          <w:ilvl w:val="0"/>
                          <w:numId w:val="26"/>
                        </w:num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r w:rsidRPr="005A71E9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Implementing and administrating the arrangements for the operation of contracts for difference and arrangements that facilitate the operation of a capacity market pursuant to EMR legislation</w:t>
                      </w:r>
                    </w:p>
                    <w:p w14:paraId="3809B55F" w14:textId="77777777" w:rsidR="00885926" w:rsidRPr="005006FF" w:rsidRDefault="00885926" w:rsidP="00885926">
                      <w:pPr>
                        <w:numPr>
                          <w:ilvl w:val="0"/>
                          <w:numId w:val="26"/>
                        </w:num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Compliance with the Transmission Losses Principle</w:t>
                      </w:r>
                    </w:p>
                    <w:p w14:paraId="677FCBA9" w14:textId="77777777" w:rsidR="00885926" w:rsidRPr="005006FF" w:rsidRDefault="00885926" w:rsidP="00885926">
                      <w:pPr>
                        <w:numPr>
                          <w:ilvl w:val="0"/>
                          <w:numId w:val="26"/>
                        </w:num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r w:rsidRPr="005006FF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(g) Compliance with the Transmission Losses Principle</w:t>
                      </w:r>
                    </w:p>
                    <w:p w14:paraId="2CB4FD8B" w14:textId="77777777" w:rsidR="00885926" w:rsidRPr="005006FF" w:rsidRDefault="00885926" w:rsidP="00885926">
                      <w:pPr>
                        <w:numPr>
                          <w:ilvl w:val="0"/>
                          <w:numId w:val="26"/>
                        </w:num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r w:rsidRPr="005006FF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(g) Compliance with the Transmission Losses Principle</w:t>
                      </w:r>
                    </w:p>
                    <w:p w14:paraId="366F8D98" w14:textId="77777777" w:rsidR="00885926" w:rsidRPr="005006FF" w:rsidRDefault="00885926" w:rsidP="00885926">
                      <w:pPr>
                        <w:numPr>
                          <w:ilvl w:val="0"/>
                          <w:numId w:val="26"/>
                        </w:num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r w:rsidRPr="005006FF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(g) Compliance with the Transmission Losses Principle</w:t>
                      </w:r>
                    </w:p>
                    <w:p w14:paraId="7097E0B9" w14:textId="77777777" w:rsidR="00885926" w:rsidRPr="00757504" w:rsidRDefault="00885926" w:rsidP="00885926">
                      <w:pPr>
                        <w:numPr>
                          <w:ilvl w:val="0"/>
                          <w:numId w:val="26"/>
                        </w:num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r w:rsidRPr="005006FF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(g) Compliance with the Transmission Losses Principle</w:t>
                      </w:r>
                    </w:p>
                    <w:p w14:paraId="0D95179D" w14:textId="77777777" w:rsidR="00885926" w:rsidRDefault="00885926" w:rsidP="00885926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9D9DAE8" w14:textId="77777777" w:rsidR="00885926" w:rsidRDefault="00885926" w:rsidP="003F1BCB">
      <w:pPr>
        <w:pStyle w:val="BodyText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D5ECE96" wp14:editId="79281E7D">
                <wp:extent cx="6544310" cy="2338070"/>
                <wp:effectExtent l="0" t="0" r="27940" b="24130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310" cy="2338070"/>
                        </a:xfrm>
                        <a:prstGeom prst="roundRect">
                          <a:avLst>
                            <a:gd name="adj" fmla="val 1548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7F7CF" w14:textId="77777777" w:rsidR="00885926" w:rsidRPr="00757504" w:rsidRDefault="00885926" w:rsidP="00885926">
                            <w:p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0090AB" w:themeColor="text2"/>
                                <w:sz w:val="16"/>
                                <w:szCs w:val="16"/>
                              </w:rPr>
                            </w:pPr>
                            <w:r w:rsidRPr="00757504">
                              <w:rPr>
                                <w:rFonts w:asciiTheme="minorHAnsi" w:hAnsiTheme="minorHAnsi" w:cstheme="minorHAnsi"/>
                                <w:b/>
                                <w:color w:val="0090AB" w:themeColor="text2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90AB" w:themeColor="text2"/>
                                <w:sz w:val="16"/>
                                <w:szCs w:val="16"/>
                              </w:rPr>
                              <w:t>Self-Governance Criteria</w:t>
                            </w:r>
                            <w:r w:rsidRPr="00757504">
                              <w:rPr>
                                <w:rFonts w:asciiTheme="minorHAnsi" w:hAnsiTheme="minorHAnsi" w:cstheme="minorHAnsi"/>
                                <w:b/>
                                <w:color w:val="0090AB" w:themeColor="text2"/>
                                <w:sz w:val="16"/>
                                <w:szCs w:val="16"/>
                              </w:rPr>
                              <w:t xml:space="preserve"> are:</w:t>
                            </w:r>
                          </w:p>
                          <w:p w14:paraId="129AA7AE" w14:textId="77777777" w:rsidR="00885926" w:rsidRPr="005A693B" w:rsidRDefault="00885926" w:rsidP="00885926">
                            <w:p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5A693B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A proposal that, if implemented:</w:t>
                            </w:r>
                          </w:p>
                          <w:p w14:paraId="521F6BC4" w14:textId="77777777" w:rsidR="00885926" w:rsidRPr="005A693B" w:rsidRDefault="00885926" w:rsidP="00885926">
                            <w:pPr>
                              <w:numPr>
                                <w:ilvl w:val="0"/>
                                <w:numId w:val="27"/>
                              </w:num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5A693B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is unlikely to have a material effect on:</w:t>
                            </w:r>
                          </w:p>
                          <w:p w14:paraId="1A7628D4" w14:textId="77777777" w:rsidR="00885926" w:rsidRPr="005A693B" w:rsidRDefault="00885926" w:rsidP="00885926">
                            <w:pPr>
                              <w:numPr>
                                <w:ilvl w:val="1"/>
                                <w:numId w:val="27"/>
                              </w:num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5A693B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existing or future electricity consumers; and</w:t>
                            </w:r>
                          </w:p>
                          <w:p w14:paraId="420912B3" w14:textId="77777777" w:rsidR="00885926" w:rsidRPr="005A693B" w:rsidRDefault="00885926" w:rsidP="00885926">
                            <w:pPr>
                              <w:numPr>
                                <w:ilvl w:val="1"/>
                                <w:numId w:val="27"/>
                              </w:num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5A693B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competition in the generation, distribution, or supply of electricity or any commercial activities connected with the generation, distribution, or supply of electricity; and</w:t>
                            </w:r>
                          </w:p>
                          <w:p w14:paraId="711F3404" w14:textId="77777777" w:rsidR="00885926" w:rsidRPr="005A693B" w:rsidRDefault="00885926" w:rsidP="00885926">
                            <w:pPr>
                              <w:numPr>
                                <w:ilvl w:val="1"/>
                                <w:numId w:val="27"/>
                              </w:num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5A693B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the operation of the national electricity transmission system; and</w:t>
                            </w:r>
                          </w:p>
                          <w:p w14:paraId="551B793C" w14:textId="77777777" w:rsidR="00885926" w:rsidRPr="005A693B" w:rsidRDefault="00885926" w:rsidP="00885926">
                            <w:pPr>
                              <w:numPr>
                                <w:ilvl w:val="1"/>
                                <w:numId w:val="27"/>
                              </w:num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5A693B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matters relating to sustainable development, safety or security of supply, or the management of market or network emergencies; and</w:t>
                            </w:r>
                          </w:p>
                          <w:p w14:paraId="1A06CF56" w14:textId="77777777" w:rsidR="00885926" w:rsidRPr="005A693B" w:rsidRDefault="00885926" w:rsidP="00885926">
                            <w:pPr>
                              <w:numPr>
                                <w:ilvl w:val="1"/>
                                <w:numId w:val="27"/>
                              </w:num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r w:rsidRPr="005A693B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the Code’s governance procedures or modification procedures, and</w:t>
                            </w:r>
                          </w:p>
                          <w:p w14:paraId="124CD63C" w14:textId="77777777" w:rsidR="00885926" w:rsidRPr="005A693B" w:rsidRDefault="00885926" w:rsidP="00885926">
                            <w:pPr>
                              <w:numPr>
                                <w:ilvl w:val="0"/>
                                <w:numId w:val="27"/>
                              </w:num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A693B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>is</w:t>
                            </w:r>
                            <w:proofErr w:type="gramEnd"/>
                            <w:r w:rsidRPr="005A693B">
                              <w:rPr>
                                <w:rFonts w:asciiTheme="minorHAnsi" w:hAnsiTheme="minorHAnsi" w:cstheme="minorHAnsi"/>
                                <w:color w:val="414042"/>
                                <w:sz w:val="16"/>
                                <w:szCs w:val="16"/>
                              </w:rPr>
                              <w:t xml:space="preserve"> unlikely to discriminate between different classes of Parties.</w:t>
                            </w:r>
                          </w:p>
                          <w:p w14:paraId="28C373EB" w14:textId="77777777" w:rsidR="00885926" w:rsidRDefault="00885926" w:rsidP="00885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D5ECE96" id="Rounded Rectangle 5" o:spid="_x0000_s1027" style="width:515.3pt;height:18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1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1QzQIAADcGAAAOAAAAZHJzL2Uyb0RvYy54bWysVN9P2zAQfp+0/8Hy+0hbUmBVU1SBmCYx&#10;QMDEs+vYTSbb59lum+6v5+ykaRmwSdP6kPp+fXf+fHfT80YrshbO12AKOjwaUCIMh7I2y4J+f7z6&#10;dEaJD8yUTIERBd0KT89nHz9MN3YiRlCBKoUjCGL8ZGMLWoVgJ1nmeSU080dghUGjBKdZQNEts9Kx&#10;DaJrlY0Gg5NsA660DrjwHrWXrZHOEr6UgodbKb0IRBUUawvp69J3Eb/ZbMomS8dsVfOuDPYPVWhW&#10;G0zaQ12ywMjK1a+gdM0deJDhiIPOQMqai3QHvM1w8NttHipmRboLkuNtT5P/f7D8Zn3nSF0WdEyJ&#10;YRqf6B5WphQluUfymFkqQcaRpo31E/R+sHeukzwe450b6XT8x9uQJlG77akVTSAclSfjPD8e4gtw&#10;tI2Oj88Gp4n8bB9unQ9fBGgSDwV1sYxYQ+KVra99SASXXZms/EGJ1Aqfa80UGY7zsx1i54zYO8wY&#10;6UHV5VWtVBJig4kL5QgGF5RxLkwYplRqpb9B2erzAf7aJkE1tlKrPtmpMUVq1Yg0m0bpMIkyf8sb&#10;mlFEfxmIUozMIuMtx+kUtkpEPGXuhcQnQ1ZHqeC+gtd38RUrRasev1tzAozIEsnpsVsy3sFua+78&#10;Y6hIs9YHD/5UWBvcR6TMYEIfrGsD7i0AhS/UZW79dyS11ESWQrNoUjsnz6hZQLnFFnfQzr63/KrG&#10;BrtmPtwxh92DTYkLLNziRyrYFBS6EyUVuF9v6aM/ziBaKdng8iio/7liTlCivhqczs/DPI/bJgn5&#10;+HSEgju0LA4tZqUvAJtwiKvS8nSM/kHtjtKBfsI9N49Z0cQMx9wF5cHthIvQLjXclFzM58kNN4xl&#10;4do8WB7BI89xHh6bJ+ZsN2UBB/QGdouGTdLotBzvfWOkgfkqgKxDNO557QTcTnh6sf4O5eS13/ez&#10;ZwAAAP//AwBQSwMEFAAGAAgAAAAhAAkc/67eAAAABgEAAA8AAABkcnMvZG93bnJldi54bWxMj0FL&#10;w0AQhe+C/2EZwZvdtaUhxGyKKB4UPDRV0Ns0O02i2dmY3aTx37v1opeBx3u8902+mW0nJhp861jD&#10;9UKBIK6cabnW8LJ7uEpB+IBssHNMGr7Jw6Y4P8sxM+7IW5rKUItYwj5DDU0IfSalrxqy6BeuJ47e&#10;wQ0WQ5RDLc2Ax1huO7lUKpEWW44LDfZ011D1WY5Ww3Yc1e7jaW3Tqnydng/366/Ht3etLy/m2xsQ&#10;gebwF4YTfkSHIjLt3cjGi05DfCT83pOnVioBsdewStIlyCKX//GLHwAAAP//AwBQSwECLQAUAAYA&#10;CAAAACEAtoM4kv4AAADhAQAAEwAAAAAAAAAAAAAAAAAAAAAAW0NvbnRlbnRfVHlwZXNdLnhtbFBL&#10;AQItABQABgAIAAAAIQA4/SH/1gAAAJQBAAALAAAAAAAAAAAAAAAAAC8BAABfcmVscy8ucmVsc1BL&#10;AQItABQABgAIAAAAIQAS0H1QzQIAADcGAAAOAAAAAAAAAAAAAAAAAC4CAABkcnMvZTJvRG9jLnht&#10;bFBLAQItABQABgAIAAAAIQAJHP+u3gAAAAYBAAAPAAAAAAAAAAAAAAAAACcFAABkcnMvZG93bnJl&#10;di54bWxQSwUGAAAAAAQABADzAAAAMgYAAAAA&#10;" fillcolor="#c1e8e6 [1300]" strokecolor="#0090ab [3215]" strokeweight="2pt">
                <v:textbox>
                  <w:txbxContent>
                    <w:p w14:paraId="3F67F7CF" w14:textId="77777777" w:rsidR="00885926" w:rsidRPr="00757504" w:rsidRDefault="00885926" w:rsidP="00885926">
                      <w:pPr>
                        <w:spacing w:after="120" w:line="240" w:lineRule="auto"/>
                        <w:rPr>
                          <w:rFonts w:asciiTheme="minorHAnsi" w:hAnsiTheme="minorHAnsi" w:cstheme="minorHAnsi"/>
                          <w:b/>
                          <w:color w:val="0090AB" w:themeColor="text2"/>
                          <w:sz w:val="16"/>
                          <w:szCs w:val="16"/>
                        </w:rPr>
                      </w:pPr>
                      <w:r w:rsidRPr="00757504">
                        <w:rPr>
                          <w:rFonts w:asciiTheme="minorHAnsi" w:hAnsiTheme="minorHAnsi" w:cstheme="minorHAnsi"/>
                          <w:b/>
                          <w:color w:val="0090AB" w:themeColor="text2"/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90AB" w:themeColor="text2"/>
                          <w:sz w:val="16"/>
                          <w:szCs w:val="16"/>
                        </w:rPr>
                        <w:t>Self-Governance Criteria</w:t>
                      </w:r>
                      <w:r w:rsidRPr="00757504">
                        <w:rPr>
                          <w:rFonts w:asciiTheme="minorHAnsi" w:hAnsiTheme="minorHAnsi" w:cstheme="minorHAnsi"/>
                          <w:b/>
                          <w:color w:val="0090AB" w:themeColor="text2"/>
                          <w:sz w:val="16"/>
                          <w:szCs w:val="16"/>
                        </w:rPr>
                        <w:t xml:space="preserve"> are:</w:t>
                      </w:r>
                    </w:p>
                    <w:p w14:paraId="129AA7AE" w14:textId="77777777" w:rsidR="00885926" w:rsidRPr="005A693B" w:rsidRDefault="00885926" w:rsidP="00885926">
                      <w:p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r w:rsidRPr="005A693B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A proposal that, if implemented:</w:t>
                      </w:r>
                    </w:p>
                    <w:p w14:paraId="521F6BC4" w14:textId="77777777" w:rsidR="00885926" w:rsidRPr="005A693B" w:rsidRDefault="00885926" w:rsidP="00885926">
                      <w:pPr>
                        <w:numPr>
                          <w:ilvl w:val="0"/>
                          <w:numId w:val="27"/>
                        </w:num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r w:rsidRPr="005A693B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is unlikely to have a material effect on:</w:t>
                      </w:r>
                    </w:p>
                    <w:p w14:paraId="1A7628D4" w14:textId="77777777" w:rsidR="00885926" w:rsidRPr="005A693B" w:rsidRDefault="00885926" w:rsidP="00885926">
                      <w:pPr>
                        <w:numPr>
                          <w:ilvl w:val="1"/>
                          <w:numId w:val="27"/>
                        </w:num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r w:rsidRPr="005A693B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existing or future electricity consumers; and</w:t>
                      </w:r>
                    </w:p>
                    <w:p w14:paraId="420912B3" w14:textId="77777777" w:rsidR="00885926" w:rsidRPr="005A693B" w:rsidRDefault="00885926" w:rsidP="00885926">
                      <w:pPr>
                        <w:numPr>
                          <w:ilvl w:val="1"/>
                          <w:numId w:val="27"/>
                        </w:num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r w:rsidRPr="005A693B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competition in the generation, distribution, or supply of electricity or any commercial activities connected with the generation, distribution, or supply of electricity; and</w:t>
                      </w:r>
                    </w:p>
                    <w:p w14:paraId="711F3404" w14:textId="77777777" w:rsidR="00885926" w:rsidRPr="005A693B" w:rsidRDefault="00885926" w:rsidP="00885926">
                      <w:pPr>
                        <w:numPr>
                          <w:ilvl w:val="1"/>
                          <w:numId w:val="27"/>
                        </w:num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r w:rsidRPr="005A693B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the operation of the national electricity transmission system; and</w:t>
                      </w:r>
                    </w:p>
                    <w:p w14:paraId="551B793C" w14:textId="77777777" w:rsidR="00885926" w:rsidRPr="005A693B" w:rsidRDefault="00885926" w:rsidP="00885926">
                      <w:pPr>
                        <w:numPr>
                          <w:ilvl w:val="1"/>
                          <w:numId w:val="27"/>
                        </w:num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r w:rsidRPr="005A693B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matters relating to sustainable development, safety or security of supply, or the management of market or network emergencies; and</w:t>
                      </w:r>
                    </w:p>
                    <w:p w14:paraId="1A06CF56" w14:textId="77777777" w:rsidR="00885926" w:rsidRPr="005A693B" w:rsidRDefault="00885926" w:rsidP="00885926">
                      <w:pPr>
                        <w:numPr>
                          <w:ilvl w:val="1"/>
                          <w:numId w:val="27"/>
                        </w:num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r w:rsidRPr="005A693B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the Code’s governance procedures or modification procedures, and</w:t>
                      </w:r>
                    </w:p>
                    <w:p w14:paraId="124CD63C" w14:textId="77777777" w:rsidR="00885926" w:rsidRPr="005A693B" w:rsidRDefault="00885926" w:rsidP="00885926">
                      <w:pPr>
                        <w:numPr>
                          <w:ilvl w:val="0"/>
                          <w:numId w:val="27"/>
                        </w:numPr>
                        <w:spacing w:after="120" w:line="240" w:lineRule="auto"/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</w:pPr>
                      <w:proofErr w:type="gramStart"/>
                      <w:r w:rsidRPr="005A693B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>is</w:t>
                      </w:r>
                      <w:proofErr w:type="gramEnd"/>
                      <w:r w:rsidRPr="005A693B">
                        <w:rPr>
                          <w:rFonts w:asciiTheme="minorHAnsi" w:hAnsiTheme="minorHAnsi" w:cstheme="minorHAnsi"/>
                          <w:color w:val="414042"/>
                          <w:sz w:val="16"/>
                          <w:szCs w:val="16"/>
                        </w:rPr>
                        <w:t xml:space="preserve"> unlikely to discriminate between different classes of Parties.</w:t>
                      </w:r>
                    </w:p>
                    <w:p w14:paraId="28C373EB" w14:textId="77777777" w:rsidR="00885926" w:rsidRDefault="00885926" w:rsidP="00885926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885926" w:rsidSect="00E815CF">
      <w:headerReference w:type="default" r:id="rId10"/>
      <w:footerReference w:type="default" r:id="rId11"/>
      <w:pgSz w:w="11906" w:h="16838" w:code="9"/>
      <w:pgMar w:top="1162" w:right="794" w:bottom="284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93445" w14:textId="77777777" w:rsidR="004C6F86" w:rsidRDefault="004C6F86" w:rsidP="00D00160">
      <w:pPr>
        <w:spacing w:after="0"/>
      </w:pPr>
      <w:r>
        <w:separator/>
      </w:r>
    </w:p>
    <w:p w14:paraId="7EF7088A" w14:textId="77777777" w:rsidR="004C6F86" w:rsidRDefault="004C6F86"/>
    <w:p w14:paraId="660F8F4A" w14:textId="77777777" w:rsidR="004C6F86" w:rsidRDefault="004C6F86"/>
  </w:endnote>
  <w:endnote w:type="continuationSeparator" w:id="0">
    <w:p w14:paraId="5461128B" w14:textId="77777777" w:rsidR="004C6F86" w:rsidRDefault="004C6F86" w:rsidP="00D00160">
      <w:pPr>
        <w:spacing w:after="0"/>
      </w:pPr>
      <w:r>
        <w:continuationSeparator/>
      </w:r>
    </w:p>
    <w:p w14:paraId="2B11521D" w14:textId="77777777" w:rsidR="004C6F86" w:rsidRDefault="004C6F86"/>
    <w:p w14:paraId="5287E06D" w14:textId="77777777" w:rsidR="004C6F86" w:rsidRDefault="004C6F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4602C7" w14:paraId="30925493" w14:textId="77777777" w:rsidTr="00FD6587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14:paraId="649AB8EC" w14:textId="77777777" w:rsidR="004602C7" w:rsidRDefault="004602C7" w:rsidP="00FD6587">
          <w:pPr>
            <w:pStyle w:val="1pt"/>
          </w:pPr>
        </w:p>
      </w:tc>
      <w:tc>
        <w:tcPr>
          <w:tcW w:w="284" w:type="dxa"/>
        </w:tcPr>
        <w:p w14:paraId="1EB5271A" w14:textId="77777777" w:rsidR="004602C7" w:rsidRDefault="004602C7" w:rsidP="00FD6587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14:paraId="26A9E378" w14:textId="77777777" w:rsidR="004602C7" w:rsidRDefault="004602C7" w:rsidP="00FD6587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14:paraId="5E882FF5" w14:textId="77777777" w:rsidR="004602C7" w:rsidRDefault="004602C7" w:rsidP="00FD6587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14:paraId="29A4C124" w14:textId="77777777" w:rsidR="004602C7" w:rsidRPr="009845EB" w:rsidRDefault="004602C7" w:rsidP="00FD6587">
          <w:pPr>
            <w:pStyle w:val="1pt"/>
          </w:pPr>
        </w:p>
      </w:tc>
    </w:tr>
    <w:tr w:rsidR="004602C7" w14:paraId="2C394E7F" w14:textId="77777777" w:rsidTr="00563AA3">
      <w:trPr>
        <w:trHeight w:val="357"/>
      </w:trPr>
      <w:tc>
        <w:tcPr>
          <w:tcW w:w="2296" w:type="dxa"/>
        </w:tcPr>
        <w:p w14:paraId="78C364B7" w14:textId="1363F5DB" w:rsidR="004602C7" w:rsidRPr="00BF573B" w:rsidRDefault="0034160A" w:rsidP="00FD6587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374790">
            <w:rPr>
              <w:noProof/>
            </w:rPr>
            <w:t>P375/6 Workgroup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14:paraId="7AFBAE19" w14:textId="77777777" w:rsidR="004602C7" w:rsidRDefault="004602C7" w:rsidP="00FD6587">
          <w:pPr>
            <w:pStyle w:val="Footer"/>
          </w:pPr>
        </w:p>
      </w:tc>
      <w:tc>
        <w:tcPr>
          <w:tcW w:w="5426" w:type="dxa"/>
          <w:gridSpan w:val="2"/>
        </w:tcPr>
        <w:p w14:paraId="2452EB65" w14:textId="0D868F60" w:rsidR="004602C7" w:rsidRDefault="00147C1D" w:rsidP="00FD6587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2"  \* MERGEFORMAT </w:instrText>
          </w:r>
          <w:r>
            <w:rPr>
              <w:noProof/>
            </w:rPr>
            <w:fldChar w:fldCharType="separate"/>
          </w:r>
          <w:r w:rsidR="00374790">
            <w:rPr>
              <w:noProof/>
            </w:rPr>
            <w:t>11 March 2019</w: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14:paraId="1C1D5457" w14:textId="77777777" w:rsidR="004602C7" w:rsidRDefault="004602C7" w:rsidP="00FD6587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6945278C" wp14:editId="1D0B162E">
                <wp:extent cx="1461960" cy="3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602C7" w14:paraId="1DB6CEF2" w14:textId="77777777" w:rsidTr="00FD6587">
      <w:trPr>
        <w:trHeight w:val="295"/>
      </w:trPr>
      <w:tc>
        <w:tcPr>
          <w:tcW w:w="2296" w:type="dxa"/>
        </w:tcPr>
        <w:p w14:paraId="2D851D27" w14:textId="23A609D4" w:rsidR="004602C7" w:rsidRPr="004873F8" w:rsidRDefault="004602C7" w:rsidP="00FD6587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7479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8A5C5C">
            <w:rPr>
              <w:noProof/>
            </w:rPr>
            <w:fldChar w:fldCharType="begin"/>
          </w:r>
          <w:r w:rsidR="008A5C5C">
            <w:rPr>
              <w:noProof/>
            </w:rPr>
            <w:instrText xml:space="preserve"> NUMPAGES  \* Arabic  \* MERGEFORMAT </w:instrText>
          </w:r>
          <w:r w:rsidR="008A5C5C">
            <w:rPr>
              <w:noProof/>
            </w:rPr>
            <w:fldChar w:fldCharType="separate"/>
          </w:r>
          <w:r w:rsidR="00374790">
            <w:rPr>
              <w:noProof/>
            </w:rPr>
            <w:t>2</w:t>
          </w:r>
          <w:r w:rsidR="008A5C5C">
            <w:rPr>
              <w:noProof/>
            </w:rPr>
            <w:fldChar w:fldCharType="end"/>
          </w:r>
        </w:p>
      </w:tc>
      <w:tc>
        <w:tcPr>
          <w:tcW w:w="284" w:type="dxa"/>
        </w:tcPr>
        <w:p w14:paraId="66BC31CA" w14:textId="77777777" w:rsidR="004602C7" w:rsidRDefault="004602C7" w:rsidP="00FD6587">
          <w:pPr>
            <w:pStyle w:val="Footer"/>
          </w:pPr>
        </w:p>
      </w:tc>
      <w:tc>
        <w:tcPr>
          <w:tcW w:w="2714" w:type="dxa"/>
        </w:tcPr>
        <w:p w14:paraId="5CCEFD4E" w14:textId="5E21D08C" w:rsidR="004602C7" w:rsidRDefault="00147C1D" w:rsidP="00FD6587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Date"  \* MERGEFORMAT </w:instrText>
          </w:r>
          <w:r>
            <w:rPr>
              <w:noProof/>
            </w:rPr>
            <w:fldChar w:fldCharType="separate"/>
          </w:r>
          <w:r w:rsidR="00374790">
            <w:rPr>
              <w:noProof/>
            </w:rPr>
            <w:t>V1.0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14:paraId="0BD87AE5" w14:textId="3FE48DBA" w:rsidR="004602C7" w:rsidRDefault="004602C7" w:rsidP="00FD6587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B033C7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</w:tcPr>
        <w:p w14:paraId="0AEF69B4" w14:textId="77777777" w:rsidR="004602C7" w:rsidRDefault="004602C7" w:rsidP="00FD6587">
          <w:pPr>
            <w:pStyle w:val="Footer"/>
          </w:pPr>
        </w:p>
      </w:tc>
    </w:tr>
  </w:tbl>
  <w:p w14:paraId="092DE85E" w14:textId="77777777" w:rsidR="00E53D37" w:rsidRPr="000C4DC9" w:rsidRDefault="00E53D37" w:rsidP="00FA790F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40ABA" w14:textId="77777777" w:rsidR="004C6F86" w:rsidRDefault="004C6F86" w:rsidP="00D00160">
      <w:pPr>
        <w:spacing w:after="0"/>
      </w:pPr>
      <w:r>
        <w:separator/>
      </w:r>
    </w:p>
    <w:p w14:paraId="3FCC60A8" w14:textId="77777777" w:rsidR="004C6F86" w:rsidRDefault="004C6F86"/>
    <w:p w14:paraId="1EA4DF3B" w14:textId="77777777" w:rsidR="004C6F86" w:rsidRDefault="004C6F86"/>
  </w:footnote>
  <w:footnote w:type="continuationSeparator" w:id="0">
    <w:p w14:paraId="4F13441E" w14:textId="77777777" w:rsidR="004C6F86" w:rsidRDefault="004C6F86" w:rsidP="00D00160">
      <w:pPr>
        <w:spacing w:after="0"/>
      </w:pPr>
      <w:r>
        <w:continuationSeparator/>
      </w:r>
    </w:p>
    <w:p w14:paraId="31290146" w14:textId="77777777" w:rsidR="004C6F86" w:rsidRDefault="004C6F86"/>
    <w:p w14:paraId="0D22B41F" w14:textId="77777777" w:rsidR="004C6F86" w:rsidRDefault="004C6F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44B09" w14:textId="77777777" w:rsidR="005A3992" w:rsidRDefault="005A3992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5A3992" w:rsidRPr="009D47D6" w14:paraId="4B8A2C70" w14:textId="77777777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14:paraId="64EF4DD7" w14:textId="77777777" w:rsidR="005A3992" w:rsidRDefault="005A3992" w:rsidP="005A3992">
          <w:pPr>
            <w:pStyle w:val="BodyText"/>
          </w:pPr>
        </w:p>
      </w:tc>
    </w:tr>
    <w:tr w:rsidR="00E53D37" w:rsidRPr="009D47D6" w14:paraId="00CCB403" w14:textId="77777777" w:rsidTr="004B46BC">
      <w:trPr>
        <w:cantSplit/>
        <w:trHeight w:val="550"/>
      </w:trPr>
      <w:tc>
        <w:tcPr>
          <w:tcW w:w="10318" w:type="dxa"/>
          <w:tcBorders>
            <w:top w:val="nil"/>
          </w:tcBorders>
        </w:tcPr>
        <w:p w14:paraId="0ED79DC8" w14:textId="1E00A0EF" w:rsidR="00E53D37" w:rsidRPr="009D47D6" w:rsidRDefault="00885926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374790">
            <w:rPr>
              <w:noProof/>
            </w:rPr>
            <w:t>Agenda</w:t>
          </w:r>
          <w:r>
            <w:rPr>
              <w:noProof/>
            </w:rPr>
            <w:fldChar w:fldCharType="end"/>
          </w:r>
        </w:p>
      </w:tc>
    </w:tr>
    <w:tr w:rsidR="007B1DAF" w:rsidRPr="009D47D6" w14:paraId="7086AA35" w14:textId="77777777" w:rsidTr="005A3992">
      <w:trPr>
        <w:cantSplit/>
        <w:trHeight w:hRule="exact" w:val="369"/>
      </w:trPr>
      <w:tc>
        <w:tcPr>
          <w:tcW w:w="10318" w:type="dxa"/>
        </w:tcPr>
        <w:p w14:paraId="48228CF7" w14:textId="77777777" w:rsidR="007B1DAF" w:rsidRPr="009D47D6" w:rsidRDefault="007B1DAF" w:rsidP="007B1DAF">
          <w:pPr>
            <w:pStyle w:val="BodyText"/>
          </w:pPr>
        </w:p>
      </w:tc>
    </w:tr>
  </w:tbl>
  <w:p w14:paraId="793CADAF" w14:textId="77777777" w:rsidR="007B1DAF" w:rsidRPr="000C4DC9" w:rsidRDefault="007B1DAF" w:rsidP="007B1DAF">
    <w:pPr>
      <w:pStyle w:val="1pt"/>
    </w:pPr>
  </w:p>
  <w:p w14:paraId="27E00B49" w14:textId="77777777" w:rsidR="00E53D37" w:rsidRDefault="00E53D37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CE0"/>
    <w:multiLevelType w:val="multilevel"/>
    <w:tmpl w:val="A7F03D64"/>
    <w:numStyleLink w:val="ListAgenda"/>
  </w:abstractNum>
  <w:abstractNum w:abstractNumId="1" w15:restartNumberingAfterBreak="0">
    <w:nsid w:val="07B967B4"/>
    <w:multiLevelType w:val="hybridMultilevel"/>
    <w:tmpl w:val="3DA40D78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DE12E76"/>
    <w:multiLevelType w:val="hybridMultilevel"/>
    <w:tmpl w:val="505C5208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2F87910"/>
    <w:multiLevelType w:val="hybridMultilevel"/>
    <w:tmpl w:val="6F023FE0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12F907F6"/>
    <w:multiLevelType w:val="multilevel"/>
    <w:tmpl w:val="A7F03D64"/>
    <w:styleLink w:val="ListAgenda"/>
    <w:lvl w:ilvl="0">
      <w:start w:val="1"/>
      <w:numFmt w:val="decimal"/>
      <w:pStyle w:val="Agendalist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righ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righ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right"/>
      <w:pPr>
        <w:ind w:left="6520" w:hanging="511"/>
      </w:pPr>
      <w:rPr>
        <w:rFonts w:hint="default"/>
      </w:rPr>
    </w:lvl>
  </w:abstractNum>
  <w:abstractNum w:abstractNumId="5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6" w15:restartNumberingAfterBreak="0">
    <w:nsid w:val="1CA76037"/>
    <w:multiLevelType w:val="hybridMultilevel"/>
    <w:tmpl w:val="CB622C2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8" w15:restartNumberingAfterBreak="0">
    <w:nsid w:val="2AA24A18"/>
    <w:multiLevelType w:val="hybridMultilevel"/>
    <w:tmpl w:val="52982700"/>
    <w:lvl w:ilvl="0" w:tplc="8B2E055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90AB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F7816"/>
    <w:multiLevelType w:val="multilevel"/>
    <w:tmpl w:val="A28EC53E"/>
    <w:numStyleLink w:val="ListHeadings"/>
  </w:abstractNum>
  <w:abstractNum w:abstractNumId="10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11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2" w15:restartNumberingAfterBreak="0">
    <w:nsid w:val="396C3101"/>
    <w:multiLevelType w:val="multilevel"/>
    <w:tmpl w:val="269C7F9C"/>
    <w:numStyleLink w:val="ListTable"/>
  </w:abstractNum>
  <w:abstractNum w:abstractNumId="13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E225E17"/>
    <w:multiLevelType w:val="multilevel"/>
    <w:tmpl w:val="A28EC53E"/>
    <w:numStyleLink w:val="ListHeadings"/>
  </w:abstractNum>
  <w:abstractNum w:abstractNumId="15" w15:restartNumberingAfterBreak="0">
    <w:nsid w:val="42B9084C"/>
    <w:multiLevelType w:val="hybridMultilevel"/>
    <w:tmpl w:val="5210B192"/>
    <w:lvl w:ilvl="0" w:tplc="8B2E055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90AB" w:themeColor="text2"/>
      </w:rPr>
    </w:lvl>
    <w:lvl w:ilvl="1" w:tplc="BAC6D806">
      <w:start w:val="1"/>
      <w:numFmt w:val="lowerRoman"/>
      <w:lvlText w:val="(%2)"/>
      <w:lvlJc w:val="right"/>
      <w:pPr>
        <w:ind w:left="1440" w:hanging="360"/>
      </w:pPr>
      <w:rPr>
        <w:rFonts w:hint="default"/>
        <w:color w:val="0090AB" w:themeColor="text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A0A54"/>
    <w:multiLevelType w:val="multilevel"/>
    <w:tmpl w:val="269C7F9C"/>
    <w:numStyleLink w:val="ListTable"/>
  </w:abstractNum>
  <w:abstractNum w:abstractNumId="17" w15:restartNumberingAfterBreak="0">
    <w:nsid w:val="62621B73"/>
    <w:multiLevelType w:val="hybridMultilevel"/>
    <w:tmpl w:val="5DC003A4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 w15:restartNumberingAfterBreak="0">
    <w:nsid w:val="69C74539"/>
    <w:multiLevelType w:val="hybridMultilevel"/>
    <w:tmpl w:val="92DA4F6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1F213D8"/>
    <w:multiLevelType w:val="hybridMultilevel"/>
    <w:tmpl w:val="352E9064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72B00AC0"/>
    <w:multiLevelType w:val="hybridMultilevel"/>
    <w:tmpl w:val="31FA9062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 w15:restartNumberingAfterBreak="0">
    <w:nsid w:val="73D63850"/>
    <w:multiLevelType w:val="multilevel"/>
    <w:tmpl w:val="269C7F9C"/>
    <w:numStyleLink w:val="ListTable"/>
  </w:abstractNum>
  <w:abstractNum w:abstractNumId="22" w15:restartNumberingAfterBreak="0">
    <w:nsid w:val="7D004CA6"/>
    <w:multiLevelType w:val="multilevel"/>
    <w:tmpl w:val="2E4EC6B8"/>
    <w:numStyleLink w:val="ListBullets"/>
  </w:abstractNum>
  <w:abstractNum w:abstractNumId="23" w15:restartNumberingAfterBreak="0">
    <w:nsid w:val="7DE21902"/>
    <w:multiLevelType w:val="multilevel"/>
    <w:tmpl w:val="6DDC093C"/>
    <w:numStyleLink w:val="ListNumbers"/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3"/>
  </w:num>
  <w:num w:numId="7">
    <w:abstractNumId w:val="22"/>
  </w:num>
  <w:num w:numId="8">
    <w:abstractNumId w:val="23"/>
  </w:num>
  <w:num w:numId="9">
    <w:abstractNumId w:val="9"/>
  </w:num>
  <w:num w:numId="10">
    <w:abstractNumId w:val="10"/>
  </w:num>
  <w:num w:numId="11">
    <w:abstractNumId w:val="16"/>
  </w:num>
  <w:num w:numId="12">
    <w:abstractNumId w:val="12"/>
  </w:num>
  <w:num w:numId="13">
    <w:abstractNumId w:val="11"/>
  </w:num>
  <w:num w:numId="14">
    <w:abstractNumId w:val="5"/>
  </w:num>
  <w:num w:numId="15">
    <w:abstractNumId w:val="7"/>
  </w:num>
  <w:num w:numId="16">
    <w:abstractNumId w:val="10"/>
  </w:num>
  <w:num w:numId="17">
    <w:abstractNumId w:val="14"/>
  </w:num>
  <w:num w:numId="18">
    <w:abstractNumId w:val="14"/>
  </w:num>
  <w:num w:numId="19">
    <w:abstractNumId w:val="14"/>
  </w:num>
  <w:num w:numId="20">
    <w:abstractNumId w:val="21"/>
  </w:num>
  <w:num w:numId="21">
    <w:abstractNumId w:val="22"/>
  </w:num>
  <w:num w:numId="22">
    <w:abstractNumId w:val="22"/>
  </w:num>
  <w:num w:numId="23">
    <w:abstractNumId w:val="22"/>
  </w:num>
  <w:num w:numId="24">
    <w:abstractNumId w:val="4"/>
  </w:num>
  <w:num w:numId="25">
    <w:abstractNumId w:val="0"/>
    <w:lvlOverride w:ilvl="0">
      <w:lvl w:ilvl="0">
        <w:start w:val="1"/>
        <w:numFmt w:val="decimal"/>
        <w:pStyle w:val="Agendalist"/>
        <w:lvlText w:val="%1."/>
        <w:lvlJc w:val="left"/>
        <w:pPr>
          <w:ind w:left="624" w:hanging="511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1361" w:hanging="511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right"/>
        <w:pPr>
          <w:ind w:left="2098" w:hanging="51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2835" w:hanging="51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572" w:hanging="51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309" w:hanging="51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046" w:hanging="51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783" w:hanging="51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520" w:hanging="511"/>
        </w:pPr>
        <w:rPr>
          <w:rFonts w:hint="default"/>
        </w:rPr>
      </w:lvl>
    </w:lvlOverride>
  </w:num>
  <w:num w:numId="26">
    <w:abstractNumId w:val="8"/>
  </w:num>
  <w:num w:numId="27">
    <w:abstractNumId w:val="15"/>
  </w:num>
  <w:num w:numId="28">
    <w:abstractNumId w:val="18"/>
  </w:num>
  <w:num w:numId="29">
    <w:abstractNumId w:val="2"/>
  </w:num>
  <w:num w:numId="30">
    <w:abstractNumId w:val="1"/>
  </w:num>
  <w:num w:numId="31">
    <w:abstractNumId w:val="19"/>
  </w:num>
  <w:num w:numId="32">
    <w:abstractNumId w:val="3"/>
  </w:num>
  <w:num w:numId="33">
    <w:abstractNumId w:val="20"/>
  </w:num>
  <w:num w:numId="34">
    <w:abstractNumId w:val="6"/>
  </w:num>
  <w:num w:numId="3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4505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3t7AwtLAwNzI2NrNU0lEKTi0uzszPAykwrAUA4PcVBiwAAAA="/>
  </w:docVars>
  <w:rsids>
    <w:rsidRoot w:val="004C6F86"/>
    <w:rsid w:val="00003DBA"/>
    <w:rsid w:val="00004ECE"/>
    <w:rsid w:val="00006B0F"/>
    <w:rsid w:val="0000782F"/>
    <w:rsid w:val="000128C9"/>
    <w:rsid w:val="0001425B"/>
    <w:rsid w:val="00015631"/>
    <w:rsid w:val="00015705"/>
    <w:rsid w:val="0001665B"/>
    <w:rsid w:val="00022399"/>
    <w:rsid w:val="00024FCF"/>
    <w:rsid w:val="00025108"/>
    <w:rsid w:val="00025A8A"/>
    <w:rsid w:val="00026FC0"/>
    <w:rsid w:val="00032C94"/>
    <w:rsid w:val="00043387"/>
    <w:rsid w:val="00045857"/>
    <w:rsid w:val="00047923"/>
    <w:rsid w:val="00050889"/>
    <w:rsid w:val="00051C54"/>
    <w:rsid w:val="000573F4"/>
    <w:rsid w:val="0006412A"/>
    <w:rsid w:val="0006470B"/>
    <w:rsid w:val="00083A4B"/>
    <w:rsid w:val="000935AD"/>
    <w:rsid w:val="000A32E3"/>
    <w:rsid w:val="000A5C8E"/>
    <w:rsid w:val="000B0BF6"/>
    <w:rsid w:val="000B1281"/>
    <w:rsid w:val="000B64DB"/>
    <w:rsid w:val="000C0795"/>
    <w:rsid w:val="000C4DC9"/>
    <w:rsid w:val="000C4F41"/>
    <w:rsid w:val="000C543E"/>
    <w:rsid w:val="000D4049"/>
    <w:rsid w:val="000D559A"/>
    <w:rsid w:val="000E08CC"/>
    <w:rsid w:val="000E25F9"/>
    <w:rsid w:val="000F1DC0"/>
    <w:rsid w:val="000F670D"/>
    <w:rsid w:val="00105F47"/>
    <w:rsid w:val="001063E6"/>
    <w:rsid w:val="001069B5"/>
    <w:rsid w:val="001120E5"/>
    <w:rsid w:val="00114B30"/>
    <w:rsid w:val="001226F1"/>
    <w:rsid w:val="00123FE3"/>
    <w:rsid w:val="0012434E"/>
    <w:rsid w:val="00124F92"/>
    <w:rsid w:val="00125B2A"/>
    <w:rsid w:val="0012760C"/>
    <w:rsid w:val="00127CD0"/>
    <w:rsid w:val="00130B0E"/>
    <w:rsid w:val="00132E9D"/>
    <w:rsid w:val="001365CE"/>
    <w:rsid w:val="001374E2"/>
    <w:rsid w:val="00147C1D"/>
    <w:rsid w:val="00151EA9"/>
    <w:rsid w:val="00155174"/>
    <w:rsid w:val="0016442A"/>
    <w:rsid w:val="00164C03"/>
    <w:rsid w:val="00184103"/>
    <w:rsid w:val="00186A92"/>
    <w:rsid w:val="00191136"/>
    <w:rsid w:val="0019370E"/>
    <w:rsid w:val="00193B3A"/>
    <w:rsid w:val="001971A4"/>
    <w:rsid w:val="001A3219"/>
    <w:rsid w:val="001A47D9"/>
    <w:rsid w:val="001A4AF9"/>
    <w:rsid w:val="001A5418"/>
    <w:rsid w:val="001B01E6"/>
    <w:rsid w:val="001B6EF0"/>
    <w:rsid w:val="001D013F"/>
    <w:rsid w:val="001D15AD"/>
    <w:rsid w:val="001D222B"/>
    <w:rsid w:val="001D362E"/>
    <w:rsid w:val="001D7A9A"/>
    <w:rsid w:val="001E0DED"/>
    <w:rsid w:val="001E2050"/>
    <w:rsid w:val="001F5FF8"/>
    <w:rsid w:val="00200719"/>
    <w:rsid w:val="0020071F"/>
    <w:rsid w:val="002050E1"/>
    <w:rsid w:val="00224CBF"/>
    <w:rsid w:val="00227464"/>
    <w:rsid w:val="00236E6F"/>
    <w:rsid w:val="00241ED6"/>
    <w:rsid w:val="00243F75"/>
    <w:rsid w:val="002535FA"/>
    <w:rsid w:val="00253B86"/>
    <w:rsid w:val="00254ABB"/>
    <w:rsid w:val="0025704F"/>
    <w:rsid w:val="0026275A"/>
    <w:rsid w:val="002718D8"/>
    <w:rsid w:val="00272B0C"/>
    <w:rsid w:val="002811FE"/>
    <w:rsid w:val="002836E6"/>
    <w:rsid w:val="002850A8"/>
    <w:rsid w:val="00287A11"/>
    <w:rsid w:val="00290EEC"/>
    <w:rsid w:val="00293848"/>
    <w:rsid w:val="002A1873"/>
    <w:rsid w:val="002B2467"/>
    <w:rsid w:val="002B2917"/>
    <w:rsid w:val="002B60FA"/>
    <w:rsid w:val="002B64C3"/>
    <w:rsid w:val="002C1E83"/>
    <w:rsid w:val="002C2A71"/>
    <w:rsid w:val="002C321A"/>
    <w:rsid w:val="002D4ED7"/>
    <w:rsid w:val="002E1537"/>
    <w:rsid w:val="002E4FC5"/>
    <w:rsid w:val="002E52AF"/>
    <w:rsid w:val="002E6AEE"/>
    <w:rsid w:val="002E7A18"/>
    <w:rsid w:val="002F138B"/>
    <w:rsid w:val="002F2F81"/>
    <w:rsid w:val="002F6971"/>
    <w:rsid w:val="00306E69"/>
    <w:rsid w:val="003114C3"/>
    <w:rsid w:val="003231C2"/>
    <w:rsid w:val="00327C66"/>
    <w:rsid w:val="0033292F"/>
    <w:rsid w:val="0034160A"/>
    <w:rsid w:val="00346F59"/>
    <w:rsid w:val="003472C1"/>
    <w:rsid w:val="00350F5E"/>
    <w:rsid w:val="00351A33"/>
    <w:rsid w:val="0035504E"/>
    <w:rsid w:val="003555F0"/>
    <w:rsid w:val="00356E74"/>
    <w:rsid w:val="00360453"/>
    <w:rsid w:val="00367EB6"/>
    <w:rsid w:val="00370AB7"/>
    <w:rsid w:val="00374790"/>
    <w:rsid w:val="00375CC5"/>
    <w:rsid w:val="00380FBC"/>
    <w:rsid w:val="003812E8"/>
    <w:rsid w:val="003831C0"/>
    <w:rsid w:val="00383845"/>
    <w:rsid w:val="00384A04"/>
    <w:rsid w:val="00397A01"/>
    <w:rsid w:val="003A5A5F"/>
    <w:rsid w:val="003A60F6"/>
    <w:rsid w:val="003B566A"/>
    <w:rsid w:val="003C06D0"/>
    <w:rsid w:val="003C12B9"/>
    <w:rsid w:val="003C21A6"/>
    <w:rsid w:val="003C2435"/>
    <w:rsid w:val="003C5769"/>
    <w:rsid w:val="003D20BC"/>
    <w:rsid w:val="003D2F63"/>
    <w:rsid w:val="003E3D26"/>
    <w:rsid w:val="003F1BCB"/>
    <w:rsid w:val="0040030D"/>
    <w:rsid w:val="00401A30"/>
    <w:rsid w:val="004022EE"/>
    <w:rsid w:val="004103DB"/>
    <w:rsid w:val="00412CE1"/>
    <w:rsid w:val="00413AA3"/>
    <w:rsid w:val="00414DE7"/>
    <w:rsid w:val="00416F28"/>
    <w:rsid w:val="004204F4"/>
    <w:rsid w:val="0042476B"/>
    <w:rsid w:val="0043259F"/>
    <w:rsid w:val="0043358D"/>
    <w:rsid w:val="00443226"/>
    <w:rsid w:val="004602C7"/>
    <w:rsid w:val="004626FC"/>
    <w:rsid w:val="00464C7E"/>
    <w:rsid w:val="00474B80"/>
    <w:rsid w:val="00477899"/>
    <w:rsid w:val="0048235F"/>
    <w:rsid w:val="0048274B"/>
    <w:rsid w:val="00483183"/>
    <w:rsid w:val="004844C2"/>
    <w:rsid w:val="004849C8"/>
    <w:rsid w:val="00486E3A"/>
    <w:rsid w:val="004873F8"/>
    <w:rsid w:val="004904CA"/>
    <w:rsid w:val="00493A65"/>
    <w:rsid w:val="0049503B"/>
    <w:rsid w:val="0049627F"/>
    <w:rsid w:val="004A135F"/>
    <w:rsid w:val="004A5FDA"/>
    <w:rsid w:val="004B46BC"/>
    <w:rsid w:val="004B4F5D"/>
    <w:rsid w:val="004B51B6"/>
    <w:rsid w:val="004B7A58"/>
    <w:rsid w:val="004C143F"/>
    <w:rsid w:val="004C6F86"/>
    <w:rsid w:val="004C753B"/>
    <w:rsid w:val="004D2A84"/>
    <w:rsid w:val="004D4201"/>
    <w:rsid w:val="004D4C4F"/>
    <w:rsid w:val="004D7A9D"/>
    <w:rsid w:val="004E3651"/>
    <w:rsid w:val="00500CE9"/>
    <w:rsid w:val="005013E0"/>
    <w:rsid w:val="005076A1"/>
    <w:rsid w:val="00510487"/>
    <w:rsid w:val="00511557"/>
    <w:rsid w:val="005127FE"/>
    <w:rsid w:val="00517378"/>
    <w:rsid w:val="00526528"/>
    <w:rsid w:val="00526D98"/>
    <w:rsid w:val="00541E77"/>
    <w:rsid w:val="00545744"/>
    <w:rsid w:val="00551B8D"/>
    <w:rsid w:val="00553D36"/>
    <w:rsid w:val="00555C8C"/>
    <w:rsid w:val="00556B2F"/>
    <w:rsid w:val="005600ED"/>
    <w:rsid w:val="0057310D"/>
    <w:rsid w:val="005745BE"/>
    <w:rsid w:val="00575056"/>
    <w:rsid w:val="00580B4F"/>
    <w:rsid w:val="00583067"/>
    <w:rsid w:val="00593D67"/>
    <w:rsid w:val="00596B83"/>
    <w:rsid w:val="005A3992"/>
    <w:rsid w:val="005A3FBE"/>
    <w:rsid w:val="005A5015"/>
    <w:rsid w:val="005A6421"/>
    <w:rsid w:val="005C63AE"/>
    <w:rsid w:val="005D267A"/>
    <w:rsid w:val="005D6CAB"/>
    <w:rsid w:val="005E1A46"/>
    <w:rsid w:val="005E2F8F"/>
    <w:rsid w:val="005F444B"/>
    <w:rsid w:val="005F4F9F"/>
    <w:rsid w:val="005F6761"/>
    <w:rsid w:val="00603C7D"/>
    <w:rsid w:val="00604929"/>
    <w:rsid w:val="006119C2"/>
    <w:rsid w:val="00617BEE"/>
    <w:rsid w:val="00627B7E"/>
    <w:rsid w:val="00633CF2"/>
    <w:rsid w:val="00643DB1"/>
    <w:rsid w:val="006440F2"/>
    <w:rsid w:val="00645A0F"/>
    <w:rsid w:val="0065412F"/>
    <w:rsid w:val="00660CB1"/>
    <w:rsid w:val="006713C4"/>
    <w:rsid w:val="00671888"/>
    <w:rsid w:val="006807CF"/>
    <w:rsid w:val="00691A19"/>
    <w:rsid w:val="00691A37"/>
    <w:rsid w:val="00693B09"/>
    <w:rsid w:val="0069564B"/>
    <w:rsid w:val="00696C07"/>
    <w:rsid w:val="00697FA1"/>
    <w:rsid w:val="006A3242"/>
    <w:rsid w:val="006B796B"/>
    <w:rsid w:val="006C0DD4"/>
    <w:rsid w:val="006C2C7B"/>
    <w:rsid w:val="006C2D4C"/>
    <w:rsid w:val="006D188B"/>
    <w:rsid w:val="006E1377"/>
    <w:rsid w:val="006F2B4C"/>
    <w:rsid w:val="006F7AC6"/>
    <w:rsid w:val="00700125"/>
    <w:rsid w:val="00701B7D"/>
    <w:rsid w:val="00705107"/>
    <w:rsid w:val="00713AA5"/>
    <w:rsid w:val="00714E30"/>
    <w:rsid w:val="0071691F"/>
    <w:rsid w:val="00717A63"/>
    <w:rsid w:val="0072343F"/>
    <w:rsid w:val="007243B6"/>
    <w:rsid w:val="00724E12"/>
    <w:rsid w:val="0073556A"/>
    <w:rsid w:val="0073692C"/>
    <w:rsid w:val="00740CE6"/>
    <w:rsid w:val="00740D57"/>
    <w:rsid w:val="0074339D"/>
    <w:rsid w:val="00744CDE"/>
    <w:rsid w:val="007455F6"/>
    <w:rsid w:val="00751685"/>
    <w:rsid w:val="0075650A"/>
    <w:rsid w:val="0076388D"/>
    <w:rsid w:val="00764DD5"/>
    <w:rsid w:val="00764ECC"/>
    <w:rsid w:val="0077420B"/>
    <w:rsid w:val="00776107"/>
    <w:rsid w:val="00776261"/>
    <w:rsid w:val="00782CEE"/>
    <w:rsid w:val="007845B9"/>
    <w:rsid w:val="00790C7F"/>
    <w:rsid w:val="00793CE4"/>
    <w:rsid w:val="00794941"/>
    <w:rsid w:val="007A750B"/>
    <w:rsid w:val="007B081C"/>
    <w:rsid w:val="007B1DAF"/>
    <w:rsid w:val="007C16D2"/>
    <w:rsid w:val="007C1B8E"/>
    <w:rsid w:val="007C6BF4"/>
    <w:rsid w:val="007C73F7"/>
    <w:rsid w:val="007D0E52"/>
    <w:rsid w:val="007D30AA"/>
    <w:rsid w:val="007D59DF"/>
    <w:rsid w:val="007E0EFF"/>
    <w:rsid w:val="007F32EE"/>
    <w:rsid w:val="0082403D"/>
    <w:rsid w:val="0082633E"/>
    <w:rsid w:val="00827F34"/>
    <w:rsid w:val="008448D7"/>
    <w:rsid w:val="00864B45"/>
    <w:rsid w:val="0087420B"/>
    <w:rsid w:val="00874A5B"/>
    <w:rsid w:val="00882677"/>
    <w:rsid w:val="00885926"/>
    <w:rsid w:val="00886BFD"/>
    <w:rsid w:val="00887588"/>
    <w:rsid w:val="008902C0"/>
    <w:rsid w:val="0089353A"/>
    <w:rsid w:val="0089428A"/>
    <w:rsid w:val="00895B41"/>
    <w:rsid w:val="008A5C5C"/>
    <w:rsid w:val="008B4235"/>
    <w:rsid w:val="008B638A"/>
    <w:rsid w:val="008B75A8"/>
    <w:rsid w:val="008C340B"/>
    <w:rsid w:val="008C3527"/>
    <w:rsid w:val="008C6D28"/>
    <w:rsid w:val="008C73C7"/>
    <w:rsid w:val="008D59F5"/>
    <w:rsid w:val="008E61DD"/>
    <w:rsid w:val="00901842"/>
    <w:rsid w:val="00931FB4"/>
    <w:rsid w:val="009434CB"/>
    <w:rsid w:val="009434FC"/>
    <w:rsid w:val="00951E4D"/>
    <w:rsid w:val="009566E6"/>
    <w:rsid w:val="0095774A"/>
    <w:rsid w:val="009607E7"/>
    <w:rsid w:val="0096496B"/>
    <w:rsid w:val="009767A7"/>
    <w:rsid w:val="009845EB"/>
    <w:rsid w:val="009933A5"/>
    <w:rsid w:val="009A2B72"/>
    <w:rsid w:val="009A67BB"/>
    <w:rsid w:val="009B0B9A"/>
    <w:rsid w:val="009B2026"/>
    <w:rsid w:val="009B54AE"/>
    <w:rsid w:val="009B55EE"/>
    <w:rsid w:val="009C201C"/>
    <w:rsid w:val="009D47D6"/>
    <w:rsid w:val="009D5810"/>
    <w:rsid w:val="009E60A3"/>
    <w:rsid w:val="009F343D"/>
    <w:rsid w:val="009F5D5B"/>
    <w:rsid w:val="00A02821"/>
    <w:rsid w:val="00A07452"/>
    <w:rsid w:val="00A13444"/>
    <w:rsid w:val="00A174D5"/>
    <w:rsid w:val="00A22973"/>
    <w:rsid w:val="00A23E78"/>
    <w:rsid w:val="00A24BDB"/>
    <w:rsid w:val="00A32F4E"/>
    <w:rsid w:val="00A34C37"/>
    <w:rsid w:val="00A426A7"/>
    <w:rsid w:val="00A42C19"/>
    <w:rsid w:val="00A437F9"/>
    <w:rsid w:val="00A44D3F"/>
    <w:rsid w:val="00A56C34"/>
    <w:rsid w:val="00A611C5"/>
    <w:rsid w:val="00A611F4"/>
    <w:rsid w:val="00A7506B"/>
    <w:rsid w:val="00A750A5"/>
    <w:rsid w:val="00A7787E"/>
    <w:rsid w:val="00A856D3"/>
    <w:rsid w:val="00A85FF7"/>
    <w:rsid w:val="00A87081"/>
    <w:rsid w:val="00A96528"/>
    <w:rsid w:val="00AB167D"/>
    <w:rsid w:val="00AD34E2"/>
    <w:rsid w:val="00AE0441"/>
    <w:rsid w:val="00AE6E00"/>
    <w:rsid w:val="00AF1D0B"/>
    <w:rsid w:val="00B02E85"/>
    <w:rsid w:val="00B033C7"/>
    <w:rsid w:val="00B108A3"/>
    <w:rsid w:val="00B120C5"/>
    <w:rsid w:val="00B14FE6"/>
    <w:rsid w:val="00B26AD0"/>
    <w:rsid w:val="00B3185B"/>
    <w:rsid w:val="00B331F4"/>
    <w:rsid w:val="00B33B99"/>
    <w:rsid w:val="00B35660"/>
    <w:rsid w:val="00B429C6"/>
    <w:rsid w:val="00B439F2"/>
    <w:rsid w:val="00B52464"/>
    <w:rsid w:val="00B55CA0"/>
    <w:rsid w:val="00B55F72"/>
    <w:rsid w:val="00B67341"/>
    <w:rsid w:val="00B71C2A"/>
    <w:rsid w:val="00B77FF5"/>
    <w:rsid w:val="00B81BE7"/>
    <w:rsid w:val="00B93965"/>
    <w:rsid w:val="00B93ACF"/>
    <w:rsid w:val="00B94DBA"/>
    <w:rsid w:val="00B9589B"/>
    <w:rsid w:val="00BA2BA1"/>
    <w:rsid w:val="00BA2E49"/>
    <w:rsid w:val="00BA3308"/>
    <w:rsid w:val="00BA785C"/>
    <w:rsid w:val="00BB4AA3"/>
    <w:rsid w:val="00BD0A71"/>
    <w:rsid w:val="00BD0D82"/>
    <w:rsid w:val="00BD50EA"/>
    <w:rsid w:val="00BE4267"/>
    <w:rsid w:val="00BF14E0"/>
    <w:rsid w:val="00BF2952"/>
    <w:rsid w:val="00BF34AF"/>
    <w:rsid w:val="00BF573B"/>
    <w:rsid w:val="00BF77BF"/>
    <w:rsid w:val="00BF77C5"/>
    <w:rsid w:val="00C01DE5"/>
    <w:rsid w:val="00C0552D"/>
    <w:rsid w:val="00C17D89"/>
    <w:rsid w:val="00C21D13"/>
    <w:rsid w:val="00C24B79"/>
    <w:rsid w:val="00C273C7"/>
    <w:rsid w:val="00C37641"/>
    <w:rsid w:val="00C460D2"/>
    <w:rsid w:val="00C55775"/>
    <w:rsid w:val="00C6351E"/>
    <w:rsid w:val="00C6597E"/>
    <w:rsid w:val="00C7251D"/>
    <w:rsid w:val="00C735BF"/>
    <w:rsid w:val="00C75625"/>
    <w:rsid w:val="00C75A66"/>
    <w:rsid w:val="00C76D37"/>
    <w:rsid w:val="00C82766"/>
    <w:rsid w:val="00C93633"/>
    <w:rsid w:val="00C940BA"/>
    <w:rsid w:val="00C95E62"/>
    <w:rsid w:val="00CA0C03"/>
    <w:rsid w:val="00CB515A"/>
    <w:rsid w:val="00CB7A8B"/>
    <w:rsid w:val="00CC3E06"/>
    <w:rsid w:val="00CD30A5"/>
    <w:rsid w:val="00CD3EF7"/>
    <w:rsid w:val="00CD7728"/>
    <w:rsid w:val="00CF09FF"/>
    <w:rsid w:val="00CF3EF6"/>
    <w:rsid w:val="00CF5112"/>
    <w:rsid w:val="00D00160"/>
    <w:rsid w:val="00D00244"/>
    <w:rsid w:val="00D0366B"/>
    <w:rsid w:val="00D0445E"/>
    <w:rsid w:val="00D11E7F"/>
    <w:rsid w:val="00D1615A"/>
    <w:rsid w:val="00D1638A"/>
    <w:rsid w:val="00D17A9A"/>
    <w:rsid w:val="00D213E4"/>
    <w:rsid w:val="00D21F0E"/>
    <w:rsid w:val="00D24E79"/>
    <w:rsid w:val="00D30752"/>
    <w:rsid w:val="00D3680B"/>
    <w:rsid w:val="00D43CD5"/>
    <w:rsid w:val="00D45918"/>
    <w:rsid w:val="00D55D00"/>
    <w:rsid w:val="00D5644A"/>
    <w:rsid w:val="00D565CB"/>
    <w:rsid w:val="00D65E4C"/>
    <w:rsid w:val="00D94186"/>
    <w:rsid w:val="00DB17C4"/>
    <w:rsid w:val="00DC0022"/>
    <w:rsid w:val="00DC1F44"/>
    <w:rsid w:val="00DC2EFA"/>
    <w:rsid w:val="00DC4705"/>
    <w:rsid w:val="00DD1C68"/>
    <w:rsid w:val="00DD52A5"/>
    <w:rsid w:val="00DD5553"/>
    <w:rsid w:val="00DD585B"/>
    <w:rsid w:val="00DD63DB"/>
    <w:rsid w:val="00DE39AB"/>
    <w:rsid w:val="00DE514C"/>
    <w:rsid w:val="00DE6E04"/>
    <w:rsid w:val="00DF29BC"/>
    <w:rsid w:val="00DF5F62"/>
    <w:rsid w:val="00E05DA7"/>
    <w:rsid w:val="00E11DCD"/>
    <w:rsid w:val="00E12272"/>
    <w:rsid w:val="00E12A1A"/>
    <w:rsid w:val="00E24332"/>
    <w:rsid w:val="00E25D80"/>
    <w:rsid w:val="00E30D25"/>
    <w:rsid w:val="00E32335"/>
    <w:rsid w:val="00E437C6"/>
    <w:rsid w:val="00E53D37"/>
    <w:rsid w:val="00E564AD"/>
    <w:rsid w:val="00E63D63"/>
    <w:rsid w:val="00E66CE7"/>
    <w:rsid w:val="00E677BA"/>
    <w:rsid w:val="00E7331F"/>
    <w:rsid w:val="00E80706"/>
    <w:rsid w:val="00E815CF"/>
    <w:rsid w:val="00E87AB5"/>
    <w:rsid w:val="00EA34E0"/>
    <w:rsid w:val="00EB351A"/>
    <w:rsid w:val="00EB369B"/>
    <w:rsid w:val="00EB511E"/>
    <w:rsid w:val="00EC0669"/>
    <w:rsid w:val="00ED2D03"/>
    <w:rsid w:val="00ED5ACF"/>
    <w:rsid w:val="00ED5B33"/>
    <w:rsid w:val="00EE0A4D"/>
    <w:rsid w:val="00EE1AF2"/>
    <w:rsid w:val="00EE2050"/>
    <w:rsid w:val="00EE7A26"/>
    <w:rsid w:val="00EF0AAC"/>
    <w:rsid w:val="00EF2549"/>
    <w:rsid w:val="00EF6A8A"/>
    <w:rsid w:val="00F11B7F"/>
    <w:rsid w:val="00F1614F"/>
    <w:rsid w:val="00F16C0B"/>
    <w:rsid w:val="00F16F05"/>
    <w:rsid w:val="00F2113E"/>
    <w:rsid w:val="00F22970"/>
    <w:rsid w:val="00F25698"/>
    <w:rsid w:val="00F26D0B"/>
    <w:rsid w:val="00F47B37"/>
    <w:rsid w:val="00F50671"/>
    <w:rsid w:val="00F57A62"/>
    <w:rsid w:val="00F57B58"/>
    <w:rsid w:val="00F6211D"/>
    <w:rsid w:val="00F7272D"/>
    <w:rsid w:val="00F73B18"/>
    <w:rsid w:val="00F764F7"/>
    <w:rsid w:val="00F8313F"/>
    <w:rsid w:val="00F926D6"/>
    <w:rsid w:val="00F96D9D"/>
    <w:rsid w:val="00FA2623"/>
    <w:rsid w:val="00FA790F"/>
    <w:rsid w:val="00FB13C1"/>
    <w:rsid w:val="00FB6B85"/>
    <w:rsid w:val="00FB7E85"/>
    <w:rsid w:val="00FC37B4"/>
    <w:rsid w:val="00FC40CB"/>
    <w:rsid w:val="00FD188E"/>
    <w:rsid w:val="00FD3155"/>
    <w:rsid w:val="00FD70B6"/>
    <w:rsid w:val="00FD79EA"/>
    <w:rsid w:val="00FE11CB"/>
    <w:rsid w:val="00FE28DA"/>
    <w:rsid w:val="00FE3421"/>
    <w:rsid w:val="00FE6908"/>
    <w:rsid w:val="00FF06DE"/>
    <w:rsid w:val="00FF1696"/>
    <w:rsid w:val="00FF17CF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06B9D1F1"/>
  <w15:docId w15:val="{39532C13-489F-43A9-93F5-AEF78C14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4103DB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4103DB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4103DB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4103D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4103DB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4103D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4103DB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4103DB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4103DB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4103DB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03DB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4103DB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4103DB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4103DB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4103DB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4103DB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4103DB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4103DB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4103DB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4103DB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4103DB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4103DB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4103DB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3DB"/>
    <w:rPr>
      <w:rFonts w:ascii="Tahoma" w:hAnsi="Tahoma" w:cs="Tahoma"/>
      <w:color w:val="000000" w:themeColor="text1"/>
      <w:sz w:val="20"/>
      <w:szCs w:val="20"/>
    </w:rPr>
  </w:style>
  <w:style w:type="paragraph" w:customStyle="1" w:styleId="Infopanel">
    <w:name w:val="Info panel"/>
    <w:basedOn w:val="Footer"/>
    <w:link w:val="InfopanelChar"/>
    <w:semiHidden/>
    <w:rsid w:val="000F670D"/>
    <w:pPr>
      <w:framePr w:hSpace="180" w:wrap="around" w:vAnchor="text" w:hAnchor="page" w:x="9091" w:y="89"/>
      <w:spacing w:after="120" w:line="276" w:lineRule="auto"/>
    </w:pPr>
    <w:rPr>
      <w:color w:val="000000" w:themeColor="text1"/>
      <w:sz w:val="16"/>
      <w:szCs w:val="16"/>
    </w:rPr>
  </w:style>
  <w:style w:type="character" w:customStyle="1" w:styleId="InfopanelChar">
    <w:name w:val="Info panel Char"/>
    <w:basedOn w:val="DefaultParagraphFont"/>
    <w:link w:val="Infopanel"/>
    <w:semiHidden/>
    <w:rsid w:val="00A32F4E"/>
    <w:rPr>
      <w:rFonts w:ascii="Tahoma" w:hAnsi="Tahoma" w:cs="Tahoma"/>
      <w:color w:val="000000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3D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DB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4D7A9D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4103DB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4D7A9D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4103DB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03DB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4103DB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103DB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4103DB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4103DB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103DB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3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4103DB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4103DB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4103DB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4103DB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4103DB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4103DB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103D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103DB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4103DB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4103DB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4103D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4103D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4103DB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4103DB"/>
    <w:rPr>
      <w:b/>
    </w:rPr>
  </w:style>
  <w:style w:type="paragraph" w:customStyle="1" w:styleId="Sectionheading">
    <w:name w:val="Section heading"/>
    <w:basedOn w:val="BodyText"/>
    <w:next w:val="BodyText"/>
    <w:qFormat/>
    <w:rsid w:val="004D7A9D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4D7A9D"/>
    <w:pPr>
      <w:numPr>
        <w:numId w:val="23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4D7A9D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4103DB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4D7A9D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4103DB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103DB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4103DB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4103DB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03DB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4103DB"/>
    <w:pPr>
      <w:contextualSpacing/>
    </w:pPr>
  </w:style>
  <w:style w:type="paragraph" w:styleId="List4">
    <w:name w:val="List 4"/>
    <w:basedOn w:val="Normal"/>
    <w:uiPriority w:val="99"/>
    <w:semiHidden/>
    <w:rsid w:val="004103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4103DB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4103DB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4103DB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4103D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3DB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103DB"/>
  </w:style>
  <w:style w:type="paragraph" w:styleId="ListNumber">
    <w:name w:val="List Number"/>
    <w:aliases w:val="Number list 1"/>
    <w:basedOn w:val="BodyText"/>
    <w:uiPriority w:val="6"/>
    <w:qFormat/>
    <w:rsid w:val="004103DB"/>
    <w:pPr>
      <w:numPr>
        <w:numId w:val="15"/>
      </w:numPr>
    </w:pPr>
  </w:style>
  <w:style w:type="paragraph" w:styleId="ListContinue2">
    <w:name w:val="List Continue 2"/>
    <w:basedOn w:val="Normal"/>
    <w:uiPriority w:val="99"/>
    <w:semiHidden/>
    <w:rsid w:val="004103DB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4D7A9D"/>
    <w:pPr>
      <w:numPr>
        <w:numId w:val="2"/>
      </w:numPr>
    </w:pPr>
  </w:style>
  <w:style w:type="table" w:styleId="LightShading-Accent1">
    <w:name w:val="Light Shading Accent 1"/>
    <w:basedOn w:val="TableNormal"/>
    <w:uiPriority w:val="60"/>
    <w:semiHidden/>
    <w:rsid w:val="004103DB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4103DB"/>
    <w:pPr>
      <w:spacing w:after="0"/>
    </w:pPr>
    <w:rPr>
      <w:sz w:val="22"/>
      <w:szCs w:val="22"/>
    </w:rPr>
  </w:style>
  <w:style w:type="paragraph" w:customStyle="1" w:styleId="Agendalist">
    <w:name w:val="Agenda list"/>
    <w:basedOn w:val="Tablesubheadturquoise"/>
    <w:uiPriority w:val="10"/>
    <w:qFormat/>
    <w:rsid w:val="00384A04"/>
    <w:pPr>
      <w:numPr>
        <w:numId w:val="25"/>
      </w:numPr>
    </w:pPr>
  </w:style>
  <w:style w:type="paragraph" w:styleId="Header">
    <w:name w:val="header"/>
    <w:basedOn w:val="BodyText"/>
    <w:link w:val="HeaderChar"/>
    <w:uiPriority w:val="99"/>
    <w:unhideWhenUsed/>
    <w:rsid w:val="00410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3DB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03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03D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03DB"/>
    <w:pPr>
      <w:spacing w:after="100"/>
      <w:ind w:left="400"/>
    </w:pPr>
  </w:style>
  <w:style w:type="numbering" w:customStyle="1" w:styleId="ListAgenda">
    <w:name w:val="__List Agenda"/>
    <w:uiPriority w:val="99"/>
    <w:rsid w:val="00384A04"/>
    <w:pPr>
      <w:numPr>
        <w:numId w:val="4"/>
      </w:numPr>
    </w:pPr>
  </w:style>
  <w:style w:type="paragraph" w:customStyle="1" w:styleId="FooterDate">
    <w:name w:val="Footer Date"/>
    <w:basedOn w:val="Footer"/>
    <w:semiHidden/>
    <w:rsid w:val="004103DB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4103DB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4103DB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4103DB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4D7A9D"/>
    <w:pPr>
      <w:numPr>
        <w:ilvl w:val="1"/>
        <w:numId w:val="19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4D7A9D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4D7A9D"/>
    <w:pPr>
      <w:numPr>
        <w:numId w:val="19"/>
      </w:numPr>
    </w:pPr>
  </w:style>
  <w:style w:type="character" w:styleId="PlaceholderText">
    <w:name w:val="Placeholder Text"/>
    <w:basedOn w:val="DefaultParagraphFont"/>
    <w:uiPriority w:val="99"/>
    <w:semiHidden/>
    <w:rsid w:val="004103DB"/>
    <w:rPr>
      <w:color w:val="808080"/>
    </w:rPr>
  </w:style>
  <w:style w:type="numbering" w:customStyle="1" w:styleId="ListTable">
    <w:name w:val="__List Table"/>
    <w:uiPriority w:val="99"/>
    <w:rsid w:val="004D7A9D"/>
    <w:pPr>
      <w:numPr>
        <w:numId w:val="10"/>
      </w:numPr>
    </w:pPr>
  </w:style>
  <w:style w:type="paragraph" w:customStyle="1" w:styleId="Tablenumbered">
    <w:name w:val="Table numbered"/>
    <w:basedOn w:val="Tabletext"/>
    <w:uiPriority w:val="9"/>
    <w:qFormat/>
    <w:rsid w:val="004D7A9D"/>
    <w:pPr>
      <w:numPr>
        <w:numId w:val="2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D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72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728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728"/>
    <w:rPr>
      <w:rFonts w:ascii="Tahoma" w:hAnsi="Tahoma" w:cs="Tahoma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CD7728"/>
    <w:rPr>
      <w:rFonts w:ascii="Tahoma" w:hAnsi="Tahoma" w:cs="Tahoma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4%20(0)%20207%20380%204005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SC%20Operations\Change%20Management%20&amp;%20CCS\Change%20Management\Templates\Modification%20Documents\W%20-%20Workgroup%20Materials\%5bMOD22%20-%20v.2.0%5d%20PXXX%20Agenda%20Meeting%20X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5B1A150CA42B1A7C8AD445D66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E82F-79C5-4DF9-AA60-1AFA529EC095}"/>
      </w:docPartPr>
      <w:docPartBody>
        <w:p w:rsidR="00754220" w:rsidRDefault="00754220">
          <w:pPr>
            <w:pStyle w:val="7885B1A150CA42B1A7C8AD445D6603EC"/>
          </w:pPr>
          <w:r w:rsidRPr="00501695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501695">
            <w:rPr>
              <w:rStyle w:val="PlaceholderText"/>
            </w:rPr>
            <w:t>hoose an item</w:t>
          </w:r>
          <w:r>
            <w:rPr>
              <w:rStyle w:val="PlaceholderText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20"/>
    <w:rsid w:val="0075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885B1A150CA42B1A7C8AD445D6603EC">
    <w:name w:val="7885B1A150CA42B1A7C8AD445D660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CC99-01FF-47F3-ADDC-52BE4788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[MOD22 - v.2.0] PXXX Agenda Meeting X_v2.0</Template>
  <TotalTime>43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P375/6 Workgroup 2 Agenda</vt:lpstr>
    </vt:vector>
  </TitlesOfParts>
  <Manager>Elliott.Harper@elexon.co.uk</Manager>
  <Company>Elexon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P375/6 Workgroup 2 Agenda</dc:title>
  <dc:subject>P375 P376 Agenda</dc:subject>
  <dc:creator>Matthew Woolliscroft</dc:creator>
  <cp:keywords>P375 P376 Agenda</cp:keywords>
  <cp:lastModifiedBy>Tom Darwen</cp:lastModifiedBy>
  <cp:revision>10</cp:revision>
  <cp:lastPrinted>2019-03-12T13:57:00Z</cp:lastPrinted>
  <dcterms:created xsi:type="dcterms:W3CDTF">2019-05-07T15:22:00Z</dcterms:created>
  <dcterms:modified xsi:type="dcterms:W3CDTF">2019-05-09T12:35:00Z</dcterms:modified>
  <cp:category>P375 P376 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