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172" w:rsidRDefault="00271172">
      <w:pPr>
        <w:rPr>
          <w:rFonts w:ascii="Tahoma" w:hAnsi="Tahoma" w:cs="Tahoma"/>
          <w:b/>
          <w:sz w:val="20"/>
          <w:szCs w:val="20"/>
        </w:rPr>
      </w:pPr>
    </w:p>
    <w:tbl>
      <w:tblPr>
        <w:tblW w:w="492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8"/>
        <w:gridCol w:w="3343"/>
      </w:tblGrid>
      <w:tr w:rsidR="005D1EED" w:rsidRPr="00C03F6C" w:rsidTr="0018375E">
        <w:trPr>
          <w:trHeight w:val="540"/>
        </w:trPr>
        <w:tc>
          <w:tcPr>
            <w:tcW w:w="13751" w:type="dxa"/>
            <w:gridSpan w:val="2"/>
            <w:tcBorders>
              <w:bottom w:val="single" w:sz="36" w:space="0" w:color="44546A" w:themeColor="text2"/>
            </w:tcBorders>
          </w:tcPr>
          <w:p w:rsidR="005D1EED" w:rsidRPr="00C03F6C" w:rsidRDefault="005D1EED" w:rsidP="00AA5C52">
            <w:pPr>
              <w:pStyle w:val="Title"/>
            </w:pPr>
            <w:r w:rsidRPr="005D1EED">
              <w:t>P379 Workgroup 1 Actions</w:t>
            </w:r>
          </w:p>
        </w:tc>
      </w:tr>
      <w:tr w:rsidR="005D1EED" w:rsidRPr="00C03F6C" w:rsidTr="0018375E">
        <w:trPr>
          <w:gridAfter w:val="1"/>
          <w:wAfter w:w="3343" w:type="dxa"/>
          <w:trHeight w:val="768"/>
        </w:trPr>
        <w:tc>
          <w:tcPr>
            <w:tcW w:w="10408" w:type="dxa"/>
            <w:tcBorders>
              <w:top w:val="single" w:sz="36" w:space="0" w:color="44546A" w:themeColor="text2"/>
              <w:bottom w:val="single" w:sz="36" w:space="0" w:color="A5A5A5" w:themeColor="accent3"/>
            </w:tcBorders>
            <w:vAlign w:val="center"/>
          </w:tcPr>
          <w:p w:rsidR="005D1EED" w:rsidRPr="00C03F6C" w:rsidRDefault="005D1EED" w:rsidP="000E4478">
            <w:pPr>
              <w:pStyle w:val="Introtabletext"/>
            </w:pPr>
            <w:r>
              <w:t>P379 ‘</w:t>
            </w:r>
            <w:r w:rsidRPr="0054037E">
              <w:t>Enabling consumers to buy and sell electricity from/to multiple providers through Meter Splitting</w:t>
            </w:r>
            <w:r>
              <w:t xml:space="preserve">’ </w:t>
            </w:r>
            <w:r w:rsidRPr="0054037E">
              <w:t xml:space="preserve"> </w:t>
            </w:r>
          </w:p>
        </w:tc>
      </w:tr>
    </w:tbl>
    <w:tbl>
      <w:tblPr>
        <w:tblStyle w:val="ElexonTable"/>
        <w:tblW w:w="5000" w:type="pct"/>
        <w:tblLook w:val="04A0" w:firstRow="1" w:lastRow="0" w:firstColumn="1" w:lastColumn="0" w:noHBand="0" w:noVBand="1"/>
      </w:tblPr>
      <w:tblGrid>
        <w:gridCol w:w="742"/>
        <w:gridCol w:w="2086"/>
        <w:gridCol w:w="6940"/>
        <w:gridCol w:w="1567"/>
        <w:gridCol w:w="2607"/>
      </w:tblGrid>
      <w:tr w:rsidR="0068716E" w:rsidRPr="006A218E" w:rsidTr="00E50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68716E" w:rsidRPr="006A218E" w:rsidRDefault="0068716E" w:rsidP="0068716E">
            <w:pPr>
              <w:pStyle w:val="Tableheading"/>
            </w:pPr>
            <w:r w:rsidRPr="006A218E">
              <w:t>No</w:t>
            </w:r>
          </w:p>
        </w:tc>
        <w:tc>
          <w:tcPr>
            <w:tcW w:w="748" w:type="pct"/>
          </w:tcPr>
          <w:p w:rsidR="0068716E" w:rsidRPr="006A218E" w:rsidRDefault="0068716E" w:rsidP="0068716E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Meeting No </w:t>
            </w:r>
          </w:p>
        </w:tc>
        <w:tc>
          <w:tcPr>
            <w:tcW w:w="2489" w:type="pct"/>
          </w:tcPr>
          <w:p w:rsidR="0068716E" w:rsidRPr="006A218E" w:rsidRDefault="0068716E" w:rsidP="0068716E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218E">
              <w:t>Action</w:t>
            </w:r>
          </w:p>
        </w:tc>
        <w:tc>
          <w:tcPr>
            <w:tcW w:w="562" w:type="pct"/>
          </w:tcPr>
          <w:p w:rsidR="0068716E" w:rsidRPr="006A218E" w:rsidRDefault="0068716E" w:rsidP="0068716E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218E">
              <w:t>Owner</w:t>
            </w:r>
          </w:p>
        </w:tc>
        <w:tc>
          <w:tcPr>
            <w:tcW w:w="935" w:type="pct"/>
          </w:tcPr>
          <w:p w:rsidR="0068716E" w:rsidRPr="006A218E" w:rsidRDefault="0068716E" w:rsidP="0068716E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Status </w:t>
            </w:r>
          </w:p>
        </w:tc>
      </w:tr>
      <w:tr w:rsidR="0068716E" w:rsidRPr="006A218E" w:rsidTr="00E50A65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68716E" w:rsidRPr="006A218E" w:rsidRDefault="0068716E" w:rsidP="0068716E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68716E" w:rsidRPr="006A218E" w:rsidRDefault="00283DA3" w:rsidP="00E50A65">
            <w:pPr>
              <w:pStyle w:val="Table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WG1 </w:t>
            </w:r>
            <w:r w:rsidR="00E50A65">
              <w:t xml:space="preserve">– 2019/02/27 </w:t>
            </w:r>
          </w:p>
        </w:tc>
        <w:tc>
          <w:tcPr>
            <w:tcW w:w="2489" w:type="pct"/>
          </w:tcPr>
          <w:p w:rsidR="0068716E" w:rsidRPr="006A218E" w:rsidRDefault="0068716E" w:rsidP="0068716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Write up how </w:t>
            </w:r>
            <w:r w:rsidRPr="0068716E">
              <w:t>measured volumes enter Settlement e.g. via HHDC, CNA?</w:t>
            </w:r>
          </w:p>
        </w:tc>
        <w:tc>
          <w:tcPr>
            <w:tcW w:w="562" w:type="pct"/>
          </w:tcPr>
          <w:p w:rsidR="0068716E" w:rsidRPr="006A218E" w:rsidRDefault="00283DA3" w:rsidP="008271EF">
            <w:pPr>
              <w:pStyle w:val="Table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ELEXON </w:t>
            </w:r>
          </w:p>
        </w:tc>
        <w:tc>
          <w:tcPr>
            <w:tcW w:w="935" w:type="pct"/>
          </w:tcPr>
          <w:p w:rsidR="0068716E" w:rsidRPr="007464AA" w:rsidRDefault="0047461A" w:rsidP="00A4591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– </w:t>
            </w:r>
            <w:r w:rsidRPr="00A45912">
              <w:rPr>
                <w:b/>
                <w:color w:val="0070C0"/>
              </w:rPr>
              <w:t xml:space="preserve">Completed </w:t>
            </w:r>
            <w:r w:rsidR="00A45912">
              <w:rPr>
                <w:color w:val="0070C0"/>
              </w:rPr>
              <w:t xml:space="preserve">Role of HHDC and CNA further explained in use case scenarios </w:t>
            </w:r>
            <w:r w:rsidR="007464AA" w:rsidRPr="007464AA">
              <w:rPr>
                <w:color w:val="0070C0"/>
              </w:rPr>
              <w:t xml:space="preserve"> </w:t>
            </w:r>
          </w:p>
        </w:tc>
      </w:tr>
      <w:tr w:rsidR="00E50A65" w:rsidRPr="006A218E" w:rsidTr="00E50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</w:p>
        </w:tc>
        <w:tc>
          <w:tcPr>
            <w:tcW w:w="2489" w:type="pct"/>
          </w:tcPr>
          <w:p w:rsidR="00E50A65" w:rsidRPr="006A218E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716E">
              <w:t>Document financial liabilities and imbalance risk - Look at how Class A Suppliers should be handled under the BSC.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3/04/2019 - </w:t>
            </w:r>
            <w:r w:rsidRPr="00A45912">
              <w:rPr>
                <w:b/>
                <w:color w:val="0070C0"/>
              </w:rPr>
              <w:t xml:space="preserve">Completed </w:t>
            </w:r>
            <w:r>
              <w:rPr>
                <w:b/>
                <w:color w:val="0070C0"/>
              </w:rPr>
              <w:t>-</w:t>
            </w:r>
            <w:r w:rsidRPr="007464AA">
              <w:rPr>
                <w:color w:val="0070C0"/>
              </w:rPr>
              <w:t>Included in use case scenario</w:t>
            </w:r>
            <w:r>
              <w:rPr>
                <w:color w:val="0070C0"/>
              </w:rPr>
              <w:t xml:space="preserve"> – Workgroup to discuss further </w:t>
            </w:r>
          </w:p>
        </w:tc>
      </w:tr>
      <w:tr w:rsidR="00E50A65" w:rsidRPr="006A218E" w:rsidTr="00E50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</w:p>
        </w:tc>
        <w:tc>
          <w:tcPr>
            <w:tcW w:w="2489" w:type="pct"/>
          </w:tcPr>
          <w:p w:rsidR="00E50A65" w:rsidRPr="006A218E" w:rsidRDefault="00E50A65" w:rsidP="00E50A65">
            <w:pPr>
              <w:pStyle w:val="Table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Pr="00283DA3">
              <w:t>Identify pros and cons of the solution options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3/04/2019 - </w:t>
            </w:r>
            <w:r w:rsidRPr="00A45912">
              <w:rPr>
                <w:b/>
                <w:color w:val="0070C0"/>
              </w:rPr>
              <w:t xml:space="preserve">Completed </w:t>
            </w:r>
            <w:r>
              <w:rPr>
                <w:b/>
                <w:color w:val="0070C0"/>
              </w:rPr>
              <w:t>–</w:t>
            </w:r>
            <w:r>
              <w:rPr>
                <w:color w:val="0070C0"/>
              </w:rPr>
              <w:t xml:space="preserve"> Pros and cons of the different solutions included in use cases. </w:t>
            </w:r>
          </w:p>
        </w:tc>
      </w:tr>
      <w:tr w:rsidR="00E50A65" w:rsidRPr="006A218E" w:rsidTr="00E50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</w:p>
        </w:tc>
        <w:tc>
          <w:tcPr>
            <w:tcW w:w="2489" w:type="pct"/>
          </w:tcPr>
          <w:p w:rsidR="00E50A65" w:rsidRPr="006A218E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Invite P375 proposer to meetings 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3/04/2019 - </w:t>
            </w:r>
            <w:r w:rsidRPr="00A45912">
              <w:rPr>
                <w:b/>
                <w:color w:val="0070C0"/>
              </w:rPr>
              <w:t>Completed</w:t>
            </w:r>
            <w:r>
              <w:rPr>
                <w:color w:val="0070C0"/>
              </w:rPr>
              <w:t xml:space="preserve"> – P375 proposer (</w:t>
            </w:r>
            <w:r w:rsidRPr="00E50B90">
              <w:rPr>
                <w:i/>
                <w:color w:val="0070C0"/>
              </w:rPr>
              <w:t>Alastair Martin –Flexitricity</w:t>
            </w:r>
            <w:r>
              <w:rPr>
                <w:color w:val="0070C0"/>
              </w:rPr>
              <w:t xml:space="preserve">) notified of P379 discussions and meetings. Not critical for proposer to attend now but will be </w:t>
            </w:r>
            <w:r>
              <w:rPr>
                <w:color w:val="0070C0"/>
              </w:rPr>
              <w:lastRenderedPageBreak/>
              <w:t xml:space="preserve">kept updated on P379 discussions.  </w:t>
            </w:r>
          </w:p>
        </w:tc>
      </w:tr>
      <w:tr w:rsidR="00E50A65" w:rsidRPr="006A218E" w:rsidTr="00E50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</w:p>
        </w:tc>
        <w:tc>
          <w:tcPr>
            <w:tcW w:w="2489" w:type="pct"/>
          </w:tcPr>
          <w:p w:rsidR="00E50A65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Write up how: </w:t>
            </w:r>
          </w:p>
          <w:p w:rsidR="00E50A65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>
              <w:tab/>
              <w:t>P379 can facilitate Supplier’s billing arrangements</w:t>
            </w:r>
          </w:p>
          <w:p w:rsidR="00E50A65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>
              <w:tab/>
              <w:t xml:space="preserve">Network charging arrangements could be impacted </w:t>
            </w:r>
          </w:p>
          <w:p w:rsidR="00E50A65" w:rsidRPr="006A218E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>
              <w:tab/>
              <w:t>The proposal will work on Prepayment meters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3/04/2019 -  </w:t>
            </w:r>
            <w:r w:rsidRPr="00E50B90">
              <w:rPr>
                <w:b/>
                <w:color w:val="0070C0"/>
              </w:rPr>
              <w:t>In progress</w:t>
            </w:r>
            <w:r>
              <w:rPr>
                <w:color w:val="0070C0"/>
              </w:rPr>
              <w:t xml:space="preserve"> To be discussed at part of use case scenarios and Ofgem presentation </w:t>
            </w:r>
          </w:p>
        </w:tc>
      </w:tr>
      <w:tr w:rsidR="00E50A65" w:rsidRPr="006A218E" w:rsidTr="00E50A65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</w:p>
        </w:tc>
        <w:tc>
          <w:tcPr>
            <w:tcW w:w="2489" w:type="pct"/>
          </w:tcPr>
          <w:p w:rsidR="00E50A65" w:rsidRPr="006A218E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716E">
              <w:t>Look at the legal requirements for licenced and unlicensed Suppliers.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  <w:r>
              <w:t xml:space="preserve">and OFGEM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– </w:t>
            </w:r>
            <w:r w:rsidRPr="00A45912">
              <w:rPr>
                <w:b/>
                <w:color w:val="0070C0"/>
              </w:rPr>
              <w:t>In progress</w:t>
            </w:r>
            <w:r>
              <w:rPr>
                <w:b/>
                <w:color w:val="0070C0"/>
              </w:rPr>
              <w:t xml:space="preserve"> </w:t>
            </w:r>
            <w:r w:rsidRPr="00A45912">
              <w:rPr>
                <w:b/>
                <w:color w:val="0070C0"/>
              </w:rPr>
              <w:t>–</w:t>
            </w:r>
            <w:r>
              <w:rPr>
                <w:color w:val="0070C0"/>
              </w:rPr>
              <w:t xml:space="preserve"> legal implications of multiple supply added to following meeting agenda   </w:t>
            </w:r>
          </w:p>
        </w:tc>
      </w:tr>
      <w:tr w:rsidR="00E50A65" w:rsidRPr="006A218E" w:rsidTr="00E50A65">
        <w:trPr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</w:p>
        </w:tc>
        <w:tc>
          <w:tcPr>
            <w:tcW w:w="2489" w:type="pct"/>
          </w:tcPr>
          <w:p w:rsidR="00E50A65" w:rsidRPr="006A218E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Write up how the </w:t>
            </w:r>
            <w:r w:rsidRPr="00283DA3">
              <w:t xml:space="preserve">proposal will be communicated to the </w:t>
            </w:r>
            <w:r>
              <w:t>industry focusing on the industry’s understanding of the</w:t>
            </w:r>
            <w:r w:rsidRPr="00283DA3">
              <w:t xml:space="preserve"> proposal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3/04/2019 - </w:t>
            </w:r>
            <w:r w:rsidRPr="00E50B90">
              <w:rPr>
                <w:b/>
                <w:color w:val="0070C0"/>
              </w:rPr>
              <w:t xml:space="preserve">In progress </w:t>
            </w:r>
            <w:r>
              <w:rPr>
                <w:color w:val="0070C0"/>
              </w:rPr>
              <w:t xml:space="preserve">– added to follow up meeting Agenda </w:t>
            </w:r>
          </w:p>
        </w:tc>
      </w:tr>
      <w:tr w:rsidR="00E50A65" w:rsidRPr="006A218E" w:rsidTr="00E50A65">
        <w:trPr>
          <w:trHeight w:val="10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" w:type="pct"/>
          </w:tcPr>
          <w:p w:rsidR="00E50A65" w:rsidRPr="006A218E" w:rsidRDefault="00E50A65" w:rsidP="00E50A65">
            <w:pPr>
              <w:pStyle w:val="Tablenumbered"/>
              <w:tabs>
                <w:tab w:val="clear" w:pos="360"/>
              </w:tabs>
              <w:ind w:left="624" w:hanging="511"/>
            </w:pPr>
          </w:p>
        </w:tc>
        <w:tc>
          <w:tcPr>
            <w:tcW w:w="748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413D">
              <w:t xml:space="preserve">WG1 – 2019/02/27 </w:t>
            </w:r>
            <w:bookmarkStart w:id="0" w:name="_GoBack"/>
            <w:bookmarkEnd w:id="0"/>
          </w:p>
        </w:tc>
        <w:tc>
          <w:tcPr>
            <w:tcW w:w="2489" w:type="pct"/>
          </w:tcPr>
          <w:p w:rsidR="00E50A65" w:rsidRPr="006A218E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Write up the </w:t>
            </w:r>
            <w:r w:rsidRPr="00283DA3">
              <w:t>legal implications of the change – check the legal impact against the Electricity Act. This should be done before developing the solution.</w:t>
            </w:r>
          </w:p>
        </w:tc>
        <w:tc>
          <w:tcPr>
            <w:tcW w:w="562" w:type="pct"/>
          </w:tcPr>
          <w:p w:rsidR="00E50A65" w:rsidRDefault="00E50A65" w:rsidP="00E50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646">
              <w:t xml:space="preserve">ELEXON </w:t>
            </w:r>
          </w:p>
        </w:tc>
        <w:tc>
          <w:tcPr>
            <w:tcW w:w="935" w:type="pct"/>
          </w:tcPr>
          <w:p w:rsidR="00E50A65" w:rsidRPr="007464AA" w:rsidRDefault="00E50A65" w:rsidP="00E50A6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>
              <w:rPr>
                <w:color w:val="0070C0"/>
              </w:rPr>
              <w:t xml:space="preserve">3/04/2019 - </w:t>
            </w:r>
            <w:r w:rsidRPr="00E50B90">
              <w:rPr>
                <w:b/>
                <w:color w:val="0070C0"/>
              </w:rPr>
              <w:t>In progress</w:t>
            </w:r>
            <w:r>
              <w:rPr>
                <w:color w:val="0070C0"/>
              </w:rPr>
              <w:t xml:space="preserve"> added to next meeting agenda</w:t>
            </w:r>
          </w:p>
        </w:tc>
      </w:tr>
    </w:tbl>
    <w:p w:rsidR="008258F3" w:rsidRDefault="008258F3"/>
    <w:sectPr w:rsidR="008258F3" w:rsidSect="0068716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91901"/>
    <w:multiLevelType w:val="multilevel"/>
    <w:tmpl w:val="269C7F9C"/>
    <w:styleLink w:val="ListTable"/>
    <w:lvl w:ilvl="0">
      <w:start w:val="1"/>
      <w:numFmt w:val="decimal"/>
      <w:pStyle w:val="Tablenumbered"/>
      <w:lvlText w:val="%1."/>
      <w:lvlJc w:val="left"/>
      <w:pPr>
        <w:ind w:left="624" w:hanging="511"/>
      </w:pPr>
      <w:rPr>
        <w:rFonts w:hint="default"/>
      </w:rPr>
    </w:lvl>
    <w:lvl w:ilvl="1">
      <w:start w:val="1"/>
      <w:numFmt w:val="none"/>
      <w:lvlText w:val=""/>
      <w:lvlJc w:val="left"/>
      <w:pPr>
        <w:ind w:left="1361" w:hanging="511"/>
      </w:pPr>
      <w:rPr>
        <w:rFonts w:hint="default"/>
      </w:rPr>
    </w:lvl>
    <w:lvl w:ilvl="2">
      <w:start w:val="1"/>
      <w:numFmt w:val="none"/>
      <w:lvlText w:val=""/>
      <w:lvlJc w:val="left"/>
      <w:pPr>
        <w:ind w:left="2098" w:hanging="511"/>
      </w:pPr>
      <w:rPr>
        <w:rFonts w:hint="default"/>
      </w:rPr>
    </w:lvl>
    <w:lvl w:ilvl="3">
      <w:start w:val="1"/>
      <w:numFmt w:val="none"/>
      <w:lvlText w:val=""/>
      <w:lvlJc w:val="left"/>
      <w:pPr>
        <w:ind w:left="2835" w:hanging="511"/>
      </w:pPr>
      <w:rPr>
        <w:rFonts w:hint="default"/>
      </w:rPr>
    </w:lvl>
    <w:lvl w:ilvl="4">
      <w:start w:val="1"/>
      <w:numFmt w:val="none"/>
      <w:lvlText w:val=""/>
      <w:lvlJc w:val="left"/>
      <w:pPr>
        <w:ind w:left="3572" w:hanging="511"/>
      </w:pPr>
      <w:rPr>
        <w:rFonts w:hint="default"/>
      </w:rPr>
    </w:lvl>
    <w:lvl w:ilvl="5">
      <w:start w:val="1"/>
      <w:numFmt w:val="none"/>
      <w:lvlText w:val=""/>
      <w:lvlJc w:val="left"/>
      <w:pPr>
        <w:ind w:left="4309" w:hanging="511"/>
      </w:pPr>
      <w:rPr>
        <w:rFonts w:hint="default"/>
      </w:rPr>
    </w:lvl>
    <w:lvl w:ilvl="6">
      <w:start w:val="1"/>
      <w:numFmt w:val="none"/>
      <w:lvlText w:val=""/>
      <w:lvlJc w:val="left"/>
      <w:pPr>
        <w:ind w:left="5046" w:hanging="511"/>
      </w:pPr>
      <w:rPr>
        <w:rFonts w:hint="default"/>
      </w:rPr>
    </w:lvl>
    <w:lvl w:ilvl="7">
      <w:start w:val="1"/>
      <w:numFmt w:val="none"/>
      <w:lvlText w:val=""/>
      <w:lvlJc w:val="left"/>
      <w:pPr>
        <w:ind w:left="5783" w:hanging="511"/>
      </w:pPr>
      <w:rPr>
        <w:rFonts w:hint="default"/>
      </w:rPr>
    </w:lvl>
    <w:lvl w:ilvl="8">
      <w:start w:val="1"/>
      <w:numFmt w:val="none"/>
      <w:lvlText w:val=""/>
      <w:lvlJc w:val="left"/>
      <w:pPr>
        <w:ind w:left="6520" w:hanging="511"/>
      </w:pPr>
      <w:rPr>
        <w:rFonts w:hint="default"/>
      </w:rPr>
    </w:lvl>
  </w:abstractNum>
  <w:abstractNum w:abstractNumId="1" w15:restartNumberingAfterBreak="0">
    <w:nsid w:val="73D63850"/>
    <w:multiLevelType w:val="multilevel"/>
    <w:tmpl w:val="269C7F9C"/>
    <w:numStyleLink w:val="ListTable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F3"/>
    <w:rsid w:val="00093A6B"/>
    <w:rsid w:val="000E4478"/>
    <w:rsid w:val="0018375E"/>
    <w:rsid w:val="0023532F"/>
    <w:rsid w:val="0025719A"/>
    <w:rsid w:val="00271172"/>
    <w:rsid w:val="00283DA3"/>
    <w:rsid w:val="002D5E34"/>
    <w:rsid w:val="00344524"/>
    <w:rsid w:val="003C443C"/>
    <w:rsid w:val="0047461A"/>
    <w:rsid w:val="00492E41"/>
    <w:rsid w:val="00595D70"/>
    <w:rsid w:val="005D1EED"/>
    <w:rsid w:val="006252B8"/>
    <w:rsid w:val="0068716E"/>
    <w:rsid w:val="007464AA"/>
    <w:rsid w:val="00806E98"/>
    <w:rsid w:val="008258F3"/>
    <w:rsid w:val="008271EF"/>
    <w:rsid w:val="008D2CBC"/>
    <w:rsid w:val="009B5ECF"/>
    <w:rsid w:val="009F692F"/>
    <w:rsid w:val="00A45912"/>
    <w:rsid w:val="00B12267"/>
    <w:rsid w:val="00C70741"/>
    <w:rsid w:val="00D13779"/>
    <w:rsid w:val="00D81C00"/>
    <w:rsid w:val="00E50A65"/>
    <w:rsid w:val="00E50B90"/>
    <w:rsid w:val="00F4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A1FE2"/>
  <w15:chartTrackingRefBased/>
  <w15:docId w15:val="{C624CB42-5827-42BB-A0CB-508DCD5D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Tabletext"/>
    <w:link w:val="TableheadingChar"/>
    <w:uiPriority w:val="8"/>
    <w:qFormat/>
    <w:rsid w:val="008258F3"/>
    <w:rPr>
      <w:b/>
      <w:color w:val="FFFFFF" w:themeColor="background1"/>
      <w:sz w:val="22"/>
      <w:szCs w:val="22"/>
    </w:rPr>
  </w:style>
  <w:style w:type="character" w:customStyle="1" w:styleId="TableheadingChar">
    <w:name w:val="Table heading Char"/>
    <w:basedOn w:val="DefaultParagraphFont"/>
    <w:link w:val="Tableheading"/>
    <w:uiPriority w:val="8"/>
    <w:rsid w:val="008258F3"/>
    <w:rPr>
      <w:rFonts w:ascii="Tahoma" w:eastAsia="Times New Roman" w:hAnsi="Tahoma" w:cs="Tahoma"/>
      <w:b/>
      <w:color w:val="FFFFFF" w:themeColor="background1"/>
    </w:rPr>
  </w:style>
  <w:style w:type="paragraph" w:customStyle="1" w:styleId="Tabletext">
    <w:name w:val="Table text"/>
    <w:basedOn w:val="BodyText"/>
    <w:link w:val="TabletextChar"/>
    <w:uiPriority w:val="8"/>
    <w:qFormat/>
    <w:rsid w:val="008258F3"/>
    <w:pPr>
      <w:spacing w:after="0" w:line="260" w:lineRule="atLeast"/>
      <w:ind w:left="113" w:right="113"/>
    </w:pPr>
    <w:rPr>
      <w:rFonts w:ascii="Tahoma" w:eastAsia="Times New Roman" w:hAnsi="Tahoma" w:cs="Tahoma"/>
      <w:color w:val="000000" w:themeColor="text1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8"/>
    <w:rsid w:val="008258F3"/>
    <w:rPr>
      <w:rFonts w:ascii="Tahoma" w:eastAsia="Times New Roman" w:hAnsi="Tahoma" w:cs="Tahoma"/>
      <w:color w:val="000000" w:themeColor="text1"/>
      <w:sz w:val="20"/>
      <w:szCs w:val="20"/>
    </w:rPr>
  </w:style>
  <w:style w:type="table" w:customStyle="1" w:styleId="ElexonTable">
    <w:name w:val="_Elexon Table"/>
    <w:basedOn w:val="TableNormal"/>
    <w:uiPriority w:val="99"/>
    <w:rsid w:val="008258F3"/>
    <w:pPr>
      <w:spacing w:after="0" w:line="240" w:lineRule="auto"/>
    </w:pPr>
    <w:rPr>
      <w:rFonts w:eastAsia="Times New Roman"/>
      <w:sz w:val="20"/>
    </w:rPr>
    <w:tblPr>
      <w:tblBorders>
        <w:top w:val="single" w:sz="6" w:space="0" w:color="ED7D31" w:themeColor="accent2"/>
        <w:left w:val="single" w:sz="6" w:space="0" w:color="ED7D31" w:themeColor="accent2"/>
        <w:bottom w:val="single" w:sz="6" w:space="0" w:color="ED7D31" w:themeColor="accent2"/>
        <w:right w:val="single" w:sz="6" w:space="0" w:color="ED7D31" w:themeColor="accent2"/>
        <w:insideH w:val="single" w:sz="6" w:space="0" w:color="ED7D31" w:themeColor="accent2"/>
        <w:insideV w:val="single" w:sz="6" w:space="0" w:color="ED7D31" w:themeColor="accent2"/>
      </w:tblBorders>
      <w:tblCellMar>
        <w:top w:w="113" w:type="dxa"/>
        <w:left w:w="0" w:type="dxa"/>
        <w:bottom w:w="113" w:type="dxa"/>
        <w:right w:w="0" w:type="dxa"/>
      </w:tblCellMar>
    </w:tblPr>
    <w:tblStylePr w:type="firstRow">
      <w:rPr>
        <w:rFonts w:asciiTheme="minorHAnsi" w:hAnsiTheme="minorHAnsi"/>
        <w:b w:val="0"/>
        <w:color w:val="FFFFFF" w:themeColor="background1"/>
        <w:sz w:val="22"/>
      </w:rPr>
      <w:tblPr/>
      <w:tcPr>
        <w:shd w:val="clear" w:color="auto" w:fill="44546A" w:themeFill="text2"/>
      </w:tcPr>
    </w:tblStylePr>
    <w:tblStylePr w:type="firstCol">
      <w:rPr>
        <w:rFonts w:asciiTheme="minorHAnsi" w:hAnsiTheme="minorHAnsi"/>
        <w:b w:val="0"/>
        <w:color w:val="44546A" w:themeColor="text2"/>
        <w:sz w:val="20"/>
      </w:rPr>
    </w:tblStylePr>
  </w:style>
  <w:style w:type="numbering" w:customStyle="1" w:styleId="ListTable">
    <w:name w:val="__List Table"/>
    <w:uiPriority w:val="99"/>
    <w:rsid w:val="008258F3"/>
    <w:pPr>
      <w:numPr>
        <w:numId w:val="1"/>
      </w:numPr>
    </w:pPr>
  </w:style>
  <w:style w:type="paragraph" w:customStyle="1" w:styleId="Tablenumbered">
    <w:name w:val="Table numbered"/>
    <w:basedOn w:val="Tabletext"/>
    <w:uiPriority w:val="9"/>
    <w:qFormat/>
    <w:rsid w:val="008258F3"/>
    <w:pPr>
      <w:numPr>
        <w:numId w:val="2"/>
      </w:numPr>
      <w:tabs>
        <w:tab w:val="num" w:pos="360"/>
      </w:tabs>
      <w:ind w:left="113" w:firstLine="0"/>
    </w:pPr>
  </w:style>
  <w:style w:type="paragraph" w:styleId="BodyText">
    <w:name w:val="Body Text"/>
    <w:basedOn w:val="Normal"/>
    <w:link w:val="BodyTextChar"/>
    <w:uiPriority w:val="99"/>
    <w:semiHidden/>
    <w:unhideWhenUsed/>
    <w:rsid w:val="00825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58F3"/>
  </w:style>
  <w:style w:type="paragraph" w:styleId="Title">
    <w:name w:val="Title"/>
    <w:basedOn w:val="BodyText"/>
    <w:link w:val="TitleChar"/>
    <w:uiPriority w:val="10"/>
    <w:rsid w:val="005D1EED"/>
    <w:pPr>
      <w:spacing w:after="0" w:line="240" w:lineRule="auto"/>
    </w:pPr>
    <w:rPr>
      <w:rFonts w:ascii="Tahoma" w:eastAsia="Times New Roman" w:hAnsi="Tahoma" w:cs="Tahoma"/>
      <w:b/>
      <w:caps/>
      <w:color w:val="44546A" w:themeColor="text2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5D1EED"/>
    <w:rPr>
      <w:rFonts w:ascii="Tahoma" w:eastAsia="Times New Roman" w:hAnsi="Tahoma" w:cs="Tahoma"/>
      <w:b/>
      <w:caps/>
      <w:color w:val="44546A" w:themeColor="text2"/>
      <w:sz w:val="32"/>
      <w:szCs w:val="20"/>
    </w:rPr>
  </w:style>
  <w:style w:type="paragraph" w:customStyle="1" w:styleId="Introtabletext">
    <w:name w:val="Intro table text"/>
    <w:basedOn w:val="BodyText"/>
    <w:rsid w:val="005D1EED"/>
    <w:pPr>
      <w:spacing w:after="0" w:line="260" w:lineRule="atLeast"/>
    </w:pPr>
    <w:rPr>
      <w:rFonts w:ascii="Tahoma" w:eastAsia="Times New Roman" w:hAnsi="Tahoma" w:cs="Tahoma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ELEXON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Madzivadondo</dc:creator>
  <cp:keywords/>
  <dc:description/>
  <cp:lastModifiedBy>Fungai Madzivadondo</cp:lastModifiedBy>
  <cp:revision>18</cp:revision>
  <dcterms:created xsi:type="dcterms:W3CDTF">2019-03-07T14:16:00Z</dcterms:created>
  <dcterms:modified xsi:type="dcterms:W3CDTF">2019-04-02T09:00:00Z</dcterms:modified>
</cp:coreProperties>
</file>