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1C2943" w:rsidP="00D95A94">
            <w:pPr>
              <w:pStyle w:val="Title"/>
            </w:pPr>
            <w:bookmarkStart w:id="0" w:name="_GoBack"/>
            <w:bookmarkEnd w:id="0"/>
            <w:r>
              <w:t xml:space="preserve">consultation response </w:t>
            </w:r>
            <w:r w:rsidRPr="00D95A94">
              <w:t>rer 201</w:t>
            </w:r>
            <w:r w:rsidR="00D95A94" w:rsidRPr="00D95A94">
              <w:t>6</w:t>
            </w:r>
            <w:r w:rsidRPr="00D95A94">
              <w:t>/1</w:t>
            </w:r>
            <w:r w:rsidR="00D95A94" w:rsidRPr="00D95A94">
              <w:t>7</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A62232" w:rsidP="00D95A94">
            <w:pPr>
              <w:pStyle w:val="FooterRef1"/>
              <w:framePr w:hSpace="0" w:wrap="auto" w:vAnchor="margin" w:hAnchor="text" w:yAlign="inline"/>
              <w:suppressOverlap w:val="0"/>
            </w:pPr>
            <w:r w:rsidRPr="00D95A94">
              <w:t>RER 201</w:t>
            </w:r>
            <w:r w:rsidR="00D95A94" w:rsidRPr="00D95A94">
              <w:t>6</w:t>
            </w:r>
            <w:r w:rsidRPr="00D95A94">
              <w:t>/1</w:t>
            </w:r>
            <w:r w:rsidR="00D95A94" w:rsidRPr="00D95A94">
              <w:t>7</w:t>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sidR="00BF02BC">
              <w:rPr>
                <w:noProof/>
              </w:rPr>
              <w:t>1</w:t>
            </w:r>
            <w:r>
              <w:rPr>
                <w:noProof/>
              </w:rPr>
              <w:fldChar w:fldCharType="end"/>
            </w:r>
            <w:r w:rsidRPr="004873F8">
              <w:t xml:space="preserve"> of </w:t>
            </w:r>
            <w:fldSimple w:instr=" NUMPAGES  \* Arabic  \* MERGEFORMAT ">
              <w:r w:rsidR="00BF02BC">
                <w:rPr>
                  <w:noProof/>
                </w:rPr>
                <w:t>6</w:t>
              </w:r>
            </w:fldSimple>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E13208" w:rsidP="009726E8">
            <w:pPr>
              <w:pStyle w:val="FooterDate"/>
              <w:framePr w:hSpace="0" w:wrap="auto" w:vAnchor="margin" w:hAnchor="text" w:yAlign="inline"/>
              <w:suppressOverlap w:val="0"/>
            </w:pPr>
            <w:r>
              <w:t>26 June 2015</w:t>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BF02BC">
              <w:rPr>
                <w:noProof/>
              </w:rPr>
              <w:t>2015</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p w:rsidR="001C2943" w:rsidRDefault="001C2943" w:rsidP="001C2943">
      <w:pPr>
        <w:pStyle w:val="BodyText"/>
      </w:pPr>
      <w:r>
        <w:lastRenderedPageBreak/>
        <w:t xml:space="preserve">We invite you to respond to the consultation on the </w:t>
      </w:r>
      <w:r w:rsidRPr="00D95A94">
        <w:t>Risk Evaluation Register (RER) for 201</w:t>
      </w:r>
      <w:r w:rsidR="00D95A94" w:rsidRPr="00D95A94">
        <w:t>6</w:t>
      </w:r>
      <w:r w:rsidRPr="00D95A94">
        <w:t>/1</w:t>
      </w:r>
      <w:r w:rsidR="00D95A94" w:rsidRPr="00D95A94">
        <w:t>7</w:t>
      </w:r>
      <w:r w:rsidRPr="00D95A94">
        <w:t xml:space="preserve">.  The changes we are recommending to the RER for Performance Assurance Operating Period (PAOP) </w:t>
      </w:r>
      <w:r w:rsidR="00D95A94" w:rsidRPr="00D95A94">
        <w:t>9</w:t>
      </w:r>
      <w:r w:rsidRPr="00D95A94">
        <w:t xml:space="preserve"> 1 April 201</w:t>
      </w:r>
      <w:r w:rsidR="00D95A94" w:rsidRPr="00D95A94">
        <w:t>6</w:t>
      </w:r>
      <w:r w:rsidRPr="00D95A94">
        <w:t xml:space="preserve"> to 31 March </w:t>
      </w:r>
      <w:r w:rsidR="00983AF4" w:rsidRPr="00D95A94">
        <w:t>2017</w:t>
      </w:r>
      <w:r w:rsidRPr="00D95A94">
        <w:t xml:space="preserve"> </w:t>
      </w:r>
      <w:r w:rsidR="00B228F6">
        <w:t xml:space="preserve">are </w:t>
      </w:r>
      <w:r w:rsidR="00E326B9">
        <w:t>provided in Appendix 1</w:t>
      </w:r>
      <w:r w:rsidRPr="00D95A94">
        <w:t xml:space="preserve">. The complete </w:t>
      </w:r>
      <w:r w:rsidR="00B228F6">
        <w:t xml:space="preserve">list of risks </w:t>
      </w:r>
      <w:r w:rsidRPr="00D95A94">
        <w:t xml:space="preserve">including proposed amendments is in </w:t>
      </w:r>
      <w:r w:rsidR="00B228F6">
        <w:t>RER</w:t>
      </w:r>
      <w:r w:rsidR="00983AF4">
        <w:t xml:space="preserve"> ledger</w:t>
      </w:r>
      <w:r w:rsidRPr="00983AF4">
        <w:t>.</w:t>
      </w:r>
      <w:r w:rsidRPr="00D95A94">
        <w:t xml:space="preserve"> In particular, we’d like your responses to the questions below and your reasons for those responses.</w:t>
      </w:r>
    </w:p>
    <w:p w:rsidR="00763AB3" w:rsidRPr="005462A4" w:rsidRDefault="001C2943" w:rsidP="001C2943">
      <w:pPr>
        <w:pStyle w:val="BodyText"/>
        <w:rPr>
          <w:b/>
          <w:i/>
        </w:rPr>
      </w:pPr>
      <w:r>
        <w:t xml:space="preserve">Please respond </w:t>
      </w:r>
      <w:r w:rsidRPr="00D95A94">
        <w:t>by 1</w:t>
      </w:r>
      <w:r w:rsidR="00D95A94" w:rsidRPr="00D95A94">
        <w:t>7</w:t>
      </w:r>
      <w:r w:rsidRPr="00D95A94">
        <w:t xml:space="preserve"> July 201</w:t>
      </w:r>
      <w:r w:rsidR="00D95A94" w:rsidRPr="00D95A94">
        <w:t>5</w:t>
      </w:r>
      <w:r>
        <w:t xml:space="preserve"> (we may not be able to consider late responses). </w:t>
      </w:r>
      <w:r w:rsidRPr="005462A4">
        <w:rPr>
          <w:b/>
          <w:i/>
        </w:rPr>
        <w:t>No response will be taken as agreement to any proposed changes.</w:t>
      </w:r>
    </w:p>
    <w:p w:rsidR="003655F0" w:rsidRDefault="003655F0" w:rsidP="003655F0">
      <w:pPr>
        <w:pStyle w:val="Heading"/>
      </w:pPr>
      <w:r w:rsidRPr="003655F0">
        <w:t>Your Contact Details:</w:t>
      </w:r>
    </w:p>
    <w:tbl>
      <w:tblPr>
        <w:tblStyle w:val="ElexonTable"/>
        <w:tblW w:w="5000" w:type="pct"/>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2272"/>
        <w:gridCol w:w="8046"/>
      </w:tblGrid>
      <w:tr w:rsidR="00A62C87" w:rsidRPr="00563391" w:rsidTr="00922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9220B1" w:rsidP="006738F5">
            <w:r w:rsidRPr="00204E43">
              <w:t>Respondent</w:t>
            </w:r>
          </w:p>
        </w:tc>
        <w:tc>
          <w:tcPr>
            <w:tcW w:w="3899" w:type="pct"/>
            <w:shd w:val="clear" w:color="auto" w:fill="FFFFFF" w:themeFill="background1"/>
          </w:tcPr>
          <w:p w:rsidR="00A62C87" w:rsidRPr="00204E43" w:rsidRDefault="00D6573B" w:rsidP="00DA2E5D">
            <w:pPr>
              <w:pStyle w:val="Tabletext"/>
              <w:cnfStyle w:val="100000000000" w:firstRow="1" w:lastRow="0" w:firstColumn="0" w:lastColumn="0" w:oddVBand="0" w:evenVBand="0" w:oddHBand="0" w:evenHBand="0" w:firstRowFirstColumn="0" w:firstRowLastColumn="0" w:lastRowFirstColumn="0" w:lastRowLastColumn="0"/>
            </w:pPr>
            <w:r w:rsidRPr="00204E43">
              <w:t>Your name</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Telephone contact</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Your telephone number</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9220B1" w:rsidP="006738F5">
            <w:r w:rsidRPr="00204E43">
              <w:t>Company name</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Your company name</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Number of BSC Parties</w:t>
            </w:r>
            <w:r w:rsidR="00D6573B" w:rsidRPr="00204E43">
              <w:t xml:space="preserve"> represented</w:t>
            </w:r>
            <w:r w:rsidRPr="00204E43">
              <w:t xml:space="preserve"> </w:t>
            </w:r>
          </w:p>
        </w:tc>
        <w:tc>
          <w:tcPr>
            <w:tcW w:w="3899" w:type="pct"/>
            <w:shd w:val="clear" w:color="auto" w:fill="FFFFFF" w:themeFill="background1"/>
          </w:tcPr>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Please give the total number of BSC Parties on whose </w:t>
            </w:r>
          </w:p>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behalf you are responding (including your own </w:t>
            </w:r>
          </w:p>
          <w:p w:rsidR="00A62C87"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Names of BSC Parties represented</w:t>
            </w:r>
          </w:p>
        </w:tc>
        <w:tc>
          <w:tcPr>
            <w:tcW w:w="3899" w:type="pct"/>
            <w:shd w:val="clear" w:color="auto" w:fill="FFFFFF" w:themeFill="background1"/>
          </w:tcPr>
          <w:p w:rsidR="00D6573B"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 xml:space="preserve">Please list the names of all BSC Parties on whose behalf) </w:t>
            </w:r>
          </w:p>
          <w:p w:rsidR="00A62C87" w:rsidRPr="00204E43" w:rsidRDefault="00D6573B" w:rsidP="00D6573B">
            <w:pPr>
              <w:pStyle w:val="Tabletext"/>
              <w:cnfStyle w:val="000000000000" w:firstRow="0" w:lastRow="0" w:firstColumn="0" w:lastColumn="0" w:oddVBand="0" w:evenVBand="0" w:oddHBand="0" w:evenHBand="0" w:firstRowFirstColumn="0" w:firstRowLastColumn="0" w:lastRowFirstColumn="0" w:lastRowLastColumn="0"/>
            </w:pPr>
            <w:r w:rsidRPr="00204E43">
              <w:t>you are responding (including the name of your own 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 xml:space="preserve">Number of non-Parties </w:t>
            </w:r>
            <w:r w:rsidR="00D6573B" w:rsidRPr="00204E43">
              <w:t>represented</w:t>
            </w:r>
          </w:p>
        </w:tc>
        <w:tc>
          <w:tcPr>
            <w:tcW w:w="3899" w:type="pct"/>
            <w:shd w:val="clear" w:color="auto" w:fill="FFFFFF" w:themeFill="background1"/>
          </w:tcPr>
          <w:p w:rsidR="00A62C87" w:rsidRPr="00204E43" w:rsidRDefault="00D6573B" w:rsidP="00DA2E5D">
            <w:pPr>
              <w:pStyle w:val="Tabletext"/>
              <w:cnfStyle w:val="000000000000" w:firstRow="0" w:lastRow="0" w:firstColumn="0" w:lastColumn="0" w:oddVBand="0" w:evenVBand="0" w:oddHBand="0" w:evenHBand="0" w:firstRowFirstColumn="0" w:firstRowLastColumn="0" w:lastRowFirstColumn="0" w:lastRowLastColumn="0"/>
            </w:pPr>
            <w:r w:rsidRPr="00204E43">
              <w:t>Please give the total number of non-Parties (e.g. Party  Agents, consultancies) on whose behalf you are responding (including your own organisation if relevant)</w:t>
            </w:r>
          </w:p>
        </w:tc>
      </w:tr>
      <w:tr w:rsidR="00A62C87"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A62C87" w:rsidRPr="00204E43" w:rsidRDefault="00A62C87" w:rsidP="006738F5">
            <w:r w:rsidRPr="00204E43">
              <w:t>Names of non-Parties represented</w:t>
            </w:r>
          </w:p>
        </w:tc>
        <w:tc>
          <w:tcPr>
            <w:tcW w:w="3899" w:type="pct"/>
            <w:shd w:val="clear" w:color="auto" w:fill="FFFFFF" w:themeFill="background1"/>
          </w:tcPr>
          <w:p w:rsidR="00A62C87" w:rsidRPr="00204E43" w:rsidRDefault="00804ADB" w:rsidP="00DA2E5D">
            <w:pPr>
              <w:pStyle w:val="Tabletext"/>
              <w:cnfStyle w:val="000000000000" w:firstRow="0" w:lastRow="0" w:firstColumn="0" w:lastColumn="0" w:oddVBand="0" w:evenVBand="0" w:oddHBand="0" w:evenHBand="0" w:firstRowFirstColumn="0" w:firstRowLastColumn="0" w:lastRowFirstColumn="0" w:lastRowLastColumn="0"/>
            </w:pPr>
            <w:r w:rsidRPr="00204E43">
              <w:t>Please list the names of all non-Parties on whose behalf you are responding (including the name of your own organisation if relevant)</w:t>
            </w:r>
          </w:p>
        </w:tc>
      </w:tr>
      <w:tr w:rsidR="00D6573B"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D6573B" w:rsidRPr="00204E43" w:rsidRDefault="00D6573B" w:rsidP="000F2597">
            <w:r w:rsidRPr="00204E43">
              <w:t>Role of Parties/non-Parties represented</w:t>
            </w:r>
          </w:p>
        </w:tc>
        <w:tc>
          <w:tcPr>
            <w:tcW w:w="3899" w:type="pct"/>
            <w:shd w:val="clear" w:color="auto" w:fill="FFFFFF" w:themeFill="background1"/>
          </w:tcPr>
          <w:p w:rsidR="00D6573B" w:rsidRPr="00204E43" w:rsidRDefault="00D6573B" w:rsidP="000F2597">
            <w:pPr>
              <w:cnfStyle w:val="000000000000" w:firstRow="0" w:lastRow="0" w:firstColumn="0" w:lastColumn="0" w:oddVBand="0" w:evenVBand="0" w:oddHBand="0" w:evenHBand="0" w:firstRowFirstColumn="0" w:firstRowLastColumn="0" w:lastRowFirstColumn="0" w:lastRowLastColumn="0"/>
            </w:pPr>
            <w:r w:rsidRPr="00204E43">
              <w:t>Please state the industry role of the Parties/non-Parties on whose behalf you are responding (including the role of your own organisation if relevant) – e.g. Supplier/ Generator/Trader/Consolidator/Exemptable Generator/BSC Agent/Party Agent/Distributors/ other – please state</w:t>
            </w:r>
          </w:p>
        </w:tc>
      </w:tr>
      <w:tr w:rsidR="00D6573B" w:rsidRPr="00563391" w:rsidTr="009220B1">
        <w:tc>
          <w:tcPr>
            <w:cnfStyle w:val="001000000000" w:firstRow="0" w:lastRow="0" w:firstColumn="1" w:lastColumn="0" w:oddVBand="0" w:evenVBand="0" w:oddHBand="0" w:evenHBand="0" w:firstRowFirstColumn="0" w:firstRowLastColumn="0" w:lastRowFirstColumn="0" w:lastRowLastColumn="0"/>
            <w:tcW w:w="1101" w:type="pct"/>
            <w:shd w:val="clear" w:color="auto" w:fill="FFFFFF" w:themeFill="background1"/>
          </w:tcPr>
          <w:p w:rsidR="00D6573B" w:rsidRPr="00204E43" w:rsidRDefault="00D6573B" w:rsidP="000F2597">
            <w:r w:rsidRPr="00204E43">
              <w:rPr>
                <w:color w:val="262626" w:themeColor="text1" w:themeTint="D9"/>
              </w:rPr>
              <w:t>Does this response contain confidential information?</w:t>
            </w:r>
          </w:p>
        </w:tc>
        <w:tc>
          <w:tcPr>
            <w:tcW w:w="3899" w:type="pct"/>
            <w:shd w:val="clear" w:color="auto" w:fill="FFFFFF" w:themeFill="background1"/>
          </w:tcPr>
          <w:p w:rsidR="00D6573B" w:rsidRPr="00204E43" w:rsidRDefault="00D6573B" w:rsidP="00D6573B">
            <w:pPr>
              <w:cnfStyle w:val="000000000000" w:firstRow="0" w:lastRow="0" w:firstColumn="0" w:lastColumn="0" w:oddVBand="0" w:evenVBand="0" w:oddHBand="0" w:evenHBand="0" w:firstRowFirstColumn="0" w:firstRowLastColumn="0" w:lastRowFirstColumn="0" w:lastRowLastColumn="0"/>
            </w:pPr>
            <w:r w:rsidRPr="00204E43">
              <w:t>If yes, then please clearly show which information is confidential.</w:t>
            </w:r>
          </w:p>
        </w:tc>
      </w:tr>
    </w:tbl>
    <w:p w:rsidR="003655F0" w:rsidRPr="003655F0" w:rsidRDefault="003655F0" w:rsidP="003655F0">
      <w:pPr>
        <w:pStyle w:val="BodyText"/>
      </w:pPr>
    </w:p>
    <w:tbl>
      <w:tblPr>
        <w:tblStyle w:val="ElexonTable"/>
        <w:tblW w:w="5000" w:type="pct"/>
        <w:tblLook w:val="04A0" w:firstRow="1" w:lastRow="0" w:firstColumn="1" w:lastColumn="0" w:noHBand="0" w:noVBand="1"/>
      </w:tblPr>
      <w:tblGrid>
        <w:gridCol w:w="8642"/>
        <w:gridCol w:w="1676"/>
      </w:tblGrid>
      <w:tr w:rsidR="009220B1" w:rsidRPr="00563391" w:rsidTr="006F5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pct"/>
            <w:tcBorders>
              <w:left w:val="nil"/>
              <w:bottom w:val="nil"/>
              <w:right w:val="nil"/>
            </w:tcBorders>
            <w:shd w:val="clear" w:color="auto" w:fill="FFFFFF" w:themeFill="background1"/>
          </w:tcPr>
          <w:p w:rsidR="009220B1" w:rsidRPr="00AB71AD" w:rsidRDefault="009220B1" w:rsidP="00DA2E5D">
            <w:pPr>
              <w:pStyle w:val="Tabletext"/>
            </w:pPr>
            <w:r w:rsidRPr="009220B1">
              <w:t>When we present your findings to the Performance Assurance Board in August, we intend to include your comments (unless indicated as confidential) as an attachment to the PAB paper which will be publicly available on the website after the PAB meeting.</w:t>
            </w:r>
          </w:p>
        </w:tc>
        <w:tc>
          <w:tcPr>
            <w:tcW w:w="812" w:type="pct"/>
            <w:tcBorders>
              <w:left w:val="nil"/>
              <w:bottom w:val="nil"/>
              <w:right w:val="nil"/>
            </w:tcBorders>
            <w:shd w:val="clear" w:color="auto" w:fill="FFFFFF" w:themeFill="background1"/>
          </w:tcPr>
          <w:p w:rsidR="009220B1" w:rsidRPr="00AB71AD" w:rsidRDefault="009220B1" w:rsidP="00DA2E5D">
            <w:pPr>
              <w:pStyle w:val="Tabletext"/>
              <w:cnfStyle w:val="100000000000" w:firstRow="1" w:lastRow="0" w:firstColumn="0" w:lastColumn="0" w:oddVBand="0" w:evenVBand="0" w:oddHBand="0" w:evenHBand="0" w:firstRowFirstColumn="0" w:firstRowLastColumn="0" w:lastRowFirstColumn="0" w:lastRowLastColumn="0"/>
            </w:pPr>
          </w:p>
        </w:tc>
      </w:tr>
      <w:tr w:rsidR="009220B1" w:rsidRPr="00563391" w:rsidTr="006F5FC0">
        <w:tc>
          <w:tcPr>
            <w:cnfStyle w:val="001000000000" w:firstRow="0" w:lastRow="0" w:firstColumn="1" w:lastColumn="0" w:oddVBand="0" w:evenVBand="0" w:oddHBand="0" w:evenHBand="0" w:firstRowFirstColumn="0" w:firstRowLastColumn="0" w:lastRowFirstColumn="0" w:lastRowLastColumn="0"/>
            <w:tcW w:w="4188" w:type="pct"/>
            <w:tcBorders>
              <w:top w:val="nil"/>
              <w:left w:val="nil"/>
              <w:right w:val="nil"/>
            </w:tcBorders>
          </w:tcPr>
          <w:p w:rsidR="009220B1" w:rsidRPr="00517D60" w:rsidRDefault="009220B1" w:rsidP="00DA2E5D">
            <w:pPr>
              <w:pStyle w:val="Tabletext"/>
              <w:rPr>
                <w:b/>
              </w:rPr>
            </w:pPr>
            <w:r w:rsidRPr="00517D60">
              <w:rPr>
                <w:b/>
              </w:rPr>
              <w:t>Do you agree that your comments can be published?</w:t>
            </w:r>
          </w:p>
        </w:tc>
        <w:tc>
          <w:tcPr>
            <w:tcW w:w="812" w:type="pct"/>
            <w:tcBorders>
              <w:top w:val="nil"/>
              <w:left w:val="nil"/>
              <w:right w:val="nil"/>
            </w:tcBorders>
          </w:tcPr>
          <w:p w:rsidR="009220B1" w:rsidRPr="009220B1" w:rsidRDefault="009220B1" w:rsidP="00E52D9D">
            <w:pPr>
              <w:pStyle w:val="Tablesubheadturquoise"/>
              <w:cnfStyle w:val="000000000000" w:firstRow="0" w:lastRow="0" w:firstColumn="0" w:lastColumn="0" w:oddVBand="0" w:evenVBand="0" w:oddHBand="0" w:evenHBand="0" w:firstRowFirstColumn="0" w:firstRowLastColumn="0" w:lastRowFirstColumn="0" w:lastRowLastColumn="0"/>
            </w:pPr>
            <w:r w:rsidRPr="009220B1">
              <w:t>Yes/No</w:t>
            </w:r>
          </w:p>
        </w:tc>
      </w:tr>
    </w:tbl>
    <w:p w:rsidR="003655F0" w:rsidRDefault="003655F0">
      <w:pPr>
        <w:spacing w:after="0" w:line="240" w:lineRule="auto"/>
      </w:pPr>
      <w:r>
        <w:br w:type="page"/>
      </w:r>
    </w:p>
    <w:tbl>
      <w:tblPr>
        <w:tblStyle w:val="ElexonTable"/>
        <w:tblW w:w="5000" w:type="pct"/>
        <w:tblLook w:val="04A0" w:firstRow="1" w:lastRow="0" w:firstColumn="1" w:lastColumn="0" w:noHBand="0" w:noVBand="1"/>
      </w:tblPr>
      <w:tblGrid>
        <w:gridCol w:w="1852"/>
        <w:gridCol w:w="6378"/>
        <w:gridCol w:w="2104"/>
      </w:tblGrid>
      <w:tr w:rsidR="00E41CE3" w:rsidRPr="00AB71AD" w:rsidTr="009F36C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E41CE3" w:rsidRPr="00AB71AD" w:rsidRDefault="00E41CE3" w:rsidP="00DA2E5D">
            <w:pPr>
              <w:pStyle w:val="Tableheading"/>
            </w:pPr>
            <w:r>
              <w:lastRenderedPageBreak/>
              <w:t>Question 1</w:t>
            </w:r>
          </w:p>
        </w:tc>
        <w:tc>
          <w:tcPr>
            <w:tcW w:w="3086" w:type="pct"/>
          </w:tcPr>
          <w:p w:rsidR="00E41CE3" w:rsidRPr="00AB71AD" w:rsidRDefault="00E41CE3" w:rsidP="00DA2E5D">
            <w:pPr>
              <w:pStyle w:val="Tableheading"/>
              <w:cnfStyle w:val="100000000000" w:firstRow="1" w:lastRow="0" w:firstColumn="0" w:lastColumn="0" w:oddVBand="0" w:evenVBand="0" w:oddHBand="0" w:evenHBand="0" w:firstRowFirstColumn="0" w:firstRowLastColumn="0" w:lastRowFirstColumn="0" w:lastRowLastColumn="0"/>
            </w:pPr>
            <w:r>
              <w:t>Do you agree with the proposed changes</w:t>
            </w:r>
            <w:r w:rsidR="003A183A">
              <w:t xml:space="preserve"> to SR0068 to include the new measurement classes introduced by P300</w:t>
            </w:r>
            <w:r>
              <w:t>?</w:t>
            </w:r>
          </w:p>
        </w:tc>
        <w:tc>
          <w:tcPr>
            <w:tcW w:w="1018" w:type="pct"/>
          </w:tcPr>
          <w:p w:rsidR="00E41CE3" w:rsidRPr="00AB71AD" w:rsidRDefault="00E41CE3" w:rsidP="00DA2E5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E41CE3" w:rsidRPr="00563391" w:rsidTr="009F36C6">
        <w:tc>
          <w:tcPr>
            <w:cnfStyle w:val="001000000000" w:firstRow="0" w:lastRow="0" w:firstColumn="1" w:lastColumn="0" w:oddVBand="0" w:evenVBand="0" w:oddHBand="0" w:evenHBand="0" w:firstRowFirstColumn="0" w:firstRowLastColumn="0" w:lastRowFirstColumn="0" w:lastRowLastColumn="0"/>
            <w:tcW w:w="896" w:type="pct"/>
          </w:tcPr>
          <w:p w:rsidR="00E41CE3" w:rsidRDefault="00E41CE3" w:rsidP="00DA2E5D">
            <w:pPr>
              <w:pStyle w:val="Tabletext"/>
            </w:pPr>
          </w:p>
          <w:p w:rsidR="0039342D" w:rsidRDefault="0039342D" w:rsidP="00DA2E5D">
            <w:pPr>
              <w:pStyle w:val="Tabletext"/>
            </w:pPr>
          </w:p>
          <w:p w:rsidR="0039342D" w:rsidRDefault="0039342D" w:rsidP="00DA2E5D">
            <w:pPr>
              <w:pStyle w:val="Tabletext"/>
            </w:pPr>
          </w:p>
          <w:p w:rsidR="0039342D" w:rsidRDefault="0039342D" w:rsidP="00DA2E5D">
            <w:pPr>
              <w:pStyle w:val="Tabletext"/>
            </w:pPr>
          </w:p>
          <w:p w:rsidR="0039342D" w:rsidRDefault="0039342D" w:rsidP="00DA2E5D">
            <w:pPr>
              <w:pStyle w:val="Tabletext"/>
            </w:pPr>
          </w:p>
          <w:p w:rsidR="0039342D" w:rsidRDefault="0039342D" w:rsidP="00DA2E5D">
            <w:pPr>
              <w:pStyle w:val="Tabletext"/>
            </w:pPr>
          </w:p>
          <w:p w:rsidR="0039342D" w:rsidRDefault="0039342D" w:rsidP="00DA2E5D">
            <w:pPr>
              <w:pStyle w:val="Tabletext"/>
            </w:pPr>
          </w:p>
          <w:p w:rsidR="0039342D" w:rsidRPr="00AB71AD" w:rsidRDefault="0039342D" w:rsidP="00DA2E5D">
            <w:pPr>
              <w:pStyle w:val="Tabletext"/>
            </w:pPr>
          </w:p>
        </w:tc>
        <w:tc>
          <w:tcPr>
            <w:tcW w:w="3086" w:type="pct"/>
          </w:tcPr>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Default="00E41CE3" w:rsidP="00DA2E5D">
            <w:pPr>
              <w:pStyle w:val="Tabletext"/>
              <w:cnfStyle w:val="000000000000" w:firstRow="0" w:lastRow="0" w:firstColumn="0" w:lastColumn="0" w:oddVBand="0" w:evenVBand="0" w:oddHBand="0" w:evenHBand="0" w:firstRowFirstColumn="0" w:firstRowLastColumn="0" w:lastRowFirstColumn="0" w:lastRowLastColumn="0"/>
            </w:pPr>
          </w:p>
          <w:p w:rsidR="00E41CE3" w:rsidRPr="00AB71AD" w:rsidRDefault="00E41CE3" w:rsidP="00DA2E5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E41CE3" w:rsidRPr="00AB71AD" w:rsidRDefault="00E41CE3" w:rsidP="00DA2E5D">
            <w:pPr>
              <w:pStyle w:val="Tabletext"/>
              <w:cnfStyle w:val="000000000000" w:firstRow="0" w:lastRow="0" w:firstColumn="0" w:lastColumn="0" w:oddVBand="0" w:evenVBand="0" w:oddHBand="0" w:evenHBand="0" w:firstRowFirstColumn="0" w:firstRowLastColumn="0" w:lastRowFirstColumn="0" w:lastRowLastColumn="0"/>
            </w:pPr>
          </w:p>
        </w:tc>
      </w:tr>
    </w:tbl>
    <w:p w:rsidR="00E41CE3" w:rsidRDefault="00E41CE3" w:rsidP="00763AB3"/>
    <w:tbl>
      <w:tblPr>
        <w:tblStyle w:val="ElexonTable"/>
        <w:tblW w:w="5000" w:type="pct"/>
        <w:tblLook w:val="04A0" w:firstRow="1" w:lastRow="0" w:firstColumn="1" w:lastColumn="0" w:noHBand="0" w:noVBand="1"/>
      </w:tblPr>
      <w:tblGrid>
        <w:gridCol w:w="1852"/>
        <w:gridCol w:w="6378"/>
        <w:gridCol w:w="2104"/>
      </w:tblGrid>
      <w:tr w:rsidR="003A183A" w:rsidRPr="00AB71AD" w:rsidTr="006F07CD">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3A183A" w:rsidRPr="00AB71AD" w:rsidRDefault="003A183A" w:rsidP="003A183A">
            <w:pPr>
              <w:pStyle w:val="Tableheading"/>
            </w:pPr>
            <w:r>
              <w:t>Question 2</w:t>
            </w:r>
          </w:p>
        </w:tc>
        <w:tc>
          <w:tcPr>
            <w:tcW w:w="3086" w:type="pct"/>
          </w:tcPr>
          <w:p w:rsidR="003A183A" w:rsidRPr="00AB71AD" w:rsidRDefault="003A183A" w:rsidP="00E0510A">
            <w:pPr>
              <w:pStyle w:val="Tableheading"/>
              <w:cnfStyle w:val="100000000000" w:firstRow="1" w:lastRow="0" w:firstColumn="0" w:lastColumn="0" w:oddVBand="0" w:evenVBand="0" w:oddHBand="0" w:evenHBand="0" w:firstRowFirstColumn="0" w:firstRowLastColumn="0" w:lastRowFirstColumn="0" w:lastRowLastColumn="0"/>
            </w:pPr>
            <w:r>
              <w:t xml:space="preserve">Do you agree with the proposed changes to SR0119 to </w:t>
            </w:r>
            <w:r w:rsidR="00E0510A">
              <w:t>accommodate</w:t>
            </w:r>
            <w:r>
              <w:t xml:space="preserve"> the changes introduced by P272?</w:t>
            </w:r>
          </w:p>
        </w:tc>
        <w:tc>
          <w:tcPr>
            <w:tcW w:w="1018" w:type="pct"/>
          </w:tcPr>
          <w:p w:rsidR="003A183A" w:rsidRPr="00AB71AD" w:rsidRDefault="003A183A" w:rsidP="006F07C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3A183A" w:rsidRPr="00563391" w:rsidTr="006F07CD">
        <w:tc>
          <w:tcPr>
            <w:cnfStyle w:val="001000000000" w:firstRow="0" w:lastRow="0" w:firstColumn="1" w:lastColumn="0" w:oddVBand="0" w:evenVBand="0" w:oddHBand="0" w:evenHBand="0" w:firstRowFirstColumn="0" w:firstRowLastColumn="0" w:lastRowFirstColumn="0" w:lastRowLastColumn="0"/>
            <w:tcW w:w="896" w:type="pct"/>
          </w:tcPr>
          <w:p w:rsidR="003A183A" w:rsidRDefault="003A183A"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Pr="00AB71AD" w:rsidRDefault="0039342D" w:rsidP="006F07CD">
            <w:pPr>
              <w:pStyle w:val="Tabletext"/>
            </w:pPr>
          </w:p>
        </w:tc>
        <w:tc>
          <w:tcPr>
            <w:tcW w:w="3086" w:type="pct"/>
          </w:tcPr>
          <w:p w:rsidR="003A183A" w:rsidRDefault="003A183A" w:rsidP="006F07CD">
            <w:pPr>
              <w:pStyle w:val="Tabletext"/>
              <w:cnfStyle w:val="000000000000" w:firstRow="0" w:lastRow="0" w:firstColumn="0" w:lastColumn="0" w:oddVBand="0" w:evenVBand="0" w:oddHBand="0" w:evenHBand="0" w:firstRowFirstColumn="0" w:firstRowLastColumn="0" w:lastRowFirstColumn="0" w:lastRowLastColumn="0"/>
            </w:pPr>
          </w:p>
          <w:p w:rsidR="003A183A" w:rsidRDefault="003A183A" w:rsidP="006F07CD">
            <w:pPr>
              <w:pStyle w:val="Tabletext"/>
              <w:cnfStyle w:val="000000000000" w:firstRow="0" w:lastRow="0" w:firstColumn="0" w:lastColumn="0" w:oddVBand="0" w:evenVBand="0" w:oddHBand="0" w:evenHBand="0" w:firstRowFirstColumn="0" w:firstRowLastColumn="0" w:lastRowFirstColumn="0" w:lastRowLastColumn="0"/>
            </w:pPr>
          </w:p>
          <w:p w:rsidR="003A183A" w:rsidRDefault="003A183A" w:rsidP="006F07CD">
            <w:pPr>
              <w:pStyle w:val="Tabletext"/>
              <w:cnfStyle w:val="000000000000" w:firstRow="0" w:lastRow="0" w:firstColumn="0" w:lastColumn="0" w:oddVBand="0" w:evenVBand="0" w:oddHBand="0" w:evenHBand="0" w:firstRowFirstColumn="0" w:firstRowLastColumn="0" w:lastRowFirstColumn="0" w:lastRowLastColumn="0"/>
            </w:pPr>
          </w:p>
          <w:p w:rsidR="003A183A" w:rsidRDefault="003A183A" w:rsidP="006F07CD">
            <w:pPr>
              <w:pStyle w:val="Tabletext"/>
              <w:cnfStyle w:val="000000000000" w:firstRow="0" w:lastRow="0" w:firstColumn="0" w:lastColumn="0" w:oddVBand="0" w:evenVBand="0" w:oddHBand="0" w:evenHBand="0" w:firstRowFirstColumn="0" w:firstRowLastColumn="0" w:lastRowFirstColumn="0" w:lastRowLastColumn="0"/>
            </w:pPr>
          </w:p>
          <w:p w:rsidR="003A183A" w:rsidRDefault="003A183A" w:rsidP="006F07CD">
            <w:pPr>
              <w:pStyle w:val="Tabletext"/>
              <w:cnfStyle w:val="000000000000" w:firstRow="0" w:lastRow="0" w:firstColumn="0" w:lastColumn="0" w:oddVBand="0" w:evenVBand="0" w:oddHBand="0" w:evenHBand="0" w:firstRowFirstColumn="0" w:firstRowLastColumn="0" w:lastRowFirstColumn="0" w:lastRowLastColumn="0"/>
            </w:pPr>
          </w:p>
          <w:p w:rsidR="003A183A" w:rsidRPr="00AB71AD" w:rsidRDefault="003A183A" w:rsidP="006F07C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3A183A" w:rsidRPr="00AB71AD" w:rsidRDefault="003A183A" w:rsidP="006F07CD">
            <w:pPr>
              <w:pStyle w:val="Tabletext"/>
              <w:cnfStyle w:val="000000000000" w:firstRow="0" w:lastRow="0" w:firstColumn="0" w:lastColumn="0" w:oddVBand="0" w:evenVBand="0" w:oddHBand="0" w:evenHBand="0" w:firstRowFirstColumn="0" w:firstRowLastColumn="0" w:lastRowFirstColumn="0" w:lastRowLastColumn="0"/>
            </w:pPr>
          </w:p>
        </w:tc>
      </w:tr>
    </w:tbl>
    <w:p w:rsidR="003A183A" w:rsidRDefault="003A183A" w:rsidP="00763AB3"/>
    <w:tbl>
      <w:tblPr>
        <w:tblStyle w:val="ElexonTable"/>
        <w:tblW w:w="5000" w:type="pct"/>
        <w:tblLook w:val="04A0" w:firstRow="1" w:lastRow="0" w:firstColumn="1" w:lastColumn="0" w:noHBand="0" w:noVBand="1"/>
      </w:tblPr>
      <w:tblGrid>
        <w:gridCol w:w="1852"/>
        <w:gridCol w:w="6378"/>
        <w:gridCol w:w="2104"/>
      </w:tblGrid>
      <w:tr w:rsidR="00E0510A" w:rsidRPr="00AB71AD" w:rsidTr="006F07CD">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E0510A" w:rsidRPr="00AB71AD" w:rsidRDefault="00E0510A" w:rsidP="00E0510A">
            <w:pPr>
              <w:pStyle w:val="Tableheading"/>
            </w:pPr>
            <w:r>
              <w:t>Question 3</w:t>
            </w:r>
          </w:p>
        </w:tc>
        <w:tc>
          <w:tcPr>
            <w:tcW w:w="3086" w:type="pct"/>
          </w:tcPr>
          <w:p w:rsidR="00E0510A" w:rsidRPr="00AB71AD" w:rsidRDefault="00E0510A" w:rsidP="00E0510A">
            <w:pPr>
              <w:pStyle w:val="Tableheading"/>
              <w:cnfStyle w:val="100000000000" w:firstRow="1" w:lastRow="0" w:firstColumn="0" w:lastColumn="0" w:oddVBand="0" w:evenVBand="0" w:oddHBand="0" w:evenHBand="0" w:firstRowFirstColumn="0" w:firstRowLastColumn="0" w:lastRowFirstColumn="0" w:lastRowLastColumn="0"/>
            </w:pPr>
            <w:r>
              <w:t>Do you agree with the proposed new risk SR0189 to accommodate the changes introduced by P372?</w:t>
            </w:r>
          </w:p>
        </w:tc>
        <w:tc>
          <w:tcPr>
            <w:tcW w:w="1018" w:type="pct"/>
          </w:tcPr>
          <w:p w:rsidR="00E0510A" w:rsidRPr="00AB71AD" w:rsidRDefault="00E0510A" w:rsidP="006F07C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E0510A" w:rsidRPr="00563391" w:rsidTr="006F07CD">
        <w:tc>
          <w:tcPr>
            <w:cnfStyle w:val="001000000000" w:firstRow="0" w:lastRow="0" w:firstColumn="1" w:lastColumn="0" w:oddVBand="0" w:evenVBand="0" w:oddHBand="0" w:evenHBand="0" w:firstRowFirstColumn="0" w:firstRowLastColumn="0" w:lastRowFirstColumn="0" w:lastRowLastColumn="0"/>
            <w:tcW w:w="896" w:type="pct"/>
          </w:tcPr>
          <w:p w:rsidR="00E0510A" w:rsidRDefault="00E0510A"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Default="0039342D" w:rsidP="006F07CD">
            <w:pPr>
              <w:pStyle w:val="Tabletext"/>
            </w:pPr>
          </w:p>
          <w:p w:rsidR="0039342D" w:rsidRPr="00AB71AD" w:rsidRDefault="0039342D" w:rsidP="006F07CD">
            <w:pPr>
              <w:pStyle w:val="Tabletext"/>
            </w:pPr>
          </w:p>
        </w:tc>
        <w:tc>
          <w:tcPr>
            <w:tcW w:w="3086" w:type="pct"/>
          </w:tcPr>
          <w:p w:rsidR="00E0510A" w:rsidRDefault="00E0510A" w:rsidP="006F07CD">
            <w:pPr>
              <w:pStyle w:val="Tabletext"/>
              <w:cnfStyle w:val="000000000000" w:firstRow="0" w:lastRow="0" w:firstColumn="0" w:lastColumn="0" w:oddVBand="0" w:evenVBand="0" w:oddHBand="0" w:evenHBand="0" w:firstRowFirstColumn="0" w:firstRowLastColumn="0" w:lastRowFirstColumn="0" w:lastRowLastColumn="0"/>
            </w:pPr>
          </w:p>
          <w:p w:rsidR="00E0510A" w:rsidRDefault="00E0510A" w:rsidP="006F07CD">
            <w:pPr>
              <w:pStyle w:val="Tabletext"/>
              <w:cnfStyle w:val="000000000000" w:firstRow="0" w:lastRow="0" w:firstColumn="0" w:lastColumn="0" w:oddVBand="0" w:evenVBand="0" w:oddHBand="0" w:evenHBand="0" w:firstRowFirstColumn="0" w:firstRowLastColumn="0" w:lastRowFirstColumn="0" w:lastRowLastColumn="0"/>
            </w:pPr>
          </w:p>
          <w:p w:rsidR="00E0510A" w:rsidRDefault="00E0510A" w:rsidP="006F07CD">
            <w:pPr>
              <w:pStyle w:val="Tabletext"/>
              <w:cnfStyle w:val="000000000000" w:firstRow="0" w:lastRow="0" w:firstColumn="0" w:lastColumn="0" w:oddVBand="0" w:evenVBand="0" w:oddHBand="0" w:evenHBand="0" w:firstRowFirstColumn="0" w:firstRowLastColumn="0" w:lastRowFirstColumn="0" w:lastRowLastColumn="0"/>
            </w:pPr>
          </w:p>
          <w:p w:rsidR="00E0510A" w:rsidRDefault="00E0510A" w:rsidP="006F07CD">
            <w:pPr>
              <w:pStyle w:val="Tabletext"/>
              <w:cnfStyle w:val="000000000000" w:firstRow="0" w:lastRow="0" w:firstColumn="0" w:lastColumn="0" w:oddVBand="0" w:evenVBand="0" w:oddHBand="0" w:evenHBand="0" w:firstRowFirstColumn="0" w:firstRowLastColumn="0" w:lastRowFirstColumn="0" w:lastRowLastColumn="0"/>
            </w:pPr>
          </w:p>
          <w:p w:rsidR="00E0510A" w:rsidRDefault="00E0510A" w:rsidP="006F07CD">
            <w:pPr>
              <w:pStyle w:val="Tabletext"/>
              <w:cnfStyle w:val="000000000000" w:firstRow="0" w:lastRow="0" w:firstColumn="0" w:lastColumn="0" w:oddVBand="0" w:evenVBand="0" w:oddHBand="0" w:evenHBand="0" w:firstRowFirstColumn="0" w:firstRowLastColumn="0" w:lastRowFirstColumn="0" w:lastRowLastColumn="0"/>
            </w:pPr>
          </w:p>
          <w:p w:rsidR="00E0510A" w:rsidRPr="00AB71AD" w:rsidRDefault="00E0510A" w:rsidP="006F07C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E0510A" w:rsidRPr="00AB71AD" w:rsidRDefault="00E0510A" w:rsidP="006F07CD">
            <w:pPr>
              <w:pStyle w:val="Tabletext"/>
              <w:cnfStyle w:val="000000000000" w:firstRow="0" w:lastRow="0" w:firstColumn="0" w:lastColumn="0" w:oddVBand="0" w:evenVBand="0" w:oddHBand="0" w:evenHBand="0" w:firstRowFirstColumn="0" w:firstRowLastColumn="0" w:lastRowFirstColumn="0" w:lastRowLastColumn="0"/>
            </w:pPr>
          </w:p>
        </w:tc>
      </w:tr>
    </w:tbl>
    <w:p w:rsidR="00B95508" w:rsidRDefault="00B95508" w:rsidP="00763AB3"/>
    <w:p w:rsidR="00B95508" w:rsidRDefault="00B95508">
      <w:pPr>
        <w:spacing w:after="0" w:line="240" w:lineRule="auto"/>
      </w:pPr>
      <w:r>
        <w:br w:type="page"/>
      </w:r>
    </w:p>
    <w:p w:rsidR="00E0510A" w:rsidRDefault="00E0510A" w:rsidP="00763AB3"/>
    <w:tbl>
      <w:tblPr>
        <w:tblStyle w:val="ElexonTable"/>
        <w:tblW w:w="5000" w:type="pct"/>
        <w:tblLook w:val="04A0" w:firstRow="1" w:lastRow="0" w:firstColumn="1" w:lastColumn="0" w:noHBand="0" w:noVBand="1"/>
      </w:tblPr>
      <w:tblGrid>
        <w:gridCol w:w="1852"/>
        <w:gridCol w:w="6378"/>
        <w:gridCol w:w="2104"/>
      </w:tblGrid>
      <w:tr w:rsidR="009F36C6" w:rsidRPr="00AB71AD" w:rsidTr="009F36C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B95508" w:rsidRDefault="00B95508" w:rsidP="00E0510A">
            <w:pPr>
              <w:pStyle w:val="Tableheading"/>
            </w:pPr>
          </w:p>
          <w:p w:rsidR="009F36C6" w:rsidRPr="00AB71AD" w:rsidRDefault="009F36C6" w:rsidP="00E0510A">
            <w:pPr>
              <w:pStyle w:val="Tableheading"/>
            </w:pPr>
            <w:r>
              <w:t xml:space="preserve">Question </w:t>
            </w:r>
            <w:r w:rsidR="00E0510A">
              <w:t>4</w:t>
            </w:r>
          </w:p>
        </w:tc>
        <w:tc>
          <w:tcPr>
            <w:tcW w:w="3086" w:type="pct"/>
          </w:tcPr>
          <w:p w:rsidR="009F36C6" w:rsidRPr="00AB71AD" w:rsidRDefault="009F36C6" w:rsidP="00C82B8D">
            <w:pPr>
              <w:pStyle w:val="Tableheading"/>
              <w:cnfStyle w:val="100000000000" w:firstRow="1" w:lastRow="0" w:firstColumn="0" w:lastColumn="0" w:oddVBand="0" w:evenVBand="0" w:oddHBand="0" w:evenHBand="0" w:firstRowFirstColumn="0" w:firstRowLastColumn="0" w:lastRowFirstColumn="0" w:lastRowLastColumn="0"/>
            </w:pPr>
            <w:r w:rsidRPr="003655F0">
              <w:t>Are there any Settlement Risks which your organisation believes should be added, removed or amended (description, role codes, etc) from the Risk Evaluation Register?</w:t>
            </w:r>
          </w:p>
        </w:tc>
        <w:tc>
          <w:tcPr>
            <w:tcW w:w="1018" w:type="pct"/>
          </w:tcPr>
          <w:p w:rsidR="009F36C6" w:rsidRPr="00AB71AD" w:rsidRDefault="009F36C6" w:rsidP="00C82B8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9F36C6" w:rsidRPr="00563391" w:rsidTr="009F36C6">
        <w:tc>
          <w:tcPr>
            <w:cnfStyle w:val="001000000000" w:firstRow="0" w:lastRow="0" w:firstColumn="1" w:lastColumn="0" w:oddVBand="0" w:evenVBand="0" w:oddHBand="0" w:evenHBand="0" w:firstRowFirstColumn="0" w:firstRowLastColumn="0" w:lastRowFirstColumn="0" w:lastRowLastColumn="0"/>
            <w:tcW w:w="896" w:type="pct"/>
          </w:tcPr>
          <w:p w:rsidR="009F36C6" w:rsidRPr="00AB71AD" w:rsidRDefault="009F36C6" w:rsidP="00C82B8D">
            <w:pPr>
              <w:pStyle w:val="Tabletext"/>
            </w:pPr>
          </w:p>
        </w:tc>
        <w:tc>
          <w:tcPr>
            <w:tcW w:w="3086" w:type="pct"/>
          </w:tcPr>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9F36C6" w:rsidRDefault="009F36C6" w:rsidP="00C82B8D">
            <w:pPr>
              <w:pStyle w:val="Tabletext"/>
              <w:cnfStyle w:val="000000000000" w:firstRow="0" w:lastRow="0" w:firstColumn="0" w:lastColumn="0" w:oddVBand="0" w:evenVBand="0" w:oddHBand="0" w:evenHBand="0" w:firstRowFirstColumn="0" w:firstRowLastColumn="0" w:lastRowFirstColumn="0" w:lastRowLastColumn="0"/>
            </w:pPr>
          </w:p>
          <w:p w:rsidR="0039342D" w:rsidRDefault="0039342D" w:rsidP="00C82B8D">
            <w:pPr>
              <w:pStyle w:val="Tabletext"/>
              <w:cnfStyle w:val="000000000000" w:firstRow="0" w:lastRow="0" w:firstColumn="0" w:lastColumn="0" w:oddVBand="0" w:evenVBand="0" w:oddHBand="0" w:evenHBand="0" w:firstRowFirstColumn="0" w:firstRowLastColumn="0" w:lastRowFirstColumn="0" w:lastRowLastColumn="0"/>
            </w:pPr>
          </w:p>
          <w:p w:rsidR="0039342D" w:rsidRDefault="0039342D" w:rsidP="00C82B8D">
            <w:pPr>
              <w:pStyle w:val="Tabletext"/>
              <w:cnfStyle w:val="000000000000" w:firstRow="0" w:lastRow="0" w:firstColumn="0" w:lastColumn="0" w:oddVBand="0" w:evenVBand="0" w:oddHBand="0" w:evenHBand="0" w:firstRowFirstColumn="0" w:firstRowLastColumn="0" w:lastRowFirstColumn="0" w:lastRowLastColumn="0"/>
            </w:pPr>
          </w:p>
          <w:p w:rsidR="0039342D" w:rsidRPr="00AB71AD" w:rsidRDefault="0039342D" w:rsidP="00C82B8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9F36C6" w:rsidRPr="00AB71AD" w:rsidRDefault="009F36C6" w:rsidP="00C82B8D">
            <w:pPr>
              <w:pStyle w:val="Tabletext"/>
              <w:cnfStyle w:val="000000000000" w:firstRow="0" w:lastRow="0" w:firstColumn="0" w:lastColumn="0" w:oddVBand="0" w:evenVBand="0" w:oddHBand="0" w:evenHBand="0" w:firstRowFirstColumn="0" w:firstRowLastColumn="0" w:lastRowFirstColumn="0" w:lastRowLastColumn="0"/>
            </w:pPr>
          </w:p>
        </w:tc>
      </w:tr>
    </w:tbl>
    <w:p w:rsidR="00E41CE3" w:rsidRDefault="00E41CE3" w:rsidP="00763AB3"/>
    <w:tbl>
      <w:tblPr>
        <w:tblStyle w:val="ElexonTable"/>
        <w:tblW w:w="5000" w:type="pct"/>
        <w:tblLook w:val="04A0" w:firstRow="1" w:lastRow="0" w:firstColumn="1" w:lastColumn="0" w:noHBand="0" w:noVBand="1"/>
      </w:tblPr>
      <w:tblGrid>
        <w:gridCol w:w="1852"/>
        <w:gridCol w:w="6378"/>
        <w:gridCol w:w="2104"/>
      </w:tblGrid>
      <w:tr w:rsidR="003655F0" w:rsidRPr="00AB71AD" w:rsidTr="009F36C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96" w:type="pct"/>
          </w:tcPr>
          <w:p w:rsidR="003655F0" w:rsidRPr="00AB71AD" w:rsidRDefault="003655F0" w:rsidP="00E0510A">
            <w:pPr>
              <w:pStyle w:val="Tableheading"/>
            </w:pPr>
            <w:r>
              <w:t xml:space="preserve">Question </w:t>
            </w:r>
            <w:r w:rsidR="00E0510A">
              <w:t>5</w:t>
            </w:r>
          </w:p>
        </w:tc>
        <w:tc>
          <w:tcPr>
            <w:tcW w:w="3086" w:type="pct"/>
          </w:tcPr>
          <w:p w:rsidR="003655F0" w:rsidRPr="00AB71AD" w:rsidRDefault="009F36C6" w:rsidP="00C82B8D">
            <w:pPr>
              <w:pStyle w:val="Tableheading"/>
              <w:cnfStyle w:val="100000000000" w:firstRow="1" w:lastRow="0" w:firstColumn="0" w:lastColumn="0" w:oddVBand="0" w:evenVBand="0" w:oddHBand="0" w:evenHBand="0" w:firstRowFirstColumn="0" w:firstRowLastColumn="0" w:lastRowFirstColumn="0" w:lastRowLastColumn="0"/>
            </w:pPr>
            <w:r w:rsidRPr="009F36C6">
              <w:t>Please provide any further comments you may have on the Risk Evaluation Register and, where necessary, clearly specifying the Settlement Risk.</w:t>
            </w:r>
          </w:p>
        </w:tc>
        <w:tc>
          <w:tcPr>
            <w:tcW w:w="1018" w:type="pct"/>
          </w:tcPr>
          <w:p w:rsidR="003655F0" w:rsidRPr="00AB71AD" w:rsidRDefault="003655F0" w:rsidP="00C82B8D">
            <w:pPr>
              <w:pStyle w:val="Tableheading"/>
              <w:cnfStyle w:val="100000000000" w:firstRow="1" w:lastRow="0" w:firstColumn="0" w:lastColumn="0" w:oddVBand="0" w:evenVBand="0" w:oddHBand="0" w:evenHBand="0" w:firstRowFirstColumn="0" w:firstRowLastColumn="0" w:lastRowFirstColumn="0" w:lastRowLastColumn="0"/>
            </w:pPr>
            <w:r>
              <w:t>Response: Y/N</w:t>
            </w:r>
          </w:p>
        </w:tc>
      </w:tr>
      <w:tr w:rsidR="003655F0" w:rsidRPr="00563391" w:rsidTr="009F36C6">
        <w:tc>
          <w:tcPr>
            <w:cnfStyle w:val="001000000000" w:firstRow="0" w:lastRow="0" w:firstColumn="1" w:lastColumn="0" w:oddVBand="0" w:evenVBand="0" w:oddHBand="0" w:evenHBand="0" w:firstRowFirstColumn="0" w:firstRowLastColumn="0" w:lastRowFirstColumn="0" w:lastRowLastColumn="0"/>
            <w:tcW w:w="896" w:type="pct"/>
          </w:tcPr>
          <w:p w:rsidR="003655F0" w:rsidRPr="00AB71AD" w:rsidRDefault="003655F0" w:rsidP="00C82B8D">
            <w:pPr>
              <w:pStyle w:val="Tabletext"/>
            </w:pPr>
          </w:p>
        </w:tc>
        <w:tc>
          <w:tcPr>
            <w:tcW w:w="3086" w:type="pct"/>
          </w:tcPr>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Default="003655F0" w:rsidP="00C82B8D">
            <w:pPr>
              <w:pStyle w:val="Tabletext"/>
              <w:cnfStyle w:val="000000000000" w:firstRow="0" w:lastRow="0" w:firstColumn="0" w:lastColumn="0" w:oddVBand="0" w:evenVBand="0" w:oddHBand="0" w:evenHBand="0" w:firstRowFirstColumn="0" w:firstRowLastColumn="0" w:lastRowFirstColumn="0" w:lastRowLastColumn="0"/>
            </w:pPr>
          </w:p>
          <w:p w:rsidR="0039342D" w:rsidRDefault="0039342D" w:rsidP="00C82B8D">
            <w:pPr>
              <w:pStyle w:val="Tabletext"/>
              <w:cnfStyle w:val="000000000000" w:firstRow="0" w:lastRow="0" w:firstColumn="0" w:lastColumn="0" w:oddVBand="0" w:evenVBand="0" w:oddHBand="0" w:evenHBand="0" w:firstRowFirstColumn="0" w:firstRowLastColumn="0" w:lastRowFirstColumn="0" w:lastRowLastColumn="0"/>
            </w:pPr>
          </w:p>
          <w:p w:rsidR="0039342D" w:rsidRDefault="0039342D" w:rsidP="00C82B8D">
            <w:pPr>
              <w:pStyle w:val="Tabletext"/>
              <w:cnfStyle w:val="000000000000" w:firstRow="0" w:lastRow="0" w:firstColumn="0" w:lastColumn="0" w:oddVBand="0" w:evenVBand="0" w:oddHBand="0" w:evenHBand="0" w:firstRowFirstColumn="0" w:firstRowLastColumn="0" w:lastRowFirstColumn="0" w:lastRowLastColumn="0"/>
            </w:pPr>
          </w:p>
          <w:p w:rsidR="0039342D" w:rsidRDefault="0039342D" w:rsidP="00C82B8D">
            <w:pPr>
              <w:pStyle w:val="Tabletext"/>
              <w:cnfStyle w:val="000000000000" w:firstRow="0" w:lastRow="0" w:firstColumn="0" w:lastColumn="0" w:oddVBand="0" w:evenVBand="0" w:oddHBand="0" w:evenHBand="0" w:firstRowFirstColumn="0" w:firstRowLastColumn="0" w:lastRowFirstColumn="0" w:lastRowLastColumn="0"/>
            </w:pPr>
          </w:p>
          <w:p w:rsidR="003655F0" w:rsidRPr="00AB71AD" w:rsidRDefault="003655F0" w:rsidP="00C82B8D">
            <w:pPr>
              <w:pStyle w:val="Tabletext"/>
              <w:cnfStyle w:val="000000000000" w:firstRow="0" w:lastRow="0" w:firstColumn="0" w:lastColumn="0" w:oddVBand="0" w:evenVBand="0" w:oddHBand="0" w:evenHBand="0" w:firstRowFirstColumn="0" w:firstRowLastColumn="0" w:lastRowFirstColumn="0" w:lastRowLastColumn="0"/>
            </w:pPr>
          </w:p>
        </w:tc>
        <w:tc>
          <w:tcPr>
            <w:tcW w:w="1018" w:type="pct"/>
          </w:tcPr>
          <w:p w:rsidR="003655F0" w:rsidRPr="00AB71AD" w:rsidRDefault="003655F0" w:rsidP="00C82B8D">
            <w:pPr>
              <w:pStyle w:val="Tabletext"/>
              <w:cnfStyle w:val="000000000000" w:firstRow="0" w:lastRow="0" w:firstColumn="0" w:lastColumn="0" w:oddVBand="0" w:evenVBand="0" w:oddHBand="0" w:evenHBand="0" w:firstRowFirstColumn="0" w:firstRowLastColumn="0" w:lastRowFirstColumn="0" w:lastRowLastColumn="0"/>
            </w:pPr>
          </w:p>
        </w:tc>
      </w:tr>
    </w:tbl>
    <w:p w:rsidR="00E41CE3" w:rsidRDefault="00E41CE3" w:rsidP="00763AB3"/>
    <w:p w:rsidR="00E41CE3" w:rsidRDefault="00E41CE3" w:rsidP="00763AB3"/>
    <w:p w:rsidR="009F36C6" w:rsidRDefault="009F36C6">
      <w:pPr>
        <w:spacing w:after="0" w:line="240" w:lineRule="auto"/>
      </w:pPr>
      <w:r>
        <w:br w:type="page"/>
      </w:r>
    </w:p>
    <w:p w:rsidR="005D25D5" w:rsidRDefault="005D25D5" w:rsidP="005D25D5">
      <w:pPr>
        <w:pStyle w:val="Heading"/>
      </w:pPr>
      <w:r>
        <w:lastRenderedPageBreak/>
        <w:t>Further Information</w:t>
      </w:r>
    </w:p>
    <w:p w:rsidR="005D25D5" w:rsidRDefault="005D25D5" w:rsidP="005D25D5"/>
    <w:p w:rsidR="005D25D5" w:rsidRDefault="005D25D5" w:rsidP="005D25D5">
      <w:r>
        <w:t>To help us process your response, please:</w:t>
      </w:r>
    </w:p>
    <w:p w:rsidR="005D25D5" w:rsidRDefault="005D25D5" w:rsidP="00C02B81">
      <w:pPr>
        <w:pStyle w:val="ListBullet"/>
      </w:pPr>
      <w:r>
        <w:t xml:space="preserve">Email your completed response form to melinda.anderson@elexon.co.uk; </w:t>
      </w:r>
    </w:p>
    <w:p w:rsidR="002059E2" w:rsidRDefault="005D25D5" w:rsidP="005D25D5">
      <w:r>
        <w:t>The Performance Assurance Board will consider your consultation response at its meeting in August 2013. Thank you for your time.</w:t>
      </w:r>
    </w:p>
    <w:p w:rsidR="005D25D5" w:rsidRDefault="005D25D5" w:rsidP="005D25D5"/>
    <w:p w:rsidR="005D25D5" w:rsidRDefault="005D25D5" w:rsidP="005D25D5"/>
    <w:p w:rsidR="005D25D5" w:rsidRDefault="005D25D5" w:rsidP="005D25D5">
      <w:pPr>
        <w:pStyle w:val="Heading"/>
      </w:pPr>
      <w:r>
        <w:t>Any questions?</w:t>
      </w:r>
    </w:p>
    <w:p w:rsidR="005D25D5" w:rsidRDefault="005D25D5" w:rsidP="005D25D5">
      <w:r>
        <w:t>Contact: Melinda Anderson</w:t>
      </w:r>
    </w:p>
    <w:p w:rsidR="005D25D5" w:rsidRDefault="005D25D5" w:rsidP="005D25D5">
      <w:r>
        <w:t xml:space="preserve">Email: melinda.anderson@elexon.co.uk   </w:t>
      </w:r>
    </w:p>
    <w:p w:rsidR="005D25D5" w:rsidRDefault="005D25D5" w:rsidP="005D25D5">
      <w:r>
        <w:t>Telephone: 0</w:t>
      </w:r>
      <w:r w:rsidR="00045ED6">
        <w:t>7551124688</w:t>
      </w:r>
    </w:p>
    <w:p w:rsidR="005D25D5" w:rsidRDefault="005D25D5" w:rsidP="005D25D5"/>
    <w:p w:rsidR="00B95508" w:rsidRDefault="00B95508">
      <w:pPr>
        <w:spacing w:after="0" w:line="240" w:lineRule="auto"/>
        <w:sectPr w:rsidR="00B95508" w:rsidSect="00FA38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62" w:right="794" w:bottom="1928" w:left="794" w:header="879" w:footer="539" w:gutter="0"/>
          <w:cols w:space="708"/>
          <w:docGrid w:linePitch="360"/>
        </w:sectPr>
      </w:pPr>
    </w:p>
    <w:p w:rsidR="005D25D5" w:rsidRDefault="00B95508" w:rsidP="00B95508">
      <w:pPr>
        <w:pStyle w:val="Sectionheading"/>
      </w:pPr>
      <w:r>
        <w:lastRenderedPageBreak/>
        <w:t>Appendix 1</w:t>
      </w:r>
    </w:p>
    <w:p w:rsidR="00B95508" w:rsidRDefault="00B95508" w:rsidP="00B95508">
      <w:pPr>
        <w:pStyle w:val="Heading"/>
      </w:pPr>
      <w:r>
        <w:t>Proposed changes to RER 2016/17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1292"/>
        <w:gridCol w:w="2268"/>
        <w:gridCol w:w="989"/>
        <w:gridCol w:w="1528"/>
        <w:gridCol w:w="989"/>
        <w:gridCol w:w="1637"/>
        <w:gridCol w:w="1394"/>
        <w:gridCol w:w="748"/>
        <w:gridCol w:w="2000"/>
      </w:tblGrid>
      <w:tr w:rsidR="00B95508" w:rsidRPr="00B95508" w:rsidTr="006F07CD">
        <w:trPr>
          <w:trHeight w:val="1134"/>
          <w:tblHeader/>
        </w:trPr>
        <w:tc>
          <w:tcPr>
            <w:tcW w:w="401" w:type="pct"/>
            <w:shd w:val="clear" w:color="auto" w:fill="008080"/>
            <w:hideMark/>
          </w:tcPr>
          <w:p w:rsidR="00B95508" w:rsidRPr="00B95508" w:rsidRDefault="00B95508" w:rsidP="006F07CD">
            <w:pPr>
              <w:spacing w:after="0" w:line="240" w:lineRule="auto"/>
              <w:rPr>
                <w:rFonts w:cstheme="minorHAnsi"/>
                <w:b/>
                <w:bCs/>
                <w:color w:val="FFFFFF"/>
                <w:sz w:val="18"/>
                <w:szCs w:val="18"/>
              </w:rPr>
            </w:pPr>
            <w:r w:rsidRPr="00B95508">
              <w:rPr>
                <w:rFonts w:cstheme="minorHAnsi"/>
                <w:b/>
                <w:bCs/>
                <w:color w:val="FFFFFF"/>
                <w:sz w:val="18"/>
                <w:szCs w:val="18"/>
              </w:rPr>
              <w:t>SRIN</w:t>
            </w:r>
          </w:p>
        </w:tc>
        <w:tc>
          <w:tcPr>
            <w:tcW w:w="463" w:type="pct"/>
            <w:shd w:val="clear" w:color="auto" w:fill="008080"/>
          </w:tcPr>
          <w:p w:rsidR="00B95508" w:rsidRPr="00B95508" w:rsidRDefault="00B95508" w:rsidP="006F07CD">
            <w:pPr>
              <w:spacing w:after="0" w:line="240" w:lineRule="auto"/>
              <w:rPr>
                <w:rFonts w:cstheme="minorHAnsi"/>
                <w:b/>
                <w:bCs/>
                <w:color w:val="FFFFFF"/>
                <w:sz w:val="18"/>
                <w:szCs w:val="18"/>
              </w:rPr>
            </w:pPr>
            <w:r w:rsidRPr="00B95508">
              <w:rPr>
                <w:rFonts w:cstheme="minorHAnsi"/>
                <w:b/>
                <w:bCs/>
                <w:color w:val="FFFFFF"/>
                <w:sz w:val="18"/>
                <w:szCs w:val="18"/>
              </w:rPr>
              <w:t>EFD</w:t>
            </w:r>
          </w:p>
        </w:tc>
        <w:tc>
          <w:tcPr>
            <w:tcW w:w="812" w:type="pct"/>
            <w:shd w:val="clear" w:color="auto" w:fill="008080"/>
            <w:hideMark/>
          </w:tcPr>
          <w:p w:rsidR="00B95508" w:rsidRPr="00B95508" w:rsidRDefault="00B95508" w:rsidP="006F07CD">
            <w:pPr>
              <w:spacing w:after="0" w:line="240" w:lineRule="auto"/>
              <w:rPr>
                <w:rFonts w:cstheme="minorHAnsi"/>
                <w:b/>
                <w:bCs/>
                <w:color w:val="FFFFFF"/>
                <w:sz w:val="18"/>
                <w:szCs w:val="18"/>
              </w:rPr>
            </w:pPr>
            <w:r w:rsidRPr="00B95508">
              <w:rPr>
                <w:rFonts w:cstheme="minorHAnsi"/>
                <w:b/>
                <w:bCs/>
                <w:color w:val="FFFFFF"/>
                <w:sz w:val="18"/>
                <w:szCs w:val="18"/>
              </w:rPr>
              <w:t>Risk Description</w:t>
            </w:r>
          </w:p>
        </w:tc>
        <w:tc>
          <w:tcPr>
            <w:tcW w:w="354" w:type="pct"/>
            <w:shd w:val="clear" w:color="auto" w:fill="008080"/>
            <w:hideMark/>
          </w:tcPr>
          <w:p w:rsidR="00B95508" w:rsidRPr="00B95508" w:rsidRDefault="00B95508" w:rsidP="006F07CD">
            <w:pPr>
              <w:spacing w:after="0" w:line="240" w:lineRule="auto"/>
              <w:jc w:val="center"/>
              <w:rPr>
                <w:rFonts w:cstheme="minorHAnsi"/>
                <w:b/>
                <w:bCs/>
                <w:color w:val="FFFFFF"/>
                <w:sz w:val="18"/>
                <w:szCs w:val="18"/>
              </w:rPr>
            </w:pPr>
            <w:r w:rsidRPr="00B95508">
              <w:rPr>
                <w:rFonts w:cstheme="minorHAnsi"/>
                <w:b/>
                <w:bCs/>
                <w:color w:val="FFFFFF"/>
                <w:sz w:val="18"/>
                <w:szCs w:val="18"/>
              </w:rPr>
              <w:t>Gross Prob.</w:t>
            </w:r>
          </w:p>
        </w:tc>
        <w:tc>
          <w:tcPr>
            <w:tcW w:w="547" w:type="pct"/>
            <w:shd w:val="clear" w:color="auto" w:fill="008080"/>
            <w:hideMark/>
          </w:tcPr>
          <w:p w:rsidR="00B95508" w:rsidRPr="00B95508" w:rsidRDefault="00B95508" w:rsidP="006F07CD">
            <w:pPr>
              <w:spacing w:after="0" w:line="240" w:lineRule="auto"/>
              <w:jc w:val="center"/>
              <w:rPr>
                <w:rFonts w:cstheme="minorHAnsi"/>
                <w:b/>
                <w:bCs/>
                <w:color w:val="FFFFFF"/>
                <w:sz w:val="18"/>
                <w:szCs w:val="18"/>
              </w:rPr>
            </w:pPr>
            <w:r w:rsidRPr="00B95508">
              <w:rPr>
                <w:rFonts w:cstheme="minorHAnsi"/>
                <w:b/>
                <w:bCs/>
                <w:color w:val="FFFFFF"/>
                <w:sz w:val="18"/>
                <w:szCs w:val="18"/>
              </w:rPr>
              <w:t>Gross Imp.</w:t>
            </w:r>
          </w:p>
        </w:tc>
        <w:tc>
          <w:tcPr>
            <w:tcW w:w="354" w:type="pct"/>
            <w:shd w:val="clear" w:color="auto" w:fill="008080"/>
            <w:hideMark/>
          </w:tcPr>
          <w:p w:rsidR="00B95508" w:rsidRPr="00B95508" w:rsidRDefault="00B95508" w:rsidP="006F07CD">
            <w:pPr>
              <w:spacing w:after="0" w:line="240" w:lineRule="auto"/>
              <w:jc w:val="center"/>
              <w:rPr>
                <w:rFonts w:cstheme="minorHAnsi"/>
                <w:b/>
                <w:bCs/>
                <w:color w:val="FFFFFF"/>
                <w:sz w:val="18"/>
                <w:szCs w:val="18"/>
              </w:rPr>
            </w:pPr>
            <w:r w:rsidRPr="00B95508">
              <w:rPr>
                <w:rFonts w:cstheme="minorHAnsi"/>
                <w:b/>
                <w:bCs/>
                <w:color w:val="FFFFFF"/>
                <w:sz w:val="18"/>
                <w:szCs w:val="18"/>
              </w:rPr>
              <w:t>Gross Sig.</w:t>
            </w:r>
          </w:p>
        </w:tc>
        <w:tc>
          <w:tcPr>
            <w:tcW w:w="586" w:type="pct"/>
            <w:shd w:val="clear" w:color="auto" w:fill="008080"/>
            <w:hideMark/>
          </w:tcPr>
          <w:p w:rsidR="00B95508" w:rsidRPr="00B95508" w:rsidRDefault="00B95508" w:rsidP="006F07CD">
            <w:pPr>
              <w:spacing w:after="0" w:line="240" w:lineRule="auto"/>
              <w:rPr>
                <w:rFonts w:cstheme="minorHAnsi"/>
                <w:b/>
                <w:bCs/>
                <w:color w:val="FFFFFF"/>
                <w:sz w:val="18"/>
                <w:szCs w:val="18"/>
              </w:rPr>
            </w:pPr>
            <w:r w:rsidRPr="00B95508">
              <w:rPr>
                <w:rFonts w:cstheme="minorHAnsi"/>
                <w:b/>
                <w:bCs/>
                <w:color w:val="FFFFFF"/>
                <w:sz w:val="18"/>
                <w:szCs w:val="18"/>
              </w:rPr>
              <w:t>Noted Controls</w:t>
            </w:r>
          </w:p>
        </w:tc>
        <w:tc>
          <w:tcPr>
            <w:tcW w:w="499" w:type="pct"/>
            <w:shd w:val="clear" w:color="auto" w:fill="008080"/>
            <w:hideMark/>
          </w:tcPr>
          <w:p w:rsidR="00B95508" w:rsidRPr="00B95508" w:rsidRDefault="00B95508" w:rsidP="006F07CD">
            <w:pPr>
              <w:spacing w:after="0" w:line="240" w:lineRule="auto"/>
              <w:rPr>
                <w:rFonts w:cstheme="minorHAnsi"/>
                <w:b/>
                <w:bCs/>
                <w:color w:val="FFFFFF"/>
                <w:sz w:val="18"/>
                <w:szCs w:val="18"/>
              </w:rPr>
            </w:pPr>
            <w:r w:rsidRPr="00B95508">
              <w:rPr>
                <w:rFonts w:cstheme="minorHAnsi"/>
                <w:b/>
                <w:bCs/>
                <w:color w:val="FFFFFF"/>
                <w:sz w:val="18"/>
                <w:szCs w:val="18"/>
              </w:rPr>
              <w:t>Control Strength</w:t>
            </w:r>
          </w:p>
        </w:tc>
        <w:tc>
          <w:tcPr>
            <w:tcW w:w="268" w:type="pct"/>
            <w:shd w:val="clear" w:color="auto" w:fill="008080"/>
            <w:hideMark/>
          </w:tcPr>
          <w:p w:rsidR="00B95508" w:rsidRPr="00B95508" w:rsidRDefault="00B95508" w:rsidP="006F07CD">
            <w:pPr>
              <w:spacing w:after="0" w:line="240" w:lineRule="auto"/>
              <w:jc w:val="center"/>
              <w:rPr>
                <w:rFonts w:cstheme="minorHAnsi"/>
                <w:b/>
                <w:bCs/>
                <w:color w:val="FFFFFF"/>
                <w:sz w:val="18"/>
                <w:szCs w:val="18"/>
              </w:rPr>
            </w:pPr>
            <w:r w:rsidRPr="00B95508">
              <w:rPr>
                <w:rFonts w:cstheme="minorHAnsi"/>
                <w:b/>
                <w:bCs/>
                <w:color w:val="FFFFFF"/>
                <w:sz w:val="18"/>
                <w:szCs w:val="18"/>
              </w:rPr>
              <w:t>Net Sig.</w:t>
            </w:r>
          </w:p>
        </w:tc>
        <w:tc>
          <w:tcPr>
            <w:tcW w:w="716" w:type="pct"/>
            <w:shd w:val="clear" w:color="auto" w:fill="008080"/>
          </w:tcPr>
          <w:p w:rsidR="00B95508" w:rsidRPr="00B95508" w:rsidRDefault="00B95508" w:rsidP="006F07CD">
            <w:pPr>
              <w:spacing w:after="0" w:line="240" w:lineRule="auto"/>
              <w:jc w:val="center"/>
              <w:rPr>
                <w:rFonts w:cstheme="minorHAnsi"/>
                <w:b/>
                <w:bCs/>
                <w:color w:val="FFFFFF"/>
                <w:sz w:val="18"/>
                <w:szCs w:val="18"/>
              </w:rPr>
            </w:pPr>
            <w:r w:rsidRPr="00B95508">
              <w:rPr>
                <w:rFonts w:cstheme="minorHAnsi"/>
                <w:b/>
                <w:bCs/>
                <w:color w:val="FFFFFF"/>
                <w:sz w:val="18"/>
                <w:szCs w:val="18"/>
              </w:rPr>
              <w:t>Rationale for change</w:t>
            </w:r>
          </w:p>
        </w:tc>
      </w:tr>
      <w:tr w:rsidR="00B95508" w:rsidRPr="00B95508" w:rsidTr="006F07CD">
        <w:trPr>
          <w:trHeight w:val="2835"/>
        </w:trPr>
        <w:tc>
          <w:tcPr>
            <w:tcW w:w="401" w:type="pct"/>
            <w:hideMark/>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SR0068</w:t>
            </w:r>
          </w:p>
        </w:tc>
        <w:tc>
          <w:tcPr>
            <w:tcW w:w="463" w:type="pct"/>
          </w:tcPr>
          <w:p w:rsidR="00B95508" w:rsidRPr="00B95508" w:rsidRDefault="00B95508" w:rsidP="006F07CD">
            <w:pPr>
              <w:spacing w:after="0" w:line="240" w:lineRule="auto"/>
              <w:rPr>
                <w:rFonts w:cstheme="minorHAnsi"/>
                <w:color w:val="FF0000"/>
                <w:sz w:val="18"/>
                <w:szCs w:val="18"/>
              </w:rPr>
            </w:pPr>
            <w:r w:rsidRPr="00B95508">
              <w:rPr>
                <w:rFonts w:cstheme="minorHAnsi"/>
                <w:color w:val="auto"/>
                <w:sz w:val="18"/>
                <w:szCs w:val="18"/>
              </w:rPr>
              <w:t>5 Nov 2015</w:t>
            </w:r>
          </w:p>
        </w:tc>
        <w:tc>
          <w:tcPr>
            <w:tcW w:w="812" w:type="pct"/>
            <w:hideMark/>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 xml:space="preserve">The risk that Measurement Class 'E', </w:t>
            </w:r>
            <w:r w:rsidRPr="00B95508">
              <w:rPr>
                <w:rFonts w:cstheme="minorHAnsi"/>
                <w:color w:val="FF0000"/>
                <w:sz w:val="18"/>
                <w:szCs w:val="18"/>
              </w:rPr>
              <w:t>‘F’ and ‘G’</w:t>
            </w:r>
            <w:r w:rsidRPr="00B95508">
              <w:rPr>
                <w:rFonts w:cstheme="minorHAnsi"/>
                <w:color w:val="000000"/>
                <w:sz w:val="18"/>
                <w:szCs w:val="18"/>
              </w:rPr>
              <w:t xml:space="preserve"> sites that </w:t>
            </w:r>
            <w:r w:rsidRPr="00B95508">
              <w:rPr>
                <w:rFonts w:cstheme="minorHAnsi"/>
                <w:color w:val="FF0000"/>
                <w:sz w:val="18"/>
                <w:szCs w:val="18"/>
              </w:rPr>
              <w:t xml:space="preserve">subsequently </w:t>
            </w:r>
            <w:r w:rsidRPr="00B95508">
              <w:rPr>
                <w:rFonts w:cstheme="minorHAnsi"/>
                <w:color w:val="000000"/>
                <w:sz w:val="18"/>
                <w:szCs w:val="18"/>
              </w:rPr>
              <w:t xml:space="preserve">meet the criteria for </w:t>
            </w:r>
            <w:r w:rsidRPr="00B95508">
              <w:rPr>
                <w:rFonts w:cstheme="minorHAnsi"/>
                <w:color w:val="FF0000"/>
                <w:sz w:val="18"/>
                <w:szCs w:val="18"/>
              </w:rPr>
              <w:t xml:space="preserve">100kW Metering </w:t>
            </w:r>
            <w:r w:rsidRPr="00B95508">
              <w:rPr>
                <w:rFonts w:cstheme="minorHAnsi"/>
                <w:dstrike/>
                <w:color w:val="auto"/>
                <w:sz w:val="18"/>
                <w:szCs w:val="18"/>
              </w:rPr>
              <w:t>for m</w:t>
            </w:r>
            <w:r w:rsidRPr="00B95508">
              <w:rPr>
                <w:rFonts w:cstheme="minorHAnsi"/>
                <w:dstrike/>
                <w:color w:val="000000"/>
                <w:sz w:val="18"/>
                <w:szCs w:val="18"/>
              </w:rPr>
              <w:t>andatory HH metering</w:t>
            </w:r>
            <w:r w:rsidRPr="00B95508">
              <w:rPr>
                <w:rFonts w:cstheme="minorHAnsi"/>
                <w:color w:val="000000"/>
                <w:sz w:val="18"/>
                <w:szCs w:val="18"/>
              </w:rPr>
              <w:t xml:space="preserve"> </w:t>
            </w:r>
            <w:r w:rsidRPr="00B95508">
              <w:rPr>
                <w:rFonts w:cstheme="minorHAnsi"/>
                <w:color w:val="FF0000"/>
                <w:sz w:val="18"/>
                <w:szCs w:val="18"/>
              </w:rPr>
              <w:t>Systems</w:t>
            </w:r>
            <w:r w:rsidRPr="00B95508">
              <w:rPr>
                <w:rFonts w:cstheme="minorHAnsi"/>
                <w:color w:val="000000"/>
                <w:sz w:val="18"/>
                <w:szCs w:val="18"/>
              </w:rPr>
              <w:t xml:space="preserve"> are not registered as Measurement Class ‘C’ within required timescales resulting in data being collected outside required timescales </w:t>
            </w:r>
            <w:r w:rsidRPr="00B95508">
              <w:rPr>
                <w:rFonts w:cstheme="minorHAnsi"/>
                <w:color w:val="FF0000"/>
                <w:sz w:val="18"/>
                <w:szCs w:val="18"/>
              </w:rPr>
              <w:t>and inaccurate data entering Settlement.</w:t>
            </w:r>
          </w:p>
        </w:tc>
        <w:tc>
          <w:tcPr>
            <w:tcW w:w="354" w:type="pct"/>
            <w:hideMark/>
          </w:tcPr>
          <w:p w:rsidR="00B95508" w:rsidRPr="00B95508" w:rsidRDefault="00B95508" w:rsidP="006F07CD">
            <w:pPr>
              <w:spacing w:after="0" w:line="240" w:lineRule="auto"/>
              <w:jc w:val="center"/>
              <w:rPr>
                <w:rFonts w:cstheme="minorHAnsi"/>
                <w:color w:val="000000"/>
                <w:sz w:val="18"/>
                <w:szCs w:val="18"/>
              </w:rPr>
            </w:pPr>
            <w:r w:rsidRPr="00B95508">
              <w:rPr>
                <w:rFonts w:cstheme="minorHAnsi"/>
                <w:color w:val="000000"/>
                <w:sz w:val="18"/>
                <w:szCs w:val="18"/>
              </w:rPr>
              <w:t>2</w:t>
            </w:r>
          </w:p>
        </w:tc>
        <w:tc>
          <w:tcPr>
            <w:tcW w:w="547" w:type="pct"/>
            <w:hideMark/>
          </w:tcPr>
          <w:p w:rsidR="00B95508" w:rsidRPr="00B95508" w:rsidRDefault="00B95508" w:rsidP="006F07CD">
            <w:pPr>
              <w:spacing w:after="0" w:line="240" w:lineRule="auto"/>
              <w:jc w:val="center"/>
              <w:rPr>
                <w:rFonts w:cstheme="minorHAnsi"/>
                <w:color w:val="000000"/>
                <w:sz w:val="18"/>
                <w:szCs w:val="18"/>
              </w:rPr>
            </w:pPr>
            <w:r w:rsidRPr="00B95508">
              <w:rPr>
                <w:rFonts w:cstheme="minorHAnsi"/>
                <w:color w:val="000000"/>
                <w:sz w:val="18"/>
                <w:szCs w:val="18"/>
              </w:rPr>
              <w:t>1</w:t>
            </w:r>
          </w:p>
        </w:tc>
        <w:tc>
          <w:tcPr>
            <w:tcW w:w="354" w:type="pct"/>
            <w:hideMark/>
          </w:tcPr>
          <w:p w:rsidR="00B95508" w:rsidRPr="00B95508" w:rsidRDefault="00B95508" w:rsidP="006F07CD">
            <w:pPr>
              <w:spacing w:after="0" w:line="240" w:lineRule="auto"/>
              <w:jc w:val="center"/>
              <w:rPr>
                <w:rFonts w:cstheme="minorHAnsi"/>
                <w:color w:val="000000"/>
                <w:sz w:val="18"/>
                <w:szCs w:val="18"/>
              </w:rPr>
            </w:pPr>
            <w:r w:rsidRPr="00B95508">
              <w:rPr>
                <w:rFonts w:cstheme="minorHAnsi"/>
                <w:color w:val="000000"/>
                <w:sz w:val="18"/>
                <w:szCs w:val="18"/>
              </w:rPr>
              <w:t>2</w:t>
            </w:r>
          </w:p>
        </w:tc>
        <w:tc>
          <w:tcPr>
            <w:tcW w:w="586" w:type="pct"/>
            <w:hideMark/>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None identified.</w:t>
            </w:r>
          </w:p>
        </w:tc>
        <w:tc>
          <w:tcPr>
            <w:tcW w:w="499" w:type="pct"/>
            <w:hideMark/>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Low</w:t>
            </w:r>
          </w:p>
        </w:tc>
        <w:tc>
          <w:tcPr>
            <w:tcW w:w="268" w:type="pct"/>
            <w:hideMark/>
          </w:tcPr>
          <w:p w:rsidR="00B95508" w:rsidRPr="00B95508" w:rsidRDefault="00B95508" w:rsidP="006F07CD">
            <w:pPr>
              <w:spacing w:after="0" w:line="240" w:lineRule="auto"/>
              <w:jc w:val="center"/>
              <w:rPr>
                <w:rFonts w:cstheme="minorHAnsi"/>
                <w:color w:val="000000"/>
                <w:sz w:val="18"/>
                <w:szCs w:val="18"/>
              </w:rPr>
            </w:pPr>
            <w:r w:rsidRPr="00B95508">
              <w:rPr>
                <w:rFonts w:cstheme="minorHAnsi"/>
                <w:color w:val="000000"/>
                <w:sz w:val="18"/>
                <w:szCs w:val="18"/>
              </w:rPr>
              <w:t>2</w:t>
            </w:r>
          </w:p>
        </w:tc>
        <w:tc>
          <w:tcPr>
            <w:tcW w:w="716"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New measurement classes introduced by P300.</w:t>
            </w:r>
          </w:p>
        </w:tc>
      </w:tr>
      <w:tr w:rsidR="00B95508" w:rsidRPr="00B95508" w:rsidTr="006F07CD">
        <w:trPr>
          <w:trHeight w:val="2835"/>
        </w:trPr>
        <w:tc>
          <w:tcPr>
            <w:tcW w:w="401" w:type="pct"/>
            <w:hideMark/>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lastRenderedPageBreak/>
              <w:t>SR0119</w:t>
            </w:r>
          </w:p>
        </w:tc>
        <w:tc>
          <w:tcPr>
            <w:tcW w:w="463"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auto"/>
                <w:sz w:val="18"/>
                <w:szCs w:val="18"/>
              </w:rPr>
              <w:t>Immediate</w:t>
            </w:r>
          </w:p>
        </w:tc>
        <w:tc>
          <w:tcPr>
            <w:tcW w:w="812" w:type="pct"/>
            <w:hideMark/>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 xml:space="preserve">The risk that a NHH metered site that meets the criteria for </w:t>
            </w:r>
            <w:r w:rsidRPr="00B95508">
              <w:rPr>
                <w:rFonts w:cstheme="minorHAnsi"/>
                <w:color w:val="FF0000"/>
                <w:sz w:val="18"/>
                <w:szCs w:val="18"/>
              </w:rPr>
              <w:t xml:space="preserve">100kW Metering </w:t>
            </w:r>
            <w:r w:rsidRPr="00B95508">
              <w:rPr>
                <w:rFonts w:cstheme="minorHAnsi"/>
                <w:strike/>
                <w:sz w:val="18"/>
                <w:szCs w:val="18"/>
              </w:rPr>
              <w:t>mandatory HH metering</w:t>
            </w:r>
            <w:r w:rsidRPr="00B95508">
              <w:rPr>
                <w:rFonts w:cstheme="minorHAnsi"/>
                <w:color w:val="FF0000"/>
                <w:sz w:val="18"/>
                <w:szCs w:val="18"/>
              </w:rPr>
              <w:t xml:space="preserve"> Systems</w:t>
            </w:r>
            <w:r w:rsidRPr="00B95508">
              <w:rPr>
                <w:rFonts w:cstheme="minorHAnsi"/>
                <w:color w:val="000000"/>
                <w:sz w:val="18"/>
                <w:szCs w:val="18"/>
              </w:rPr>
              <w:t xml:space="preserve"> does not have a HH meter installed within required timescales resulting in energy potentially being allocated to the wrong Settlement Period or collected outside required timescales.</w:t>
            </w:r>
          </w:p>
        </w:tc>
        <w:tc>
          <w:tcPr>
            <w:tcW w:w="354" w:type="pct"/>
            <w:hideMark/>
          </w:tcPr>
          <w:p w:rsidR="00B95508" w:rsidRPr="00B95508" w:rsidRDefault="00B95508" w:rsidP="006F07CD">
            <w:pPr>
              <w:spacing w:after="0" w:line="240" w:lineRule="auto"/>
              <w:jc w:val="center"/>
              <w:rPr>
                <w:rFonts w:cstheme="minorHAnsi"/>
                <w:color w:val="000000"/>
                <w:sz w:val="18"/>
                <w:szCs w:val="18"/>
              </w:rPr>
            </w:pPr>
            <w:r w:rsidRPr="00B95508">
              <w:rPr>
                <w:rFonts w:cstheme="minorHAnsi"/>
                <w:color w:val="000000"/>
                <w:sz w:val="18"/>
                <w:szCs w:val="18"/>
              </w:rPr>
              <w:t>4</w:t>
            </w:r>
          </w:p>
        </w:tc>
        <w:tc>
          <w:tcPr>
            <w:tcW w:w="547" w:type="pct"/>
            <w:hideMark/>
          </w:tcPr>
          <w:p w:rsidR="00B95508" w:rsidRPr="00B95508" w:rsidRDefault="00B95508" w:rsidP="006F07CD">
            <w:pPr>
              <w:spacing w:after="0" w:line="240" w:lineRule="auto"/>
              <w:rPr>
                <w:rFonts w:cstheme="minorHAnsi"/>
                <w:strike/>
                <w:color w:val="000000"/>
                <w:sz w:val="18"/>
                <w:szCs w:val="18"/>
              </w:rPr>
            </w:pPr>
            <w:r w:rsidRPr="00B95508">
              <w:rPr>
                <w:rFonts w:cstheme="minorHAnsi"/>
                <w:strike/>
                <w:color w:val="000000"/>
                <w:sz w:val="18"/>
                <w:szCs w:val="18"/>
              </w:rPr>
              <w:t>2</w:t>
            </w:r>
          </w:p>
          <w:p w:rsidR="00B95508" w:rsidRPr="00B95508" w:rsidRDefault="00B95508" w:rsidP="006F07CD">
            <w:pPr>
              <w:spacing w:after="0" w:line="240" w:lineRule="auto"/>
              <w:rPr>
                <w:rFonts w:cstheme="minorHAnsi"/>
                <w:color w:val="FF0000"/>
                <w:sz w:val="18"/>
                <w:szCs w:val="18"/>
              </w:rPr>
            </w:pPr>
            <w:r w:rsidRPr="00B95508">
              <w:rPr>
                <w:rFonts w:cstheme="minorHAnsi"/>
                <w:color w:val="FF0000"/>
                <w:sz w:val="18"/>
                <w:szCs w:val="18"/>
              </w:rPr>
              <w:t>3 – The impact of this risk is that the Meter is settled NHH when it should be HH.</w:t>
            </w:r>
          </w:p>
        </w:tc>
        <w:tc>
          <w:tcPr>
            <w:tcW w:w="354" w:type="pct"/>
            <w:hideMark/>
          </w:tcPr>
          <w:p w:rsidR="00B95508" w:rsidRPr="00B95508" w:rsidRDefault="00B95508" w:rsidP="006F07CD">
            <w:pPr>
              <w:spacing w:after="0" w:line="240" w:lineRule="auto"/>
              <w:jc w:val="center"/>
              <w:rPr>
                <w:rFonts w:cstheme="minorHAnsi"/>
                <w:color w:val="000000"/>
                <w:sz w:val="18"/>
                <w:szCs w:val="18"/>
              </w:rPr>
            </w:pPr>
            <w:r w:rsidRPr="00B95508">
              <w:rPr>
                <w:rFonts w:cstheme="minorHAnsi"/>
                <w:color w:val="FF0000"/>
                <w:sz w:val="18"/>
                <w:szCs w:val="18"/>
              </w:rPr>
              <w:t>12</w:t>
            </w:r>
          </w:p>
        </w:tc>
        <w:tc>
          <w:tcPr>
            <w:tcW w:w="586" w:type="pct"/>
            <w:hideMark/>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 xml:space="preserve">100kW Demand Report (P28). </w:t>
            </w:r>
            <w:r w:rsidRPr="00B95508">
              <w:rPr>
                <w:rFonts w:cstheme="minorHAnsi"/>
                <w:strike/>
                <w:color w:val="000000"/>
                <w:sz w:val="18"/>
                <w:szCs w:val="18"/>
              </w:rPr>
              <w:t>D0081 (Supplier Half Hourly Demand Report).</w:t>
            </w:r>
          </w:p>
        </w:tc>
        <w:tc>
          <w:tcPr>
            <w:tcW w:w="499" w:type="pct"/>
            <w:hideMark/>
          </w:tcPr>
          <w:p w:rsidR="00B95508" w:rsidRPr="00B95508" w:rsidRDefault="00B95508" w:rsidP="006F07CD">
            <w:pPr>
              <w:spacing w:after="0" w:line="240" w:lineRule="auto"/>
              <w:rPr>
                <w:rFonts w:cstheme="minorHAnsi"/>
                <w:strike/>
                <w:color w:val="000000"/>
                <w:sz w:val="18"/>
                <w:szCs w:val="18"/>
              </w:rPr>
            </w:pPr>
            <w:r w:rsidRPr="00B95508">
              <w:rPr>
                <w:rFonts w:cstheme="minorHAnsi"/>
                <w:strike/>
                <w:color w:val="000000"/>
                <w:sz w:val="18"/>
                <w:szCs w:val="18"/>
              </w:rPr>
              <w:t>Low</w:t>
            </w:r>
          </w:p>
          <w:p w:rsidR="00B95508" w:rsidRPr="00B95508" w:rsidRDefault="00B95508" w:rsidP="006F07CD">
            <w:pPr>
              <w:spacing w:after="0" w:line="240" w:lineRule="auto"/>
              <w:rPr>
                <w:rFonts w:cstheme="minorHAnsi"/>
                <w:color w:val="FF0000"/>
                <w:sz w:val="18"/>
                <w:szCs w:val="18"/>
              </w:rPr>
            </w:pPr>
            <w:r w:rsidRPr="00B95508">
              <w:rPr>
                <w:rFonts w:cstheme="minorHAnsi"/>
                <w:color w:val="FF0000"/>
                <w:sz w:val="18"/>
                <w:szCs w:val="18"/>
              </w:rPr>
              <w:t xml:space="preserve">Medium – P28 sent monthly to BSC Panel and Supplier. </w:t>
            </w:r>
          </w:p>
        </w:tc>
        <w:tc>
          <w:tcPr>
            <w:tcW w:w="268" w:type="pct"/>
            <w:hideMark/>
          </w:tcPr>
          <w:p w:rsidR="00B95508" w:rsidRPr="00B95508" w:rsidRDefault="00B95508" w:rsidP="006F07CD">
            <w:pPr>
              <w:spacing w:after="0" w:line="240" w:lineRule="auto"/>
              <w:jc w:val="center"/>
              <w:rPr>
                <w:rFonts w:cstheme="minorHAnsi"/>
                <w:strike/>
                <w:color w:val="000000"/>
                <w:sz w:val="18"/>
                <w:szCs w:val="18"/>
              </w:rPr>
            </w:pPr>
            <w:r w:rsidRPr="00B95508">
              <w:rPr>
                <w:rFonts w:cstheme="minorHAnsi"/>
                <w:strike/>
                <w:color w:val="000000"/>
                <w:sz w:val="18"/>
                <w:szCs w:val="18"/>
              </w:rPr>
              <w:t>8</w:t>
            </w:r>
          </w:p>
          <w:p w:rsidR="00B95508" w:rsidRPr="00B95508" w:rsidRDefault="00B95508" w:rsidP="006F07CD">
            <w:pPr>
              <w:spacing w:after="0" w:line="240" w:lineRule="auto"/>
              <w:jc w:val="center"/>
              <w:rPr>
                <w:rFonts w:cstheme="minorHAnsi"/>
                <w:strike/>
                <w:color w:val="FF0000"/>
                <w:sz w:val="18"/>
                <w:szCs w:val="18"/>
              </w:rPr>
            </w:pPr>
            <w:r w:rsidRPr="00B95508">
              <w:rPr>
                <w:rFonts w:cstheme="minorHAnsi"/>
                <w:strike/>
                <w:color w:val="FF0000"/>
                <w:sz w:val="18"/>
                <w:szCs w:val="18"/>
              </w:rPr>
              <w:t>6</w:t>
            </w:r>
          </w:p>
          <w:p w:rsidR="00B95508" w:rsidRPr="00B95508" w:rsidRDefault="00B95508" w:rsidP="006F07CD">
            <w:pPr>
              <w:spacing w:after="0" w:line="240" w:lineRule="auto"/>
              <w:jc w:val="center"/>
              <w:rPr>
                <w:rFonts w:cstheme="minorHAnsi"/>
                <w:color w:val="FF0000"/>
                <w:sz w:val="18"/>
                <w:szCs w:val="18"/>
              </w:rPr>
            </w:pPr>
            <w:r w:rsidRPr="00B95508">
              <w:rPr>
                <w:rFonts w:cstheme="minorHAnsi"/>
                <w:color w:val="FF0000"/>
                <w:sz w:val="18"/>
                <w:szCs w:val="18"/>
              </w:rPr>
              <w:t>10</w:t>
            </w:r>
          </w:p>
        </w:tc>
        <w:tc>
          <w:tcPr>
            <w:tcW w:w="716"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Re-wording to accommodate P272 changes.</w:t>
            </w:r>
          </w:p>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 xml:space="preserve">Review probability rating post P272 implementation (1 April 2016) because the likely threshold crossers will be HH rather than NHH. </w:t>
            </w:r>
          </w:p>
        </w:tc>
      </w:tr>
      <w:tr w:rsidR="00B95508" w:rsidRPr="00B95508" w:rsidTr="006F07CD">
        <w:trPr>
          <w:trHeight w:val="2835"/>
        </w:trPr>
        <w:tc>
          <w:tcPr>
            <w:tcW w:w="401"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New risk</w:t>
            </w:r>
          </w:p>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SR0189</w:t>
            </w:r>
          </w:p>
        </w:tc>
        <w:tc>
          <w:tcPr>
            <w:tcW w:w="463"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1 April 2016</w:t>
            </w:r>
          </w:p>
        </w:tc>
        <w:tc>
          <w:tcPr>
            <w:tcW w:w="812"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 xml:space="preserve">The risk that a Profile Class 5-8 Non Half Hourly Advanced Metering System is settled Non Half Hourly instead of Half Hourly </w:t>
            </w:r>
            <w:r w:rsidRPr="00B95508">
              <w:rPr>
                <w:rFonts w:cstheme="minorHAnsi"/>
                <w:sz w:val="18"/>
                <w:szCs w:val="18"/>
              </w:rPr>
              <w:t>resulting in energy potentially being allocated to the wrong Settlement Period or collected outside required timescales.</w:t>
            </w:r>
          </w:p>
        </w:tc>
        <w:tc>
          <w:tcPr>
            <w:tcW w:w="354" w:type="pct"/>
          </w:tcPr>
          <w:p w:rsidR="00B95508" w:rsidRPr="00B95508" w:rsidRDefault="00B95508" w:rsidP="006F07CD">
            <w:pPr>
              <w:spacing w:after="0" w:line="240" w:lineRule="auto"/>
              <w:jc w:val="center"/>
              <w:rPr>
                <w:rFonts w:cstheme="minorHAnsi"/>
                <w:sz w:val="18"/>
                <w:szCs w:val="18"/>
              </w:rPr>
            </w:pPr>
            <w:r w:rsidRPr="00B95508">
              <w:rPr>
                <w:rFonts w:cstheme="minorHAnsi"/>
                <w:sz w:val="18"/>
                <w:szCs w:val="18"/>
              </w:rPr>
              <w:t>3</w:t>
            </w:r>
          </w:p>
        </w:tc>
        <w:tc>
          <w:tcPr>
            <w:tcW w:w="547" w:type="pct"/>
          </w:tcPr>
          <w:p w:rsidR="00B95508" w:rsidRPr="00B95508" w:rsidRDefault="00B95508" w:rsidP="006F07CD">
            <w:pPr>
              <w:spacing w:after="0" w:line="240" w:lineRule="auto"/>
              <w:jc w:val="center"/>
              <w:rPr>
                <w:rFonts w:cstheme="minorHAnsi"/>
                <w:color w:val="FF0000"/>
                <w:sz w:val="18"/>
                <w:szCs w:val="18"/>
              </w:rPr>
            </w:pPr>
            <w:r w:rsidRPr="00B95508">
              <w:rPr>
                <w:rFonts w:cstheme="minorHAnsi"/>
                <w:color w:val="FF0000"/>
                <w:sz w:val="18"/>
                <w:szCs w:val="18"/>
              </w:rPr>
              <w:t>2</w:t>
            </w:r>
          </w:p>
          <w:p w:rsidR="00B95508" w:rsidRPr="00B95508" w:rsidRDefault="00B95508" w:rsidP="00B95508">
            <w:pPr>
              <w:spacing w:after="0" w:line="240" w:lineRule="auto"/>
              <w:rPr>
                <w:rFonts w:cstheme="minorHAnsi"/>
                <w:sz w:val="18"/>
                <w:szCs w:val="18"/>
              </w:rPr>
            </w:pPr>
            <w:r w:rsidRPr="00B95508">
              <w:rPr>
                <w:rFonts w:cstheme="minorHAnsi"/>
                <w:color w:val="FF0000"/>
                <w:sz w:val="18"/>
                <w:szCs w:val="18"/>
              </w:rPr>
              <w:t>The impact of this risk is that the Meter is settled NHH when it should be HH (but HH consumption is under 100kW therefore the impact is not as severe as for SR0119).</w:t>
            </w:r>
            <w:r w:rsidRPr="00B95508">
              <w:rPr>
                <w:rFonts w:cstheme="minorHAnsi"/>
                <w:sz w:val="18"/>
                <w:szCs w:val="18"/>
              </w:rPr>
              <w:t xml:space="preserve"> </w:t>
            </w:r>
          </w:p>
        </w:tc>
        <w:tc>
          <w:tcPr>
            <w:tcW w:w="354" w:type="pct"/>
          </w:tcPr>
          <w:p w:rsidR="00B95508" w:rsidRPr="00B95508" w:rsidRDefault="00B95508" w:rsidP="006F07CD">
            <w:pPr>
              <w:spacing w:after="0" w:line="240" w:lineRule="auto"/>
              <w:jc w:val="center"/>
              <w:rPr>
                <w:rFonts w:cstheme="minorHAnsi"/>
                <w:sz w:val="18"/>
                <w:szCs w:val="18"/>
              </w:rPr>
            </w:pPr>
            <w:r w:rsidRPr="00B95508">
              <w:rPr>
                <w:rFonts w:cstheme="minorHAnsi"/>
                <w:sz w:val="18"/>
                <w:szCs w:val="18"/>
              </w:rPr>
              <w:t>6</w:t>
            </w:r>
          </w:p>
        </w:tc>
        <w:tc>
          <w:tcPr>
            <w:tcW w:w="586"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None identified.</w:t>
            </w:r>
          </w:p>
        </w:tc>
        <w:tc>
          <w:tcPr>
            <w:tcW w:w="499"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Low</w:t>
            </w:r>
          </w:p>
        </w:tc>
        <w:tc>
          <w:tcPr>
            <w:tcW w:w="268" w:type="pct"/>
          </w:tcPr>
          <w:p w:rsidR="00B95508" w:rsidRPr="00B95508" w:rsidRDefault="00B95508" w:rsidP="006F07CD">
            <w:pPr>
              <w:spacing w:after="0" w:line="240" w:lineRule="auto"/>
              <w:jc w:val="center"/>
              <w:rPr>
                <w:rFonts w:cstheme="minorHAnsi"/>
                <w:color w:val="000000"/>
                <w:sz w:val="18"/>
                <w:szCs w:val="18"/>
              </w:rPr>
            </w:pPr>
            <w:r w:rsidRPr="00B95508">
              <w:rPr>
                <w:rFonts w:cstheme="minorHAnsi"/>
                <w:color w:val="000000"/>
                <w:sz w:val="18"/>
                <w:szCs w:val="18"/>
              </w:rPr>
              <w:t>6</w:t>
            </w:r>
          </w:p>
        </w:tc>
        <w:tc>
          <w:tcPr>
            <w:tcW w:w="716" w:type="pct"/>
          </w:tcPr>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This is the risk that the P272 changes are not implemented. This risk will be lessened following migration but will still exist for a small number of Metering Systems that might switch</w:t>
            </w:r>
          </w:p>
          <w:p w:rsidR="00B95508" w:rsidRPr="00B95508" w:rsidRDefault="00B95508" w:rsidP="006F07CD">
            <w:pPr>
              <w:spacing w:after="0" w:line="240" w:lineRule="auto"/>
              <w:rPr>
                <w:rFonts w:cstheme="minorHAnsi"/>
                <w:color w:val="000000"/>
                <w:sz w:val="18"/>
                <w:szCs w:val="18"/>
              </w:rPr>
            </w:pPr>
            <w:r w:rsidRPr="00B95508">
              <w:rPr>
                <w:rFonts w:cstheme="minorHAnsi"/>
                <w:color w:val="000000"/>
                <w:sz w:val="18"/>
                <w:szCs w:val="18"/>
              </w:rPr>
              <w:t xml:space="preserve">from PC3-4 into PC5-8 and new connections. </w:t>
            </w:r>
          </w:p>
        </w:tc>
      </w:tr>
    </w:tbl>
    <w:p w:rsidR="00B95508" w:rsidRPr="00763AB3" w:rsidRDefault="00B95508" w:rsidP="00B95508"/>
    <w:sectPr w:rsidR="00B95508" w:rsidRPr="00763AB3" w:rsidSect="00B95508">
      <w:pgSz w:w="16838" w:h="11906" w:orient="landscape" w:code="9"/>
      <w:pgMar w:top="794" w:right="1162" w:bottom="794" w:left="1928"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29" w:rsidRDefault="00456429" w:rsidP="00D00160">
      <w:pPr>
        <w:spacing w:after="0"/>
      </w:pPr>
      <w:r>
        <w:separator/>
      </w:r>
    </w:p>
    <w:p w:rsidR="00456429" w:rsidRDefault="00456429"/>
  </w:endnote>
  <w:endnote w:type="continuationSeparator" w:id="0">
    <w:p w:rsidR="00456429" w:rsidRDefault="00456429" w:rsidP="00D00160">
      <w:pPr>
        <w:spacing w:after="0"/>
      </w:pPr>
      <w:r>
        <w:continuationSeparator/>
      </w:r>
    </w:p>
    <w:p w:rsidR="00456429" w:rsidRDefault="0045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3A0EE6" w:rsidP="008632A3">
          <w:pPr>
            <w:pStyle w:val="Footer"/>
          </w:pPr>
          <w:fldSimple w:instr=" STYLEREF  &quot;Footer Ref 1&quot;  \* MERGEFORMAT ">
            <w:r w:rsidR="00BF02BC">
              <w:rPr>
                <w:noProof/>
              </w:rPr>
              <w:t>RER 2016/17</w:t>
            </w:r>
          </w:fldSimple>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263E7A93" wp14:editId="45F12827">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fldSimple w:instr=" NUMPAGES  \* Arabic  \* MERGEFORMAT ">
            <w:r w:rsidR="00BF02BC">
              <w:rPr>
                <w:noProof/>
              </w:rPr>
              <w:t>6</w:t>
            </w:r>
          </w:fldSimple>
        </w:p>
      </w:tc>
      <w:tc>
        <w:tcPr>
          <w:tcW w:w="284" w:type="dxa"/>
        </w:tcPr>
        <w:p w:rsidR="00763AB3" w:rsidRDefault="00763AB3" w:rsidP="008632A3">
          <w:pPr>
            <w:pStyle w:val="Footer"/>
          </w:pPr>
        </w:p>
      </w:tc>
      <w:tc>
        <w:tcPr>
          <w:tcW w:w="2714" w:type="dxa"/>
        </w:tcPr>
        <w:p w:rsidR="00763AB3" w:rsidRDefault="00763AB3" w:rsidP="008632A3">
          <w:pPr>
            <w:pStyle w:val="Footer"/>
          </w:pPr>
          <w:fldSimple w:instr=" STYLEREF  &quot;Footer Date&quot;  \* MERGEFORMAT ">
            <w:r w:rsidR="00BF02BC">
              <w:rPr>
                <w:noProof/>
              </w:rPr>
              <w:t>26 June 2015</w:t>
            </w:r>
          </w:fldSimple>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BF02BC">
            <w:rPr>
              <w:noProof/>
            </w:rPr>
            <w:t>2015</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3A0EE6" w:rsidP="008632A3">
          <w:pPr>
            <w:pStyle w:val="Footer"/>
          </w:pPr>
          <w:fldSimple w:instr=" STYLEREF  &quot;Footer Ref 1&quot;  \* MERGEFORMAT ">
            <w:r w:rsidR="00BF02BC">
              <w:rPr>
                <w:noProof/>
              </w:rPr>
              <w:t>RER 2016/17</w:t>
            </w:r>
          </w:fldSimple>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4BB7612A" wp14:editId="551769D0">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BF02BC">
            <w:rPr>
              <w:noProof/>
            </w:rPr>
            <w:t>6</w:t>
          </w:r>
          <w:r>
            <w:rPr>
              <w:noProof/>
            </w:rPr>
            <w:fldChar w:fldCharType="end"/>
          </w:r>
          <w:r w:rsidRPr="004873F8">
            <w:t xml:space="preserve"> of </w:t>
          </w:r>
          <w:fldSimple w:instr=" NUMPAGES  \* Arabic  \* MERGEFORMAT ">
            <w:r w:rsidR="00BF02BC">
              <w:rPr>
                <w:noProof/>
              </w:rPr>
              <w:t>6</w:t>
            </w:r>
          </w:fldSimple>
        </w:p>
      </w:tc>
      <w:tc>
        <w:tcPr>
          <w:tcW w:w="284" w:type="dxa"/>
        </w:tcPr>
        <w:p w:rsidR="00FA38AF" w:rsidRDefault="00FA38AF" w:rsidP="008632A3">
          <w:pPr>
            <w:pStyle w:val="Footer"/>
          </w:pPr>
        </w:p>
      </w:tc>
      <w:tc>
        <w:tcPr>
          <w:tcW w:w="2714" w:type="dxa"/>
        </w:tcPr>
        <w:p w:rsidR="00FA38AF" w:rsidRDefault="003A0EE6" w:rsidP="008632A3">
          <w:pPr>
            <w:pStyle w:val="Footer"/>
          </w:pPr>
          <w:fldSimple w:instr=" STYLEREF  &quot;Footer Date&quot;  \* MERGEFORMAT ">
            <w:r w:rsidR="00BF02BC">
              <w:rPr>
                <w:noProof/>
              </w:rPr>
              <w:t>26 June 2015</w:t>
            </w:r>
          </w:fldSimple>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BF02BC">
            <w:rPr>
              <w:noProof/>
            </w:rPr>
            <w:t>2015</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29" w:rsidRDefault="00456429" w:rsidP="00D00160">
      <w:pPr>
        <w:spacing w:after="0"/>
      </w:pPr>
      <w:r>
        <w:separator/>
      </w:r>
    </w:p>
    <w:p w:rsidR="00456429" w:rsidRDefault="00456429"/>
  </w:footnote>
  <w:footnote w:type="continuationSeparator" w:id="0">
    <w:p w:rsidR="00456429" w:rsidRDefault="00456429" w:rsidP="00D00160">
      <w:pPr>
        <w:spacing w:after="0"/>
      </w:pPr>
      <w:r>
        <w:continuationSeparator/>
      </w:r>
    </w:p>
    <w:p w:rsidR="00456429" w:rsidRDefault="00456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3A0EE6" w:rsidP="008632A3">
          <w:pPr>
            <w:pStyle w:val="Title"/>
          </w:pPr>
          <w:fldSimple w:instr=" STYLEREF  Title  \* MERGEFORMAT ">
            <w:r w:rsidR="00BF02BC">
              <w:rPr>
                <w:noProof/>
              </w:rPr>
              <w:t>consultation response rer 2016/17</w:t>
            </w:r>
          </w:fldSimple>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3A0EE6" w:rsidP="008632A3">
          <w:pPr>
            <w:pStyle w:val="Title"/>
          </w:pPr>
          <w:fldSimple w:instr=" STYLEREF  Title  \* MERGEFORMAT ">
            <w:r w:rsidR="00BF02BC">
              <w:rPr>
                <w:noProof/>
              </w:rPr>
              <w:t>consultation response rer 2016/17</w:t>
            </w:r>
          </w:fldSimple>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638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29"/>
    <w:rsid w:val="00003DBA"/>
    <w:rsid w:val="000078F3"/>
    <w:rsid w:val="0001148C"/>
    <w:rsid w:val="000128C9"/>
    <w:rsid w:val="00015631"/>
    <w:rsid w:val="00015705"/>
    <w:rsid w:val="0001665B"/>
    <w:rsid w:val="00022399"/>
    <w:rsid w:val="0002328B"/>
    <w:rsid w:val="00024FCF"/>
    <w:rsid w:val="00025108"/>
    <w:rsid w:val="00025A8A"/>
    <w:rsid w:val="00026FC0"/>
    <w:rsid w:val="00035FC0"/>
    <w:rsid w:val="00041EC1"/>
    <w:rsid w:val="0004544B"/>
    <w:rsid w:val="00045857"/>
    <w:rsid w:val="00045ED6"/>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A7C"/>
    <w:rsid w:val="00193B3A"/>
    <w:rsid w:val="001A04A1"/>
    <w:rsid w:val="001A3219"/>
    <w:rsid w:val="001A5418"/>
    <w:rsid w:val="001B01E6"/>
    <w:rsid w:val="001B0740"/>
    <w:rsid w:val="001C2943"/>
    <w:rsid w:val="001D09C2"/>
    <w:rsid w:val="001D222B"/>
    <w:rsid w:val="001D362E"/>
    <w:rsid w:val="001E0DED"/>
    <w:rsid w:val="001E2050"/>
    <w:rsid w:val="001F5FF8"/>
    <w:rsid w:val="00200719"/>
    <w:rsid w:val="0020255E"/>
    <w:rsid w:val="00204E43"/>
    <w:rsid w:val="002050E1"/>
    <w:rsid w:val="002059E2"/>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37FD0"/>
    <w:rsid w:val="00350F5E"/>
    <w:rsid w:val="00351A33"/>
    <w:rsid w:val="0035504E"/>
    <w:rsid w:val="00356E74"/>
    <w:rsid w:val="00360453"/>
    <w:rsid w:val="003655F0"/>
    <w:rsid w:val="00370AB7"/>
    <w:rsid w:val="00375CC5"/>
    <w:rsid w:val="003812E8"/>
    <w:rsid w:val="00383845"/>
    <w:rsid w:val="0039342D"/>
    <w:rsid w:val="003A0EE6"/>
    <w:rsid w:val="003A183A"/>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429"/>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20FA"/>
    <w:rsid w:val="00506E22"/>
    <w:rsid w:val="00510487"/>
    <w:rsid w:val="00511557"/>
    <w:rsid w:val="005129DD"/>
    <w:rsid w:val="00517D60"/>
    <w:rsid w:val="00526528"/>
    <w:rsid w:val="00526D98"/>
    <w:rsid w:val="00541E77"/>
    <w:rsid w:val="005423DC"/>
    <w:rsid w:val="005462A4"/>
    <w:rsid w:val="00555C8C"/>
    <w:rsid w:val="00556B2F"/>
    <w:rsid w:val="005600ED"/>
    <w:rsid w:val="0057310D"/>
    <w:rsid w:val="005745BE"/>
    <w:rsid w:val="00580B4F"/>
    <w:rsid w:val="00583067"/>
    <w:rsid w:val="00593D67"/>
    <w:rsid w:val="00596B83"/>
    <w:rsid w:val="005A3992"/>
    <w:rsid w:val="005A3FBE"/>
    <w:rsid w:val="005A5015"/>
    <w:rsid w:val="005C63AE"/>
    <w:rsid w:val="005D25D5"/>
    <w:rsid w:val="005D267A"/>
    <w:rsid w:val="005D6CAB"/>
    <w:rsid w:val="005E1A46"/>
    <w:rsid w:val="005E2F8F"/>
    <w:rsid w:val="005F4F9F"/>
    <w:rsid w:val="005F6761"/>
    <w:rsid w:val="00603C7D"/>
    <w:rsid w:val="00604929"/>
    <w:rsid w:val="006119C2"/>
    <w:rsid w:val="00617BEE"/>
    <w:rsid w:val="00627B7E"/>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6F5FC0"/>
    <w:rsid w:val="00700125"/>
    <w:rsid w:val="00701B7D"/>
    <w:rsid w:val="00705107"/>
    <w:rsid w:val="00713AA5"/>
    <w:rsid w:val="00714E30"/>
    <w:rsid w:val="00716C88"/>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3D7A"/>
    <w:rsid w:val="00794941"/>
    <w:rsid w:val="007A5271"/>
    <w:rsid w:val="007A750B"/>
    <w:rsid w:val="007B1DAF"/>
    <w:rsid w:val="007C16D2"/>
    <w:rsid w:val="007C5F0B"/>
    <w:rsid w:val="007C73F7"/>
    <w:rsid w:val="007D0E52"/>
    <w:rsid w:val="007D59DF"/>
    <w:rsid w:val="007E0107"/>
    <w:rsid w:val="007F32EE"/>
    <w:rsid w:val="007F3DA5"/>
    <w:rsid w:val="007F7133"/>
    <w:rsid w:val="00804ADB"/>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220B1"/>
    <w:rsid w:val="00931FB4"/>
    <w:rsid w:val="009434FC"/>
    <w:rsid w:val="0094690D"/>
    <w:rsid w:val="00951E4D"/>
    <w:rsid w:val="00956807"/>
    <w:rsid w:val="0095774A"/>
    <w:rsid w:val="009607E7"/>
    <w:rsid w:val="009767A7"/>
    <w:rsid w:val="00983AF4"/>
    <w:rsid w:val="009845EB"/>
    <w:rsid w:val="009933A5"/>
    <w:rsid w:val="00993CEA"/>
    <w:rsid w:val="009A2B72"/>
    <w:rsid w:val="009A6C66"/>
    <w:rsid w:val="009B0B9A"/>
    <w:rsid w:val="009B55EE"/>
    <w:rsid w:val="009C201C"/>
    <w:rsid w:val="009D47D6"/>
    <w:rsid w:val="009E0473"/>
    <w:rsid w:val="009E60A3"/>
    <w:rsid w:val="009F2EBE"/>
    <w:rsid w:val="009F343D"/>
    <w:rsid w:val="009F36C6"/>
    <w:rsid w:val="009F5D5B"/>
    <w:rsid w:val="00A02821"/>
    <w:rsid w:val="00A07452"/>
    <w:rsid w:val="00A15967"/>
    <w:rsid w:val="00A22066"/>
    <w:rsid w:val="00A22973"/>
    <w:rsid w:val="00A24BDB"/>
    <w:rsid w:val="00A3488D"/>
    <w:rsid w:val="00A34C37"/>
    <w:rsid w:val="00A426A7"/>
    <w:rsid w:val="00A437F9"/>
    <w:rsid w:val="00A44D3F"/>
    <w:rsid w:val="00A466A0"/>
    <w:rsid w:val="00A54E9C"/>
    <w:rsid w:val="00A611C5"/>
    <w:rsid w:val="00A61E38"/>
    <w:rsid w:val="00A62232"/>
    <w:rsid w:val="00A62C87"/>
    <w:rsid w:val="00A66BB4"/>
    <w:rsid w:val="00A750A5"/>
    <w:rsid w:val="00A856D3"/>
    <w:rsid w:val="00A85FF7"/>
    <w:rsid w:val="00A87081"/>
    <w:rsid w:val="00A96528"/>
    <w:rsid w:val="00AA1AD9"/>
    <w:rsid w:val="00AB167D"/>
    <w:rsid w:val="00AC5D47"/>
    <w:rsid w:val="00AE0441"/>
    <w:rsid w:val="00AF1D0B"/>
    <w:rsid w:val="00B02E85"/>
    <w:rsid w:val="00B108A3"/>
    <w:rsid w:val="00B14FE6"/>
    <w:rsid w:val="00B228F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508"/>
    <w:rsid w:val="00B9589B"/>
    <w:rsid w:val="00BA2E49"/>
    <w:rsid w:val="00BA3308"/>
    <w:rsid w:val="00BA785C"/>
    <w:rsid w:val="00BB4AA3"/>
    <w:rsid w:val="00BD0A71"/>
    <w:rsid w:val="00BD0D82"/>
    <w:rsid w:val="00BD50EA"/>
    <w:rsid w:val="00BD6651"/>
    <w:rsid w:val="00BE4267"/>
    <w:rsid w:val="00BE42C6"/>
    <w:rsid w:val="00BF02BC"/>
    <w:rsid w:val="00BF2952"/>
    <w:rsid w:val="00BF34AF"/>
    <w:rsid w:val="00BF573B"/>
    <w:rsid w:val="00BF77C5"/>
    <w:rsid w:val="00C01DE5"/>
    <w:rsid w:val="00C02B81"/>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73B"/>
    <w:rsid w:val="00D65E4C"/>
    <w:rsid w:val="00D95A94"/>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2CB2"/>
    <w:rsid w:val="00DF5F62"/>
    <w:rsid w:val="00E0510A"/>
    <w:rsid w:val="00E06062"/>
    <w:rsid w:val="00E070A1"/>
    <w:rsid w:val="00E12272"/>
    <w:rsid w:val="00E12298"/>
    <w:rsid w:val="00E13208"/>
    <w:rsid w:val="00E24332"/>
    <w:rsid w:val="00E25D80"/>
    <w:rsid w:val="00E27439"/>
    <w:rsid w:val="00E326B9"/>
    <w:rsid w:val="00E41CE3"/>
    <w:rsid w:val="00E437C6"/>
    <w:rsid w:val="00E52D9D"/>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5A60"/>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1B2E-4442-4D54-B434-49454A63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12</TotalTime>
  <Pages>6</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Andy Williamson</dc:creator>
  <cp:lastModifiedBy>Melinda Anderson</cp:lastModifiedBy>
  <cp:revision>4</cp:revision>
  <cp:lastPrinted>2015-06-25T10:43:00Z</cp:lastPrinted>
  <dcterms:created xsi:type="dcterms:W3CDTF">2015-06-17T12:37:00Z</dcterms:created>
  <dcterms:modified xsi:type="dcterms:W3CDTF">2015-06-25T10:43:00Z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